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16, 2021</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Expensify,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39" w:lineRule="exact"/>
        <w:rPr>
          <w:sz w:val="24"/>
          <w:szCs w:val="24"/>
          <w:color w:val="auto"/>
        </w:rPr>
      </w:pPr>
    </w:p>
    <w:tbl>
      <w:tblPr>
        <w:tblLayout w:type="fixed"/>
        <w:tblInd w:w="1160" w:type="dxa"/>
        <w:tblCellMar>
          <w:top w:w="0" w:type="dxa"/>
          <w:left w:w="0" w:type="dxa"/>
          <w:bottom w:w="0" w:type="dxa"/>
          <w:right w:w="0" w:type="dxa"/>
        </w:tblCellMar>
      </w:tblPr>
      <w:tr>
        <w:trPr>
          <w:trHeight w:val="195"/>
        </w:trPr>
        <w:tc>
          <w:tcPr>
            <w:tcW w:w="2100" w:type="dxa"/>
            <w:vAlign w:val="bottom"/>
          </w:tcPr>
          <w:p>
            <w:pPr>
              <w:jc w:val="center"/>
              <w:ind w:right="594"/>
              <w:spacing w:after="0"/>
              <w:rPr>
                <w:sz w:val="20"/>
                <w:szCs w:val="20"/>
                <w:color w:val="auto"/>
              </w:rPr>
            </w:pPr>
            <w:r>
              <w:rPr>
                <w:rFonts w:ascii="Arial" w:cs="Arial" w:eastAsia="Arial" w:hAnsi="Arial"/>
                <w:sz w:val="15"/>
                <w:szCs w:val="15"/>
                <w:b w:val="1"/>
                <w:bCs w:val="1"/>
                <w:color w:val="auto"/>
                <w:w w:val="91"/>
              </w:rPr>
              <w:t>Delaware</w:t>
            </w:r>
          </w:p>
        </w:tc>
        <w:tc>
          <w:tcPr>
            <w:tcW w:w="4860" w:type="dxa"/>
            <w:vAlign w:val="bottom"/>
          </w:tcPr>
          <w:p>
            <w:pPr>
              <w:jc w:val="center"/>
              <w:ind w:right="72"/>
              <w:spacing w:after="0"/>
              <w:rPr>
                <w:sz w:val="20"/>
                <w:szCs w:val="20"/>
                <w:color w:val="auto"/>
              </w:rPr>
            </w:pPr>
            <w:r>
              <w:rPr>
                <w:rFonts w:ascii="Arial" w:cs="Arial" w:eastAsia="Arial" w:hAnsi="Arial"/>
                <w:sz w:val="15"/>
                <w:szCs w:val="15"/>
                <w:b w:val="1"/>
                <w:bCs w:val="1"/>
                <w:color w:val="auto"/>
                <w:w w:val="89"/>
              </w:rPr>
              <w:t>001-41043</w:t>
            </w:r>
          </w:p>
        </w:tc>
        <w:tc>
          <w:tcPr>
            <w:tcW w:w="1720" w:type="dxa"/>
            <w:vAlign w:val="bottom"/>
          </w:tcPr>
          <w:p>
            <w:pPr>
              <w:jc w:val="center"/>
              <w:ind w:left="714"/>
              <w:spacing w:after="0"/>
              <w:rPr>
                <w:sz w:val="20"/>
                <w:szCs w:val="20"/>
                <w:color w:val="auto"/>
              </w:rPr>
            </w:pPr>
            <w:r>
              <w:rPr>
                <w:rFonts w:ascii="Arial" w:cs="Arial" w:eastAsia="Arial" w:hAnsi="Arial"/>
                <w:sz w:val="15"/>
                <w:szCs w:val="15"/>
                <w:b w:val="1"/>
                <w:bCs w:val="1"/>
                <w:color w:val="auto"/>
                <w:w w:val="92"/>
              </w:rPr>
              <w:t>27-0239450</w:t>
            </w:r>
          </w:p>
        </w:tc>
      </w:tr>
      <w:tr>
        <w:trPr>
          <w:trHeight w:val="152"/>
        </w:trPr>
        <w:tc>
          <w:tcPr>
            <w:tcW w:w="2100" w:type="dxa"/>
            <w:vAlign w:val="bottom"/>
          </w:tcPr>
          <w:p>
            <w:pPr>
              <w:jc w:val="center"/>
              <w:ind w:right="594"/>
              <w:spacing w:after="0"/>
              <w:rPr>
                <w:sz w:val="20"/>
                <w:szCs w:val="20"/>
                <w:color w:val="auto"/>
              </w:rPr>
            </w:pPr>
            <w:r>
              <w:rPr>
                <w:rFonts w:ascii="Arial" w:cs="Arial" w:eastAsia="Arial" w:hAnsi="Arial"/>
                <w:sz w:val="12"/>
                <w:szCs w:val="12"/>
                <w:b w:val="1"/>
                <w:bCs w:val="1"/>
                <w:color w:val="auto"/>
                <w:w w:val="92"/>
              </w:rPr>
              <w:t>(State or Other Jurisdiction</w:t>
            </w:r>
          </w:p>
        </w:tc>
        <w:tc>
          <w:tcPr>
            <w:tcW w:w="4860" w:type="dxa"/>
            <w:vAlign w:val="bottom"/>
          </w:tcPr>
          <w:p>
            <w:pPr>
              <w:jc w:val="center"/>
              <w:ind w:right="72"/>
              <w:spacing w:after="0"/>
              <w:rPr>
                <w:sz w:val="20"/>
                <w:szCs w:val="20"/>
                <w:color w:val="auto"/>
              </w:rPr>
            </w:pPr>
            <w:r>
              <w:rPr>
                <w:rFonts w:ascii="Arial" w:cs="Arial" w:eastAsia="Arial" w:hAnsi="Arial"/>
                <w:sz w:val="12"/>
                <w:szCs w:val="12"/>
                <w:b w:val="1"/>
                <w:bCs w:val="1"/>
                <w:color w:val="auto"/>
                <w:w w:val="89"/>
              </w:rPr>
              <w:t>(Commission</w:t>
            </w:r>
          </w:p>
        </w:tc>
        <w:tc>
          <w:tcPr>
            <w:tcW w:w="1720" w:type="dxa"/>
            <w:vAlign w:val="bottom"/>
          </w:tcPr>
          <w:p>
            <w:pPr>
              <w:jc w:val="center"/>
              <w:ind w:left="714"/>
              <w:spacing w:after="0"/>
              <w:rPr>
                <w:sz w:val="20"/>
                <w:szCs w:val="20"/>
                <w:color w:val="auto"/>
              </w:rPr>
            </w:pPr>
            <w:r>
              <w:rPr>
                <w:rFonts w:ascii="Arial" w:cs="Arial" w:eastAsia="Arial" w:hAnsi="Arial"/>
                <w:sz w:val="12"/>
                <w:szCs w:val="12"/>
                <w:b w:val="1"/>
                <w:bCs w:val="1"/>
                <w:color w:val="auto"/>
                <w:w w:val="95"/>
              </w:rPr>
              <w:t>(IRS Employer</w:t>
            </w:r>
          </w:p>
        </w:tc>
      </w:tr>
      <w:tr>
        <w:trPr>
          <w:trHeight w:val="158"/>
        </w:trPr>
        <w:tc>
          <w:tcPr>
            <w:tcW w:w="2100" w:type="dxa"/>
            <w:vAlign w:val="bottom"/>
          </w:tcPr>
          <w:p>
            <w:pPr>
              <w:jc w:val="center"/>
              <w:ind w:right="614"/>
              <w:spacing w:after="0"/>
              <w:rPr>
                <w:sz w:val="20"/>
                <w:szCs w:val="20"/>
                <w:color w:val="auto"/>
              </w:rPr>
            </w:pPr>
            <w:r>
              <w:rPr>
                <w:rFonts w:ascii="Arial" w:cs="Arial" w:eastAsia="Arial" w:hAnsi="Arial"/>
                <w:sz w:val="12"/>
                <w:szCs w:val="12"/>
                <w:b w:val="1"/>
                <w:bCs w:val="1"/>
                <w:color w:val="auto"/>
                <w:w w:val="93"/>
              </w:rPr>
              <w:t>of Incorporation)</w:t>
            </w:r>
          </w:p>
        </w:tc>
        <w:tc>
          <w:tcPr>
            <w:tcW w:w="4860" w:type="dxa"/>
            <w:vAlign w:val="bottom"/>
          </w:tcPr>
          <w:p>
            <w:pPr>
              <w:jc w:val="center"/>
              <w:ind w:right="72"/>
              <w:spacing w:after="0"/>
              <w:rPr>
                <w:sz w:val="20"/>
                <w:szCs w:val="20"/>
                <w:color w:val="auto"/>
              </w:rPr>
            </w:pPr>
            <w:r>
              <w:rPr>
                <w:rFonts w:ascii="Arial" w:cs="Arial" w:eastAsia="Arial" w:hAnsi="Arial"/>
                <w:sz w:val="12"/>
                <w:szCs w:val="12"/>
                <w:b w:val="1"/>
                <w:bCs w:val="1"/>
                <w:color w:val="auto"/>
                <w:w w:val="92"/>
              </w:rPr>
              <w:t>File Number)</w:t>
            </w:r>
          </w:p>
        </w:tc>
        <w:tc>
          <w:tcPr>
            <w:tcW w:w="1720" w:type="dxa"/>
            <w:vAlign w:val="bottom"/>
          </w:tcPr>
          <w:p>
            <w:pPr>
              <w:jc w:val="center"/>
              <w:ind w:left="714"/>
              <w:spacing w:after="0"/>
              <w:rPr>
                <w:sz w:val="20"/>
                <w:szCs w:val="20"/>
                <w:color w:val="auto"/>
              </w:rPr>
            </w:pPr>
            <w:r>
              <w:rPr>
                <w:rFonts w:ascii="Arial" w:cs="Arial" w:eastAsia="Arial" w:hAnsi="Arial"/>
                <w:sz w:val="12"/>
                <w:szCs w:val="12"/>
                <w:b w:val="1"/>
                <w:bCs w:val="1"/>
                <w:color w:val="auto"/>
                <w:w w:val="92"/>
              </w:rPr>
              <w:t>Identification No.)</w:t>
            </w:r>
          </w:p>
        </w:tc>
      </w:tr>
      <w:tr>
        <w:trPr>
          <w:trHeight w:val="370"/>
        </w:trPr>
        <w:tc>
          <w:tcPr>
            <w:tcW w:w="2100" w:type="dxa"/>
            <w:vAlign w:val="bottom"/>
          </w:tcPr>
          <w:p>
            <w:pPr>
              <w:spacing w:after="0"/>
              <w:rPr>
                <w:sz w:val="24"/>
                <w:szCs w:val="24"/>
                <w:color w:val="auto"/>
              </w:rPr>
            </w:pPr>
          </w:p>
        </w:tc>
        <w:tc>
          <w:tcPr>
            <w:tcW w:w="4860" w:type="dxa"/>
            <w:vAlign w:val="bottom"/>
          </w:tcPr>
          <w:p>
            <w:pPr>
              <w:jc w:val="center"/>
              <w:ind w:right="52"/>
              <w:spacing w:after="0"/>
              <w:rPr>
                <w:sz w:val="20"/>
                <w:szCs w:val="20"/>
                <w:color w:val="auto"/>
              </w:rPr>
            </w:pPr>
            <w:r>
              <w:rPr>
                <w:rFonts w:ascii="Arial" w:cs="Arial" w:eastAsia="Arial" w:hAnsi="Arial"/>
                <w:sz w:val="15"/>
                <w:szCs w:val="15"/>
                <w:b w:val="1"/>
                <w:bCs w:val="1"/>
                <w:color w:val="auto"/>
                <w:w w:val="89"/>
              </w:rPr>
              <w:t>401 SW 5</w:t>
            </w:r>
            <w:r>
              <w:rPr>
                <w:rFonts w:ascii="Arial" w:cs="Arial" w:eastAsia="Arial" w:hAnsi="Arial"/>
                <w:sz w:val="19"/>
                <w:szCs w:val="19"/>
                <w:b w:val="1"/>
                <w:bCs w:val="1"/>
                <w:color w:val="auto"/>
                <w:w w:val="89"/>
                <w:vertAlign w:val="superscript"/>
              </w:rPr>
              <w:t>th</w:t>
            </w:r>
            <w:r>
              <w:rPr>
                <w:rFonts w:ascii="Arial" w:cs="Arial" w:eastAsia="Arial" w:hAnsi="Arial"/>
                <w:sz w:val="15"/>
                <w:szCs w:val="15"/>
                <w:b w:val="1"/>
                <w:bCs w:val="1"/>
                <w:color w:val="auto"/>
                <w:w w:val="89"/>
              </w:rPr>
              <w:t xml:space="preserve"> Ave</w:t>
            </w:r>
          </w:p>
        </w:tc>
        <w:tc>
          <w:tcPr>
            <w:tcW w:w="1720" w:type="dxa"/>
            <w:vAlign w:val="bottom"/>
          </w:tcPr>
          <w:p>
            <w:pPr>
              <w:spacing w:after="0"/>
              <w:rPr>
                <w:sz w:val="24"/>
                <w:szCs w:val="24"/>
                <w:color w:val="auto"/>
              </w:rPr>
            </w:pPr>
          </w:p>
        </w:tc>
      </w:tr>
      <w:tr>
        <w:trPr>
          <w:trHeight w:val="177"/>
        </w:trPr>
        <w:tc>
          <w:tcPr>
            <w:tcW w:w="2100" w:type="dxa"/>
            <w:vAlign w:val="bottom"/>
          </w:tcPr>
          <w:p>
            <w:pPr>
              <w:spacing w:after="0"/>
              <w:rPr>
                <w:sz w:val="15"/>
                <w:szCs w:val="15"/>
                <w:color w:val="auto"/>
              </w:rPr>
            </w:pPr>
          </w:p>
        </w:tc>
        <w:tc>
          <w:tcPr>
            <w:tcW w:w="4860" w:type="dxa"/>
            <w:vAlign w:val="bottom"/>
          </w:tcPr>
          <w:p>
            <w:pPr>
              <w:jc w:val="center"/>
              <w:ind w:right="72"/>
              <w:spacing w:after="0"/>
              <w:rPr>
                <w:sz w:val="20"/>
                <w:szCs w:val="20"/>
                <w:color w:val="auto"/>
              </w:rPr>
            </w:pPr>
            <w:r>
              <w:rPr>
                <w:rFonts w:ascii="Arial" w:cs="Arial" w:eastAsia="Arial" w:hAnsi="Arial"/>
                <w:sz w:val="15"/>
                <w:szCs w:val="15"/>
                <w:b w:val="1"/>
                <w:bCs w:val="1"/>
                <w:color w:val="auto"/>
                <w:w w:val="92"/>
              </w:rPr>
              <w:t>Portland, Oregon 97204</w:t>
            </w:r>
          </w:p>
        </w:tc>
        <w:tc>
          <w:tcPr>
            <w:tcW w:w="1720" w:type="dxa"/>
            <w:vAlign w:val="bottom"/>
          </w:tcPr>
          <w:p>
            <w:pPr>
              <w:spacing w:after="0"/>
              <w:rPr>
                <w:sz w:val="15"/>
                <w:szCs w:val="15"/>
                <w:color w:val="auto"/>
              </w:rPr>
            </w:pPr>
          </w:p>
        </w:tc>
      </w:tr>
      <w:tr>
        <w:trPr>
          <w:trHeight w:val="158"/>
        </w:trPr>
        <w:tc>
          <w:tcPr>
            <w:tcW w:w="2100" w:type="dxa"/>
            <w:vAlign w:val="bottom"/>
          </w:tcPr>
          <w:p>
            <w:pPr>
              <w:spacing w:after="0"/>
              <w:rPr>
                <w:sz w:val="13"/>
                <w:szCs w:val="13"/>
                <w:color w:val="auto"/>
              </w:rPr>
            </w:pPr>
          </w:p>
        </w:tc>
        <w:tc>
          <w:tcPr>
            <w:tcW w:w="4860" w:type="dxa"/>
            <w:vAlign w:val="bottom"/>
          </w:tcPr>
          <w:p>
            <w:pPr>
              <w:jc w:val="center"/>
              <w:ind w:right="52"/>
              <w:spacing w:after="0"/>
              <w:rPr>
                <w:sz w:val="20"/>
                <w:szCs w:val="20"/>
                <w:color w:val="auto"/>
              </w:rPr>
            </w:pPr>
            <w:r>
              <w:rPr>
                <w:rFonts w:ascii="Arial" w:cs="Arial" w:eastAsia="Arial" w:hAnsi="Arial"/>
                <w:sz w:val="12"/>
                <w:szCs w:val="12"/>
                <w:b w:val="1"/>
                <w:bCs w:val="1"/>
                <w:color w:val="auto"/>
                <w:w w:val="91"/>
              </w:rPr>
              <w:t>(Address of Principal Executive Offices) (Zip Code)</w:t>
            </w:r>
          </w:p>
        </w:tc>
        <w:tc>
          <w:tcPr>
            <w:tcW w:w="1720" w:type="dxa"/>
            <w:vAlign w:val="bottom"/>
          </w:tcPr>
          <w:p>
            <w:pPr>
              <w:spacing w:after="0"/>
              <w:rPr>
                <w:sz w:val="13"/>
                <w:szCs w:val="13"/>
                <w:color w:val="auto"/>
              </w:rPr>
            </w:pPr>
          </w:p>
        </w:tc>
      </w:tr>
      <w:tr>
        <w:trPr>
          <w:trHeight w:val="251"/>
        </w:trPr>
        <w:tc>
          <w:tcPr>
            <w:tcW w:w="2100" w:type="dxa"/>
            <w:vAlign w:val="bottom"/>
          </w:tcPr>
          <w:p>
            <w:pPr>
              <w:spacing w:after="0"/>
              <w:rPr>
                <w:sz w:val="21"/>
                <w:szCs w:val="21"/>
                <w:color w:val="auto"/>
              </w:rPr>
            </w:pPr>
          </w:p>
        </w:tc>
        <w:tc>
          <w:tcPr>
            <w:tcW w:w="4860" w:type="dxa"/>
            <w:vAlign w:val="bottom"/>
          </w:tcPr>
          <w:p>
            <w:pPr>
              <w:jc w:val="center"/>
              <w:ind w:right="52"/>
              <w:spacing w:after="0"/>
              <w:rPr>
                <w:sz w:val="20"/>
                <w:szCs w:val="20"/>
                <w:color w:val="auto"/>
              </w:rPr>
            </w:pPr>
            <w:r>
              <w:rPr>
                <w:rFonts w:ascii="Arial" w:cs="Arial" w:eastAsia="Arial" w:hAnsi="Arial"/>
                <w:sz w:val="15"/>
                <w:szCs w:val="15"/>
                <w:b w:val="1"/>
                <w:bCs w:val="1"/>
                <w:color w:val="auto"/>
                <w:w w:val="91"/>
              </w:rPr>
              <w:t>(971) 365-3939</w:t>
            </w:r>
          </w:p>
        </w:tc>
        <w:tc>
          <w:tcPr>
            <w:tcW w:w="1720" w:type="dxa"/>
            <w:vAlign w:val="bottom"/>
          </w:tcPr>
          <w:p>
            <w:pPr>
              <w:spacing w:after="0"/>
              <w:rPr>
                <w:sz w:val="21"/>
                <w:szCs w:val="21"/>
                <w:color w:val="auto"/>
              </w:rPr>
            </w:pPr>
          </w:p>
        </w:tc>
      </w:tr>
      <w:tr>
        <w:trPr>
          <w:trHeight w:val="158"/>
        </w:trPr>
        <w:tc>
          <w:tcPr>
            <w:tcW w:w="2100" w:type="dxa"/>
            <w:vAlign w:val="bottom"/>
          </w:tcPr>
          <w:p>
            <w:pPr>
              <w:spacing w:after="0"/>
              <w:rPr>
                <w:sz w:val="13"/>
                <w:szCs w:val="13"/>
                <w:color w:val="auto"/>
              </w:rPr>
            </w:pPr>
          </w:p>
        </w:tc>
        <w:tc>
          <w:tcPr>
            <w:tcW w:w="4860" w:type="dxa"/>
            <w:vAlign w:val="bottom"/>
          </w:tcPr>
          <w:p>
            <w:pPr>
              <w:jc w:val="center"/>
              <w:ind w:right="52"/>
              <w:spacing w:after="0"/>
              <w:rPr>
                <w:sz w:val="20"/>
                <w:szCs w:val="20"/>
                <w:color w:val="auto"/>
              </w:rPr>
            </w:pPr>
            <w:r>
              <w:rPr>
                <w:rFonts w:ascii="Arial" w:cs="Arial" w:eastAsia="Arial" w:hAnsi="Arial"/>
                <w:sz w:val="12"/>
                <w:szCs w:val="12"/>
                <w:b w:val="1"/>
                <w:bCs w:val="1"/>
                <w:color w:val="auto"/>
                <w:w w:val="90"/>
              </w:rPr>
              <w:t>(Registrant’s telephone number, including area code)</w:t>
            </w:r>
          </w:p>
        </w:tc>
        <w:tc>
          <w:tcPr>
            <w:tcW w:w="1720" w:type="dxa"/>
            <w:vAlign w:val="bottom"/>
          </w:tcPr>
          <w:p>
            <w:pPr>
              <w:spacing w:after="0"/>
              <w:rPr>
                <w:sz w:val="13"/>
                <w:szCs w:val="13"/>
                <w:color w:val="auto"/>
              </w:rPr>
            </w:pPr>
          </w:p>
        </w:tc>
      </w:tr>
      <w:tr>
        <w:trPr>
          <w:trHeight w:val="251"/>
        </w:trPr>
        <w:tc>
          <w:tcPr>
            <w:tcW w:w="2100" w:type="dxa"/>
            <w:vAlign w:val="bottom"/>
          </w:tcPr>
          <w:p>
            <w:pPr>
              <w:spacing w:after="0"/>
              <w:rPr>
                <w:sz w:val="21"/>
                <w:szCs w:val="21"/>
                <w:color w:val="auto"/>
              </w:rPr>
            </w:pPr>
          </w:p>
        </w:tc>
        <w:tc>
          <w:tcPr>
            <w:tcW w:w="4860" w:type="dxa"/>
            <w:vAlign w:val="bottom"/>
          </w:tcPr>
          <w:p>
            <w:pPr>
              <w:jc w:val="center"/>
              <w:ind w:right="52"/>
              <w:spacing w:after="0"/>
              <w:rPr>
                <w:sz w:val="20"/>
                <w:szCs w:val="20"/>
                <w:color w:val="auto"/>
              </w:rPr>
            </w:pPr>
            <w:r>
              <w:rPr>
                <w:rFonts w:ascii="Arial" w:cs="Arial" w:eastAsia="Arial" w:hAnsi="Arial"/>
                <w:sz w:val="15"/>
                <w:szCs w:val="15"/>
                <w:b w:val="1"/>
                <w:bCs w:val="1"/>
                <w:color w:val="auto"/>
                <w:w w:val="91"/>
              </w:rPr>
              <w:t>Not applicable</w:t>
            </w:r>
          </w:p>
        </w:tc>
        <w:tc>
          <w:tcPr>
            <w:tcW w:w="1720" w:type="dxa"/>
            <w:vAlign w:val="bottom"/>
          </w:tcPr>
          <w:p>
            <w:pPr>
              <w:spacing w:after="0"/>
              <w:rPr>
                <w:sz w:val="21"/>
                <w:szCs w:val="21"/>
                <w:color w:val="auto"/>
              </w:rPr>
            </w:pPr>
          </w:p>
        </w:tc>
      </w:tr>
      <w:tr>
        <w:trPr>
          <w:trHeight w:val="158"/>
        </w:trPr>
        <w:tc>
          <w:tcPr>
            <w:tcW w:w="2100" w:type="dxa"/>
            <w:vAlign w:val="bottom"/>
          </w:tcPr>
          <w:p>
            <w:pPr>
              <w:spacing w:after="0"/>
              <w:rPr>
                <w:sz w:val="13"/>
                <w:szCs w:val="13"/>
                <w:color w:val="auto"/>
              </w:rPr>
            </w:pPr>
          </w:p>
        </w:tc>
        <w:tc>
          <w:tcPr>
            <w:tcW w:w="4860" w:type="dxa"/>
            <w:vAlign w:val="bottom"/>
          </w:tcPr>
          <w:p>
            <w:pPr>
              <w:jc w:val="center"/>
              <w:ind w:right="52"/>
              <w:spacing w:after="0"/>
              <w:rPr>
                <w:sz w:val="20"/>
                <w:szCs w:val="20"/>
                <w:color w:val="auto"/>
              </w:rPr>
            </w:pPr>
            <w:r>
              <w:rPr>
                <w:rFonts w:ascii="Arial" w:cs="Arial" w:eastAsia="Arial" w:hAnsi="Arial"/>
                <w:sz w:val="12"/>
                <w:szCs w:val="12"/>
                <w:b w:val="1"/>
                <w:bCs w:val="1"/>
                <w:color w:val="auto"/>
                <w:w w:val="92"/>
              </w:rPr>
              <w:t>(Former Name or Former Address, if Changed Since Last Report)</w:t>
            </w:r>
          </w:p>
        </w:tc>
        <w:tc>
          <w:tcPr>
            <w:tcW w:w="1720" w:type="dxa"/>
            <w:vAlign w:val="bottom"/>
          </w:tcPr>
          <w:p>
            <w:pPr>
              <w:spacing w:after="0"/>
              <w:rPr>
                <w:sz w:val="13"/>
                <w:szCs w:val="13"/>
                <w:color w:val="auto"/>
              </w:rPr>
            </w:pPr>
          </w:p>
        </w:tc>
      </w:tr>
    </w:tbl>
    <w:p>
      <w:pPr>
        <w:spacing w:after="0" w:line="7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400" w:hanging="394"/>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22" w:lineRule="exact"/>
        <w:rPr>
          <w:rFonts w:ascii="MS PGothic" w:cs="MS PGothic" w:eastAsia="MS PGothic" w:hAnsi="MS PGothic"/>
          <w:sz w:val="15"/>
          <w:szCs w:val="15"/>
          <w:color w:val="auto"/>
        </w:rPr>
      </w:pPr>
    </w:p>
    <w:p>
      <w:pPr>
        <w:ind w:left="400" w:hanging="394"/>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22" w:lineRule="exact"/>
        <w:rPr>
          <w:rFonts w:ascii="MS PGothic" w:cs="MS PGothic" w:eastAsia="MS PGothic" w:hAnsi="MS PGothic"/>
          <w:sz w:val="15"/>
          <w:szCs w:val="15"/>
          <w:color w:val="auto"/>
        </w:rPr>
      </w:pPr>
    </w:p>
    <w:p>
      <w:pPr>
        <w:ind w:left="400" w:hanging="394"/>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22" w:lineRule="exact"/>
        <w:rPr>
          <w:rFonts w:ascii="MS PGothic" w:cs="MS PGothic" w:eastAsia="MS PGothic" w:hAnsi="MS PGothic"/>
          <w:sz w:val="15"/>
          <w:szCs w:val="15"/>
          <w:color w:val="auto"/>
        </w:rPr>
      </w:pPr>
    </w:p>
    <w:p>
      <w:pPr>
        <w:ind w:left="400" w:hanging="394"/>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80"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80" w:type="dxa"/>
            <w:vAlign w:val="bottom"/>
            <w:gridSpan w:val="2"/>
          </w:tcPr>
          <w:p>
            <w:pPr>
              <w:ind w:left="1560"/>
              <w:spacing w:after="0"/>
              <w:rPr>
                <w:sz w:val="20"/>
                <w:szCs w:val="20"/>
                <w:color w:val="auto"/>
              </w:rPr>
            </w:pPr>
            <w:r>
              <w:rPr>
                <w:rFonts w:ascii="Arial" w:cs="Arial" w:eastAsia="Arial" w:hAnsi="Arial"/>
                <w:sz w:val="12"/>
                <w:szCs w:val="12"/>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89"/>
              </w:rPr>
              <w:t>Name of each exchange</w:t>
            </w:r>
          </w:p>
        </w:tc>
      </w:tr>
      <w:tr>
        <w:trPr>
          <w:trHeight w:val="169"/>
        </w:trPr>
        <w:tc>
          <w:tcPr>
            <w:tcW w:w="3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8"/>
              </w:rPr>
              <w:t>Title of each class</w:t>
            </w:r>
          </w:p>
        </w:tc>
        <w:tc>
          <w:tcPr>
            <w:tcW w:w="3680" w:type="dxa"/>
            <w:vAlign w:val="bottom"/>
            <w:gridSpan w:val="2"/>
          </w:tcPr>
          <w:p>
            <w:pPr>
              <w:ind w:left="1540"/>
              <w:spacing w:after="0"/>
              <w:rPr>
                <w:sz w:val="20"/>
                <w:szCs w:val="20"/>
                <w:color w:val="auto"/>
              </w:rPr>
            </w:pPr>
            <w:r>
              <w:rPr>
                <w:rFonts w:ascii="Arial" w:cs="Arial" w:eastAsia="Arial" w:hAnsi="Arial"/>
                <w:sz w:val="12"/>
                <w:szCs w:val="12"/>
                <w:b w:val="1"/>
                <w:bCs w:val="1"/>
                <w:color w:val="auto"/>
              </w:rPr>
              <w:t>Symbols</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89"/>
              </w:rPr>
              <w:t>on which registered</w:t>
            </w: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194"/>
        </w:trPr>
        <w:tc>
          <w:tcPr>
            <w:tcW w:w="39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Class A Common Stock, par value $0.0001 per share</w:t>
            </w:r>
          </w:p>
        </w:tc>
        <w:tc>
          <w:tcPr>
            <w:tcW w:w="3680" w:type="dxa"/>
            <w:vAlign w:val="bottom"/>
            <w:gridSpan w:val="2"/>
          </w:tcPr>
          <w:p>
            <w:pPr>
              <w:ind w:left="1560"/>
              <w:spacing w:after="0"/>
              <w:rPr>
                <w:sz w:val="20"/>
                <w:szCs w:val="20"/>
                <w:color w:val="auto"/>
              </w:rPr>
            </w:pPr>
            <w:r>
              <w:rPr>
                <w:rFonts w:ascii="Arial" w:cs="Arial" w:eastAsia="Arial" w:hAnsi="Arial"/>
                <w:sz w:val="15"/>
                <w:szCs w:val="15"/>
                <w:b w:val="1"/>
                <w:bCs w:val="1"/>
                <w:color w:val="auto"/>
              </w:rPr>
              <w:t>EXFY</w:t>
            </w:r>
          </w:p>
        </w:tc>
        <w:tc>
          <w:tcPr>
            <w:tcW w:w="3620" w:type="dxa"/>
            <w:vAlign w:val="bottom"/>
          </w:tcPr>
          <w:p>
            <w:pPr>
              <w:jc w:val="center"/>
              <w:spacing w:after="0"/>
              <w:rPr>
                <w:sz w:val="20"/>
                <w:szCs w:val="20"/>
                <w:color w:val="auto"/>
              </w:rPr>
            </w:pPr>
            <w:r>
              <w:rPr>
                <w:rFonts w:ascii="Arial" w:cs="Arial" w:eastAsia="Arial" w:hAnsi="Arial"/>
                <w:sz w:val="15"/>
                <w:szCs w:val="15"/>
                <w:b w:val="1"/>
                <w:bCs w:val="1"/>
                <w:color w:val="auto"/>
                <w:w w:val="95"/>
              </w:rPr>
              <w:t>The Nasdaq Stock Market LLC</w:t>
            </w:r>
          </w:p>
        </w:tc>
      </w:tr>
    </w:tbl>
    <w:p>
      <w:pPr>
        <w:spacing w:after="0" w:line="82" w:lineRule="exact"/>
        <w:rPr>
          <w:sz w:val="24"/>
          <w:szCs w:val="24"/>
          <w:color w:val="auto"/>
        </w:rPr>
      </w:pPr>
    </w:p>
    <w:p>
      <w:pPr>
        <w:ind w:right="460"/>
        <w:spacing w:after="0" w:line="27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30" w:lineRule="exact"/>
        <w:rPr>
          <w:sz w:val="24"/>
          <w:szCs w:val="24"/>
          <w:color w:val="auto"/>
        </w:rPr>
      </w:pPr>
    </w:p>
    <w:p>
      <w:pPr>
        <w:ind w:right="6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785495</wp:posOffset>
            </wp:positionV>
            <wp:extent cx="71793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1298" w:right="319" w:bottom="1440" w:gutter="0" w:footer="0" w:header="0"/>
        </w:sectPr>
      </w:pPr>
    </w:p>
    <w:bookmarkStart w:id="1" w:name="page2"/>
    <w:bookmarkEnd w:id="1"/>
    <w:p>
      <w:pPr>
        <w:spacing w:after="0" w:line="4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127" w:lineRule="exact"/>
        <w:rPr>
          <w:sz w:val="20"/>
          <w:szCs w:val="20"/>
          <w:color w:val="auto"/>
        </w:rPr>
      </w:pPr>
    </w:p>
    <w:p>
      <w:pPr>
        <w:ind w:left="9"/>
        <w:spacing w:after="0" w:line="262" w:lineRule="auto"/>
        <w:rPr>
          <w:sz w:val="20"/>
          <w:szCs w:val="20"/>
          <w:color w:val="auto"/>
        </w:rPr>
      </w:pPr>
      <w:r>
        <w:rPr>
          <w:rFonts w:ascii="Arial" w:cs="Arial" w:eastAsia="Arial" w:hAnsi="Arial"/>
          <w:sz w:val="15"/>
          <w:szCs w:val="15"/>
          <w:color w:val="auto"/>
        </w:rPr>
        <w:t>On December 16, 2021, Expensify, Inc. (“Expensify” or the “Company”) issued a press release announcing its financial results for the quarter ended September 30, 2021. A copy of this press release is furnished as Exhibit 99.1 to this current report on Form 8-K and is incorporated herein by reference.</w:t>
      </w:r>
    </w:p>
    <w:p>
      <w:pPr>
        <w:spacing w:after="0" w:line="18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7.01 Regulation FD Disclosure.</w:t>
      </w:r>
    </w:p>
    <w:p>
      <w:pPr>
        <w:spacing w:after="0" w:line="127" w:lineRule="exact"/>
        <w:rPr>
          <w:sz w:val="20"/>
          <w:szCs w:val="20"/>
          <w:color w:val="auto"/>
        </w:rPr>
      </w:pPr>
    </w:p>
    <w:p>
      <w:pPr>
        <w:jc w:val="both"/>
        <w:ind w:left="9" w:right="360"/>
        <w:spacing w:after="0" w:line="242" w:lineRule="auto"/>
        <w:rPr>
          <w:sz w:val="20"/>
          <w:szCs w:val="20"/>
          <w:color w:val="auto"/>
        </w:rPr>
      </w:pPr>
      <w:r>
        <w:rPr>
          <w:rFonts w:ascii="Arial" w:cs="Arial" w:eastAsia="Arial" w:hAnsi="Arial"/>
          <w:sz w:val="15"/>
          <w:szCs w:val="15"/>
          <w:color w:val="auto"/>
        </w:rPr>
        <w:t>On December 16, 2021,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1" w:lineRule="exact"/>
        <w:rPr>
          <w:sz w:val="20"/>
          <w:szCs w:val="20"/>
          <w:color w:val="auto"/>
        </w:rPr>
      </w:pPr>
    </w:p>
    <w:p>
      <w:pPr>
        <w:ind w:left="9" w:right="20"/>
        <w:spacing w:after="0" w:line="238" w:lineRule="auto"/>
        <w:rPr>
          <w:sz w:val="20"/>
          <w:szCs w:val="20"/>
          <w:color w:val="auto"/>
        </w:rPr>
      </w:pPr>
      <w:r>
        <w:rPr>
          <w:rFonts w:ascii="Arial" w:cs="Arial" w:eastAsia="Arial" w:hAnsi="Arial"/>
          <w:sz w:val="15"/>
          <w:szCs w:val="15"/>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88" w:lineRule="exact"/>
        <w:rPr>
          <w:sz w:val="20"/>
          <w:szCs w:val="20"/>
          <w:color w:val="auto"/>
        </w:rPr>
      </w:pPr>
    </w:p>
    <w:p>
      <w:pPr>
        <w:ind w:left="9" w:right="220"/>
        <w:spacing w:after="0" w:line="276" w:lineRule="auto"/>
        <w:rPr>
          <w:sz w:val="20"/>
          <w:szCs w:val="20"/>
          <w:color w:val="auto"/>
        </w:rPr>
      </w:pPr>
      <w:r>
        <w:rPr>
          <w:rFonts w:ascii="Arial" w:cs="Arial" w:eastAsia="Arial" w:hAnsi="Arial"/>
          <w:sz w:val="14"/>
          <w:szCs w:val="14"/>
          <w:color w:val="auto"/>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2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27" w:lineRule="exact"/>
        <w:rPr>
          <w:sz w:val="20"/>
          <w:szCs w:val="20"/>
          <w:color w:val="auto"/>
        </w:rPr>
      </w:pPr>
    </w:p>
    <w:p>
      <w:pPr>
        <w:ind w:left="209" w:hanging="209"/>
        <w:spacing w:after="0"/>
        <w:tabs>
          <w:tab w:leader="none" w:pos="209"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Exhibits</w:t>
      </w:r>
      <w:r>
        <w:rPr>
          <w:rFonts w:ascii="Arial" w:cs="Arial" w:eastAsia="Arial" w:hAnsi="Arial"/>
          <w:sz w:val="15"/>
          <w:szCs w:val="15"/>
          <w:color w:val="auto"/>
        </w:rPr>
        <w:t>.</w:t>
      </w:r>
    </w:p>
    <w:p>
      <w:pPr>
        <w:spacing w:after="0" w:line="159" w:lineRule="exact"/>
        <w:rPr>
          <w:sz w:val="20"/>
          <w:szCs w:val="20"/>
          <w:color w:val="auto"/>
        </w:rPr>
      </w:pPr>
    </w:p>
    <w:p>
      <w:pPr>
        <w:ind w:left="109"/>
        <w:spacing w:after="0"/>
        <w:tabs>
          <w:tab w:leader="none" w:pos="909"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98" w:lineRule="exact"/>
        <w:rPr>
          <w:sz w:val="20"/>
          <w:szCs w:val="20"/>
          <w:color w:val="auto"/>
        </w:rPr>
      </w:pPr>
    </w:p>
    <w:p>
      <w:pPr>
        <w:ind w:left="289"/>
        <w:spacing w:after="0"/>
        <w:tabs>
          <w:tab w:leader="none" w:pos="909" w:val="left"/>
        </w:tabs>
        <w:rPr>
          <w:rFonts w:ascii="Arial" w:cs="Arial" w:eastAsia="Arial" w:hAnsi="Arial"/>
          <w:sz w:val="13"/>
          <w:szCs w:val="13"/>
          <w:u w:val="single" w:color="auto"/>
          <w:color w:val="0000FF"/>
        </w:rPr>
      </w:pPr>
      <w:r>
        <w:rPr>
          <w:rFonts w:ascii="Arial" w:cs="Arial" w:eastAsia="Arial" w:hAnsi="Arial"/>
          <w:sz w:val="15"/>
          <w:szCs w:val="15"/>
          <w:color w:val="auto"/>
        </w:rPr>
        <w:t>99.1</w:t>
      </w:r>
      <w:r>
        <w:rPr>
          <w:sz w:val="20"/>
          <w:szCs w:val="20"/>
          <w:color w:val="auto"/>
        </w:rPr>
        <w:tab/>
      </w:r>
      <w:hyperlink w:anchor="page4">
        <w:r>
          <w:rPr>
            <w:rFonts w:ascii="Arial" w:cs="Arial" w:eastAsia="Arial" w:hAnsi="Arial"/>
            <w:sz w:val="13"/>
            <w:szCs w:val="13"/>
            <w:u w:val="single" w:color="auto"/>
            <w:color w:val="0000FF"/>
          </w:rPr>
          <w:t>Press Release issued by Expensify, Inc., dated December 16, 2021.</w:t>
        </w:r>
      </w:hyperlink>
    </w:p>
    <w:p>
      <w:pPr>
        <w:spacing w:after="0" w:line="89" w:lineRule="exact"/>
        <w:rPr>
          <w:sz w:val="20"/>
          <w:szCs w:val="20"/>
          <w:color w:val="auto"/>
        </w:rPr>
      </w:pPr>
    </w:p>
    <w:p>
      <w:pPr>
        <w:ind w:left="289"/>
        <w:spacing w:after="0"/>
        <w:tabs>
          <w:tab w:leader="none" w:pos="909" w:val="left"/>
        </w:tabs>
        <w:rPr>
          <w:rFonts w:ascii="Arial" w:cs="Arial" w:eastAsia="Arial" w:hAnsi="Arial"/>
          <w:sz w:val="13"/>
          <w:szCs w:val="13"/>
          <w:u w:val="single" w:color="auto"/>
          <w:color w:val="0000FF"/>
        </w:rPr>
      </w:pPr>
      <w:r>
        <w:rPr>
          <w:rFonts w:ascii="Arial" w:cs="Arial" w:eastAsia="Arial" w:hAnsi="Arial"/>
          <w:sz w:val="15"/>
          <w:szCs w:val="15"/>
          <w:color w:val="auto"/>
        </w:rPr>
        <w:t>99.2</w:t>
      </w:r>
      <w:r>
        <w:rPr>
          <w:sz w:val="20"/>
          <w:szCs w:val="20"/>
          <w:color w:val="auto"/>
        </w:rPr>
        <w:tab/>
      </w:r>
      <w:hyperlink w:anchor="page12">
        <w:r>
          <w:rPr>
            <w:rFonts w:ascii="Arial" w:cs="Arial" w:eastAsia="Arial" w:hAnsi="Arial"/>
            <w:sz w:val="13"/>
            <w:szCs w:val="13"/>
            <w:u w:val="single" w:color="auto"/>
            <w:color w:val="0000FF"/>
          </w:rPr>
          <w:t>Investor Presentation, dated December 16, 2021.</w:t>
        </w:r>
      </w:hyperlink>
    </w:p>
    <w:p>
      <w:pPr>
        <w:spacing w:after="0" w:line="89" w:lineRule="exact"/>
        <w:rPr>
          <w:sz w:val="20"/>
          <w:szCs w:val="20"/>
          <w:color w:val="auto"/>
        </w:rPr>
      </w:pPr>
    </w:p>
    <w:p>
      <w:pPr>
        <w:ind w:left="309"/>
        <w:spacing w:after="0"/>
        <w:tabs>
          <w:tab w:leader="none" w:pos="909" w:val="left"/>
        </w:tabs>
        <w:rPr>
          <w:sz w:val="20"/>
          <w:szCs w:val="20"/>
          <w:color w:val="auto"/>
        </w:rPr>
      </w:pPr>
      <w:r>
        <w:rPr>
          <w:rFonts w:ascii="Arial" w:cs="Arial" w:eastAsia="Arial" w:hAnsi="Arial"/>
          <w:sz w:val="15"/>
          <w:szCs w:val="15"/>
          <w:color w:val="auto"/>
        </w:rPr>
        <w:t>104</w:t>
      </w:r>
      <w:r>
        <w:rPr>
          <w:sz w:val="20"/>
          <w:szCs w:val="20"/>
          <w:color w:val="auto"/>
        </w:rPr>
        <w:tab/>
      </w:r>
      <w:r>
        <w:rPr>
          <w:rFonts w:ascii="Arial" w:cs="Arial" w:eastAsia="Arial" w:hAnsi="Arial"/>
          <w:sz w:val="15"/>
          <w:szCs w:val="15"/>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800100</wp:posOffset>
            </wp:positionV>
            <wp:extent cx="717931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189"/>
          </w:cols>
          <w:pgMar w:left="311" w:top="144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u w:val="single" w:color="auto"/>
          <w:color w:val="auto"/>
        </w:rPr>
        <w:t>SIGNATURE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8360"/>
        <w:spacing w:after="0"/>
        <w:rPr>
          <w:sz w:val="20"/>
          <w:szCs w:val="20"/>
          <w:color w:val="auto"/>
        </w:rPr>
      </w:pPr>
      <w:r>
        <w:rPr>
          <w:rFonts w:ascii="Arial" w:cs="Arial" w:eastAsia="Arial" w:hAnsi="Arial"/>
          <w:sz w:val="15"/>
          <w:szCs w:val="15"/>
          <w:color w:val="auto"/>
        </w:rPr>
        <w:t>Expensify, Inc.</w:t>
      </w:r>
    </w:p>
    <w:p>
      <w:pPr>
        <w:spacing w:after="0" w:line="225" w:lineRule="exact"/>
        <w:rPr>
          <w:sz w:val="20"/>
          <w:szCs w:val="20"/>
          <w:color w:val="auto"/>
        </w:rPr>
      </w:pPr>
    </w:p>
    <w:tbl>
      <w:tblPr>
        <w:tblLayout w:type="fixed"/>
        <w:tblInd w:w="836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Arial" w:cs="Arial" w:eastAsia="Arial" w:hAnsi="Arial"/>
                <w:sz w:val="15"/>
                <w:szCs w:val="15"/>
                <w:color w:val="auto"/>
              </w:rPr>
              <w:t>By:</w:t>
            </w:r>
          </w:p>
        </w:tc>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Ryan Schaffer</w:t>
            </w:r>
          </w:p>
        </w:tc>
      </w:tr>
      <w:tr>
        <w:trPr>
          <w:trHeight w:val="203"/>
        </w:trPr>
        <w:tc>
          <w:tcPr>
            <w:tcW w:w="540" w:type="dxa"/>
            <w:vAlign w:val="bottom"/>
          </w:tcPr>
          <w:p>
            <w:pPr>
              <w:spacing w:after="0"/>
              <w:rPr>
                <w:sz w:val="20"/>
                <w:szCs w:val="20"/>
                <w:color w:val="auto"/>
              </w:rPr>
            </w:pPr>
            <w:r>
              <w:rPr>
                <w:rFonts w:ascii="Arial" w:cs="Arial" w:eastAsia="Arial" w:hAnsi="Arial"/>
                <w:sz w:val="15"/>
                <w:szCs w:val="15"/>
                <w:color w:val="auto"/>
              </w:rPr>
              <w:t>Name:</w:t>
            </w:r>
          </w:p>
        </w:tc>
        <w:tc>
          <w:tcPr>
            <w:tcW w:w="2360" w:type="dxa"/>
            <w:vAlign w:val="bottom"/>
          </w:tcPr>
          <w:p>
            <w:pPr>
              <w:ind w:left="20"/>
              <w:spacing w:after="0"/>
              <w:rPr>
                <w:sz w:val="20"/>
                <w:szCs w:val="20"/>
                <w:color w:val="auto"/>
              </w:rPr>
            </w:pPr>
            <w:r>
              <w:rPr>
                <w:rFonts w:ascii="Arial" w:cs="Arial" w:eastAsia="Arial" w:hAnsi="Arial"/>
                <w:sz w:val="15"/>
                <w:szCs w:val="15"/>
                <w:color w:val="auto"/>
              </w:rPr>
              <w:t>Ryan Schaffer</w:t>
            </w:r>
          </w:p>
        </w:tc>
      </w:tr>
      <w:tr>
        <w:trPr>
          <w:trHeight w:val="216"/>
        </w:trPr>
        <w:tc>
          <w:tcPr>
            <w:tcW w:w="540" w:type="dxa"/>
            <w:vAlign w:val="bottom"/>
          </w:tcPr>
          <w:p>
            <w:pPr>
              <w:spacing w:after="0"/>
              <w:rPr>
                <w:sz w:val="20"/>
                <w:szCs w:val="20"/>
                <w:color w:val="auto"/>
              </w:rPr>
            </w:pPr>
            <w:r>
              <w:rPr>
                <w:rFonts w:ascii="Arial" w:cs="Arial" w:eastAsia="Arial" w:hAnsi="Arial"/>
                <w:sz w:val="15"/>
                <w:szCs w:val="15"/>
                <w:color w:val="auto"/>
              </w:rPr>
              <w:t>Title:</w:t>
            </w:r>
          </w:p>
        </w:tc>
        <w:tc>
          <w:tcPr>
            <w:tcW w:w="2360" w:type="dxa"/>
            <w:vAlign w:val="bottom"/>
          </w:tcPr>
          <w:p>
            <w:pPr>
              <w:ind w:left="20"/>
              <w:spacing w:after="0"/>
              <w:rPr>
                <w:sz w:val="20"/>
                <w:szCs w:val="20"/>
                <w:color w:val="auto"/>
              </w:rPr>
            </w:pPr>
            <w:r>
              <w:rPr>
                <w:rFonts w:ascii="Arial" w:cs="Arial" w:eastAsia="Arial" w:hAnsi="Arial"/>
                <w:sz w:val="15"/>
                <w:szCs w:val="15"/>
                <w:color w:val="auto"/>
              </w:rPr>
              <w:t>Chief Financial Officer</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Date: December 16, 2021</w:t>
      </w:r>
    </w:p>
    <w:p>
      <w:pPr>
        <w:sectPr>
          <w:pgSz w:w="11900" w:h="16838" w:orient="portrait"/>
          <w:cols w:equalWidth="0" w:num="1">
            <w:col w:w="11260"/>
          </w:cols>
          <w:pgMar w:left="320" w:top="1215"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Expensify Announces Third Quarter 2021 Results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Increased revenues 72.6% year-over-year, introduced Free Plan with unparalleled functionality, and announced up to 2% cash back on all Expensify Card spend</w:t>
      </w:r>
    </w:p>
    <w:p>
      <w:pPr>
        <w:spacing w:after="0" w:line="214" w:lineRule="exact"/>
        <w:rPr>
          <w:sz w:val="20"/>
          <w:szCs w:val="20"/>
          <w:color w:val="auto"/>
        </w:rPr>
      </w:pPr>
    </w:p>
    <w:p>
      <w:pPr>
        <w:ind w:right="220"/>
        <w:spacing w:after="0" w:line="278" w:lineRule="auto"/>
        <w:rPr>
          <w:sz w:val="20"/>
          <w:szCs w:val="20"/>
          <w:color w:val="auto"/>
        </w:rPr>
      </w:pPr>
      <w:r>
        <w:rPr>
          <w:rFonts w:ascii="Arial" w:cs="Arial" w:eastAsia="Arial" w:hAnsi="Arial"/>
          <w:sz w:val="15"/>
          <w:szCs w:val="15"/>
          <w:color w:val="auto"/>
        </w:rPr>
        <w:t>PORTLAND, Ore.–(BUSINESS WIRE)–Expensify, Inc. (Nasdaq: EXFY), a payments superapp that helps individuals and businesses around the world simplify the way they manage money across expenses, corporate cards and bills, today announced results for its quarter ended September 30, 2021.</w:t>
      </w:r>
    </w:p>
    <w:p>
      <w:pPr>
        <w:spacing w:after="0" w:line="89" w:lineRule="exact"/>
        <w:rPr>
          <w:sz w:val="20"/>
          <w:szCs w:val="20"/>
          <w:color w:val="auto"/>
        </w:rPr>
      </w:pPr>
    </w:p>
    <w:p>
      <w:pPr>
        <w:ind w:right="180"/>
        <w:spacing w:after="0" w:line="261" w:lineRule="auto"/>
        <w:rPr>
          <w:sz w:val="20"/>
          <w:szCs w:val="20"/>
          <w:color w:val="auto"/>
        </w:rPr>
      </w:pPr>
      <w:r>
        <w:rPr>
          <w:rFonts w:ascii="Arial" w:cs="Arial" w:eastAsia="Arial" w:hAnsi="Arial"/>
          <w:sz w:val="15"/>
          <w:szCs w:val="15"/>
          <w:color w:val="auto"/>
        </w:rPr>
        <w:t>“The biggest news coming out of Q3 was the launch of our Free Plan for SMBs. It offers all the basics of Expensify for free – including corporate cards with up to 2% cash back, reimbursements, bill pay, invoicing, and travel booking – so teams don't have to worry about their back office while they grow their business,” said David Barrett, founder and CEO of Expensify. “We're especially excited to watch our Free Plan spread naturally across organizations as a result of our viral, bottom-up business model and the immense greenfield opportunity that still remains in our target market.”</w:t>
      </w:r>
    </w:p>
    <w:p>
      <w:pPr>
        <w:spacing w:after="0" w:line="181"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"We saw strong paid member growth in Q3 as SMBs continue to bounce back from the pandemic, business-wise," said Ryan Schaffer, CFO of Expensify. "Combine that with a 200% year-over-year increase in Expensify Card interchange and we're very confident in our ability to continue executing our long-term vision."</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Third Quarter 2021 Highlights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w:t>
      </w:r>
    </w:p>
    <w:p>
      <w:pPr>
        <w:spacing w:after="0" w:line="22" w:lineRule="exact"/>
        <w:rPr>
          <w:sz w:val="20"/>
          <w:szCs w:val="20"/>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Revenue was $37.4 million, an increase of 72.6% from the same period last year.</w:t>
      </w:r>
    </w:p>
    <w:p>
      <w:pPr>
        <w:spacing w:after="0" w:line="113"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IPO-related bonus expense of $26.3 million impacted net (loss) income and Adjusted EBITDA.</w:t>
      </w:r>
    </w:p>
    <w:p>
      <w:pPr>
        <w:spacing w:after="0" w:line="134"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Net loss was $(6.3) million, compared to $(6.9) million for the same period last year. This was due to the IPO-related bonus.</w:t>
      </w:r>
    </w:p>
    <w:p>
      <w:pPr>
        <w:spacing w:after="0" w:line="134" w:lineRule="exact"/>
        <w:rPr>
          <w:rFonts w:ascii="Arial" w:cs="Arial" w:eastAsia="Arial" w:hAnsi="Arial"/>
          <w:sz w:val="15"/>
          <w:szCs w:val="15"/>
          <w:color w:val="auto"/>
        </w:rPr>
      </w:pPr>
    </w:p>
    <w:p>
      <w:pPr>
        <w:ind w:left="1080" w:hanging="271"/>
        <w:spacing w:after="0"/>
        <w:tabs>
          <w:tab w:leader="none" w:pos="1080" w:val="left"/>
        </w:tabs>
        <w:numPr>
          <w:ilvl w:val="1"/>
          <w:numId w:val="3"/>
        </w:numPr>
        <w:rPr>
          <w:rFonts w:ascii="Arial" w:cs="Arial" w:eastAsia="Arial" w:hAnsi="Arial"/>
          <w:sz w:val="15"/>
          <w:szCs w:val="15"/>
          <w:color w:val="auto"/>
        </w:rPr>
      </w:pPr>
      <w:r>
        <w:rPr>
          <w:rFonts w:ascii="Arial" w:cs="Arial" w:eastAsia="Arial" w:hAnsi="Arial"/>
          <w:sz w:val="15"/>
          <w:szCs w:val="15"/>
          <w:color w:val="auto"/>
        </w:rPr>
        <w:t>However, Non-GAAP net income (excluding the IPO-related bonus) was $19.9 million.</w:t>
      </w:r>
    </w:p>
    <w:p>
      <w:pPr>
        <w:spacing w:after="0" w:line="122"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Adjusted EBITDA was $(6.5) million, compared to $7.4 million for the same period last year. The decrease was due to the IPO-related bonus.</w:t>
      </w:r>
    </w:p>
    <w:p>
      <w:pPr>
        <w:spacing w:after="0" w:line="134" w:lineRule="exact"/>
        <w:rPr>
          <w:rFonts w:ascii="Arial" w:cs="Arial" w:eastAsia="Arial" w:hAnsi="Arial"/>
          <w:sz w:val="15"/>
          <w:szCs w:val="15"/>
          <w:color w:val="auto"/>
        </w:rPr>
      </w:pPr>
    </w:p>
    <w:p>
      <w:pPr>
        <w:ind w:left="1080" w:hanging="271"/>
        <w:spacing w:after="0"/>
        <w:tabs>
          <w:tab w:leader="none" w:pos="1080" w:val="left"/>
        </w:tabs>
        <w:numPr>
          <w:ilvl w:val="1"/>
          <w:numId w:val="3"/>
        </w:numPr>
        <w:rPr>
          <w:rFonts w:ascii="Arial" w:cs="Arial" w:eastAsia="Arial" w:hAnsi="Arial"/>
          <w:sz w:val="15"/>
          <w:szCs w:val="15"/>
          <w:color w:val="auto"/>
        </w:rPr>
      </w:pPr>
      <w:r>
        <w:rPr>
          <w:rFonts w:ascii="Arial" w:cs="Arial" w:eastAsia="Arial" w:hAnsi="Arial"/>
          <w:sz w:val="15"/>
          <w:szCs w:val="15"/>
          <w:color w:val="auto"/>
        </w:rPr>
        <w:t>Adjusted EBITDA excluding the IPO-related bonus was $19.8 million.</w:t>
      </w:r>
    </w:p>
    <w:p>
      <w:pPr>
        <w:spacing w:after="0" w:line="134"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Operating cash flows were $34.6 million.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2" w:lineRule="exact"/>
        <w:rPr>
          <w:sz w:val="20"/>
          <w:szCs w:val="20"/>
          <w:color w:val="auto"/>
        </w:rPr>
      </w:pPr>
    </w:p>
    <w:p>
      <w:pPr>
        <w:ind w:left="540" w:right="60" w:hanging="277"/>
        <w:spacing w:after="0" w:line="301" w:lineRule="auto"/>
        <w:tabs>
          <w:tab w:leader="none" w:pos="536" w:val="left"/>
        </w:tabs>
        <w:numPr>
          <w:ilvl w:val="0"/>
          <w:numId w:val="4"/>
        </w:numPr>
        <w:rPr>
          <w:rFonts w:ascii="Arial" w:cs="Arial" w:eastAsia="Arial" w:hAnsi="Arial"/>
          <w:sz w:val="14"/>
          <w:szCs w:val="14"/>
          <w:color w:val="auto"/>
        </w:rPr>
      </w:pPr>
      <w:r>
        <w:rPr>
          <w:rFonts w:ascii="Arial" w:cs="Arial" w:eastAsia="Arial" w:hAnsi="Arial"/>
          <w:sz w:val="14"/>
          <w:szCs w:val="14"/>
          <w:color w:val="auto"/>
        </w:rPr>
        <w:t>Paid members saw the biggest uptick in Q3 since the onset of the COVID-19 pandemic in March 2020. Average monthly paid members increased to 667 thousand, up from 639 thousand in the previous quarter. This is attributed to an increase in marketing spend and the strengthening of SMBs as lockdown restrictions were lifted.</w:t>
      </w:r>
    </w:p>
    <w:p>
      <w:pPr>
        <w:spacing w:after="0" w:line="75" w:lineRule="exact"/>
        <w:rPr>
          <w:rFonts w:ascii="Arial" w:cs="Arial" w:eastAsia="Arial" w:hAnsi="Arial"/>
          <w:sz w:val="14"/>
          <w:szCs w:val="14"/>
          <w:color w:val="auto"/>
        </w:rPr>
      </w:pPr>
    </w:p>
    <w:p>
      <w:pPr>
        <w:ind w:left="540" w:right="40" w:hanging="277"/>
        <w:spacing w:after="0" w:line="278" w:lineRule="auto"/>
        <w:tabs>
          <w:tab w:leader="none" w:pos="536"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September 2021, Expensify introduced the Free Plan, which allows members to roll out Expensify functionality across their businesses for free. The Expensify Card, expense management, next-day reimbursement, invoicing, bill pay, and travel booking are all included in the Free Plan.</w:t>
      </w:r>
    </w:p>
    <w:p>
      <w:pPr>
        <w:spacing w:after="0" w:line="106" w:lineRule="exact"/>
        <w:rPr>
          <w:rFonts w:ascii="Arial" w:cs="Arial" w:eastAsia="Arial" w:hAnsi="Arial"/>
          <w:sz w:val="15"/>
          <w:szCs w:val="15"/>
          <w:color w:val="auto"/>
        </w:rPr>
      </w:pPr>
    </w:p>
    <w:p>
      <w:pPr>
        <w:ind w:left="520" w:hanging="257"/>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5"/>
          <w:szCs w:val="15"/>
          <w:color w:val="auto"/>
        </w:rPr>
        <w:t>The Expensify Card continues to perform well. Interchange from the card increased by 207% from the same period last year.</w:t>
      </w:r>
    </w:p>
    <w:p>
      <w:pPr>
        <w:spacing w:after="0" w:line="104" w:lineRule="exact"/>
        <w:rPr>
          <w:rFonts w:ascii="Arial" w:cs="Arial" w:eastAsia="Arial" w:hAnsi="Arial"/>
          <w:sz w:val="17"/>
          <w:szCs w:val="17"/>
          <w:color w:val="auto"/>
        </w:rPr>
      </w:pPr>
    </w:p>
    <w:p>
      <w:pPr>
        <w:ind w:left="540" w:hanging="277"/>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Cash back, a new Expensify Card benefit, launched in September 2021. Now, all Expensify members can get up to 2% cash back on all purchases using the Expensify Card.</w:t>
      </w:r>
    </w:p>
    <w:p>
      <w:pPr>
        <w:sectPr>
          <w:pgSz w:w="11900" w:h="16838" w:orient="portrait"/>
          <w:cols w:equalWidth="0" w:num="1">
            <w:col w:w="11260"/>
          </w:cols>
          <w:pgMar w:left="320" w:top="125"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right="300" w:hanging="277"/>
        <w:spacing w:after="0" w:line="315" w:lineRule="auto"/>
        <w:tabs>
          <w:tab w:leader="none" w:pos="536" w:val="left"/>
        </w:tabs>
        <w:numPr>
          <w:ilvl w:val="0"/>
          <w:numId w:val="5"/>
        </w:numPr>
        <w:rPr>
          <w:rFonts w:ascii="Arial" w:cs="Arial" w:eastAsia="Arial" w:hAnsi="Arial"/>
          <w:sz w:val="14"/>
          <w:szCs w:val="14"/>
          <w:color w:val="auto"/>
        </w:rPr>
      </w:pPr>
      <w:r>
        <w:rPr>
          <w:rFonts w:ascii="Arial" w:cs="Arial" w:eastAsia="Arial" w:hAnsi="Arial"/>
          <w:sz w:val="14"/>
          <w:szCs w:val="14"/>
          <w:color w:val="auto"/>
        </w:rPr>
        <w:t>Expensify.org selected 62 grassroots organizations as winners of the Community Justice Grant Challenge. All 62 organizations will be reimbursed up to $5,000 each to help fight injustice in their communities. From those 62 organizations, 10 were selected by community vote to be reimbursed up to $25,000 each.</w:t>
      </w:r>
    </w:p>
    <w:p>
      <w:pPr>
        <w:spacing w:after="0" w:line="83" w:lineRule="exact"/>
        <w:rPr>
          <w:rFonts w:ascii="Arial" w:cs="Arial" w:eastAsia="Arial" w:hAnsi="Arial"/>
          <w:sz w:val="14"/>
          <w:szCs w:val="14"/>
          <w:color w:val="auto"/>
        </w:rPr>
      </w:pPr>
    </w:p>
    <w:p>
      <w:pPr>
        <w:ind w:left="520" w:hanging="257"/>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5"/>
          <w:szCs w:val="15"/>
          <w:color w:val="auto"/>
        </w:rPr>
        <w:t>In line with its continued commitment to ESG principles, Expensify reached carbon neutrality in 2021 and set a goal of Net Zero emissions by 2030.</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Financial Outlook</w:t>
      </w:r>
    </w:p>
    <w:p>
      <w:pPr>
        <w:spacing w:after="0" w:line="127" w:lineRule="exact"/>
        <w:rPr>
          <w:sz w:val="20"/>
          <w:szCs w:val="20"/>
          <w:color w:val="auto"/>
        </w:rPr>
      </w:pPr>
    </w:p>
    <w:p>
      <w:pPr>
        <w:ind w:right="660"/>
        <w:spacing w:after="0" w:line="246" w:lineRule="auto"/>
        <w:rPr>
          <w:sz w:val="20"/>
          <w:szCs w:val="20"/>
          <w:color w:val="auto"/>
        </w:rPr>
      </w:pPr>
      <w:r>
        <w:rPr>
          <w:rFonts w:ascii="Arial" w:cs="Arial" w:eastAsia="Arial" w:hAnsi="Arial"/>
          <w:sz w:val="15"/>
          <w:szCs w:val="15"/>
          <w:color w:val="auto"/>
        </w:rPr>
        <w:t>Expensify's outlook statements are based on current expectations. The following statements are forward-looking and actual results could differ materially depending on market conditions and the factors set forth under “Forward-Looking Statements” below.</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For the fiscal fourth quarter ending December 31, 2021, Expensify expects:</w:t>
      </w:r>
    </w:p>
    <w:p>
      <w:pPr>
        <w:spacing w:after="0" w:line="10" w:lineRule="exact"/>
        <w:rPr>
          <w:sz w:val="20"/>
          <w:szCs w:val="20"/>
          <w:color w:val="auto"/>
        </w:rPr>
      </w:pPr>
    </w:p>
    <w:p>
      <w:pPr>
        <w:ind w:left="540" w:hanging="277"/>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Revenue between $38.2 million and $39.2 million.</w:t>
      </w:r>
    </w:p>
    <w:p>
      <w:pPr>
        <w:spacing w:after="0" w:line="122" w:lineRule="exact"/>
        <w:rPr>
          <w:rFonts w:ascii="Arial" w:cs="Arial" w:eastAsia="Arial" w:hAnsi="Arial"/>
          <w:sz w:val="15"/>
          <w:szCs w:val="15"/>
          <w:color w:val="auto"/>
        </w:rPr>
      </w:pPr>
    </w:p>
    <w:p>
      <w:pPr>
        <w:ind w:left="540" w:hanging="277"/>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Average monthly paid members between 673 thousand and 691 thousand.</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Availability of Information on Expensify’s Website</w:t>
      </w:r>
    </w:p>
    <w:p>
      <w:pPr>
        <w:spacing w:after="0" w:line="138" w:lineRule="exact"/>
        <w:rPr>
          <w:sz w:val="20"/>
          <w:szCs w:val="20"/>
          <w:color w:val="auto"/>
        </w:rPr>
      </w:pPr>
    </w:p>
    <w:p>
      <w:pPr>
        <w:ind w:right="340"/>
        <w:spacing w:after="0" w:line="261" w:lineRule="auto"/>
        <w:rPr>
          <w:sz w:val="20"/>
          <w:szCs w:val="20"/>
          <w:color w:val="auto"/>
        </w:rPr>
      </w:pPr>
      <w:r>
        <w:rPr>
          <w:rFonts w:ascii="Arial" w:cs="Arial" w:eastAsia="Arial" w:hAnsi="Arial"/>
          <w:sz w:val="15"/>
          <w:szCs w:val="15"/>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Conference Call</w:t>
      </w:r>
    </w:p>
    <w:p>
      <w:pPr>
        <w:spacing w:after="0" w:line="138" w:lineRule="exact"/>
        <w:rPr>
          <w:sz w:val="20"/>
          <w:szCs w:val="20"/>
          <w:color w:val="auto"/>
        </w:rPr>
      </w:pPr>
    </w:p>
    <w:p>
      <w:pPr>
        <w:ind w:right="980"/>
        <w:spacing w:after="0" w:line="278" w:lineRule="auto"/>
        <w:rPr>
          <w:sz w:val="20"/>
          <w:szCs w:val="20"/>
          <w:color w:val="auto"/>
        </w:rPr>
      </w:pPr>
      <w:r>
        <w:rPr>
          <w:rFonts w:ascii="Arial" w:cs="Arial" w:eastAsia="Arial" w:hAnsi="Arial"/>
          <w:sz w:val="15"/>
          <w:szCs w:val="15"/>
          <w:color w:val="auto"/>
        </w:rPr>
        <w:t>Expensify will host a video call to discuss the results at 2:00 p.m. Pacific Time today. The video call information is available on Expensify’s Investor Relations website at https://ir.expensify.com. A replay of the call will be available on the site for three months.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Non-GAAP Financial Measures</w:t>
      </w:r>
    </w:p>
    <w:p>
      <w:pPr>
        <w:spacing w:after="0" w:line="138" w:lineRule="exact"/>
        <w:rPr>
          <w:sz w:val="20"/>
          <w:szCs w:val="20"/>
          <w:color w:val="auto"/>
        </w:rPr>
      </w:pPr>
    </w:p>
    <w:p>
      <w:pPr>
        <w:ind w:right="300"/>
        <w:spacing w:after="0" w:line="325" w:lineRule="auto"/>
        <w:rPr>
          <w:sz w:val="20"/>
          <w:szCs w:val="20"/>
          <w:color w:val="auto"/>
        </w:rPr>
      </w:pPr>
      <w:r>
        <w:rPr>
          <w:rFonts w:ascii="Arial" w:cs="Arial" w:eastAsia="Arial" w:hAnsi="Arial"/>
          <w:sz w:val="15"/>
          <w:szCs w:val="15"/>
          <w:color w:val="auto"/>
        </w:rPr>
        <w:t>In addition to financial measures prepared in accordance with U.S. generally accepted accounting principles (“GAAP”), we provide certain non-GAAP financial measures, including Adjusted EBITDA, Adjusted EBITDA excluding the IPO-related bonus, and Non-GAAP net income.</w:t>
      </w:r>
    </w:p>
    <w:p>
      <w:pPr>
        <w:spacing w:after="0" w:line="146"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w:t>
      </w:r>
    </w:p>
    <w:p>
      <w:pPr>
        <w:sectPr>
          <w:pgSz w:w="11900" w:h="16838" w:orient="portrait"/>
          <w:cols w:equalWidth="0" w:num="1">
            <w:col w:w="11260"/>
          </w:cols>
          <w:pgMar w:left="320" w:top="125"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5"/>
          <w:szCs w:val="1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business. A reconciliation of each non-GAAP financial measure to the most directly comparable financial measure stated in accordance with GAAP is at the end of this press release.</w:t>
      </w:r>
    </w:p>
    <w:p>
      <w:pPr>
        <w:spacing w:after="0" w:line="225" w:lineRule="exact"/>
        <w:rPr>
          <w:sz w:val="20"/>
          <w:szCs w:val="20"/>
          <w:color w:val="auto"/>
        </w:rPr>
      </w:pPr>
    </w:p>
    <w:p>
      <w:pPr>
        <w:ind w:right="460"/>
        <w:spacing w:after="0" w:line="278" w:lineRule="auto"/>
        <w:rPr>
          <w:sz w:val="20"/>
          <w:szCs w:val="20"/>
          <w:color w:val="auto"/>
        </w:rPr>
      </w:pPr>
      <w:r>
        <w:rPr>
          <w:rFonts w:ascii="Arial" w:cs="Arial" w:eastAsia="Arial" w:hAnsi="Arial"/>
          <w:sz w:val="15"/>
          <w:szCs w:val="15"/>
          <w:color w:val="auto"/>
        </w:rPr>
        <w:t>We define Adjusted EBITDA as net income from operations excluding provision for income taxes, interest and other expenses, net, depreciation and amortization and stock based compensation.</w:t>
      </w:r>
    </w:p>
    <w:p>
      <w:pPr>
        <w:spacing w:after="0" w:line="168"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We define Adjusted EBITDA excluding the IPO-related bonus as net income from operations excluding provision for income taxes, interest and other expenses, net, depreciation and amortization, stock based compensation, and IPO-related bonus costs.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We define Non-GAAP net income as GAAP net income excluding the IPO-related bonus costs.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The tables at the end of the Financial Statements provide reconciliations to the most directly comparable GAAP financial measure to each of these non-GAAP financial measures.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Forward-Looking Statements</w:t>
      </w:r>
    </w:p>
    <w:p>
      <w:pPr>
        <w:spacing w:after="0" w:line="138"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Forward-looking statements in this press release,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effects of the COVID-19 pandemic and the end of the COVID-19 pandemic on our business, results of operations and financial condition, and the global economy generally;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the societal and economic impact of the COVID-19 pandemic, and geopolitical uncertainty and instability;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w:t>
      </w:r>
    </w:p>
    <w:p>
      <w:pPr>
        <w:sectPr>
          <w:pgSz w:w="11900" w:h="16838" w:orient="portrait"/>
          <w:cols w:equalWidth="0" w:num="1">
            <w:col w:w="11260"/>
          </w:cols>
          <w:pgMar w:left="320" w:top="125"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5"/>
          <w:szCs w:val="1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spacing w:after="0" w:line="324" w:lineRule="auto"/>
        <w:rPr>
          <w:sz w:val="20"/>
          <w:szCs w:val="20"/>
          <w:color w:val="auto"/>
        </w:rPr>
      </w:pPr>
      <w:r>
        <w:rPr>
          <w:rFonts w:ascii="Arial" w:cs="Arial" w:eastAsia="Arial" w:hAnsi="Arial"/>
          <w:sz w:val="13"/>
          <w:szCs w:val="13"/>
          <w:color w:val="auto"/>
        </w:rPr>
        <w:t>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About Expensify</w:t>
      </w:r>
    </w:p>
    <w:p>
      <w:pPr>
        <w:spacing w:after="0" w:line="138" w:lineRule="exact"/>
        <w:rPr>
          <w:sz w:val="20"/>
          <w:szCs w:val="20"/>
          <w:color w:val="auto"/>
        </w:rPr>
      </w:pPr>
    </w:p>
    <w:p>
      <w:pPr>
        <w:ind w:right="440"/>
        <w:spacing w:after="0" w:line="293" w:lineRule="auto"/>
        <w:rPr>
          <w:sz w:val="20"/>
          <w:szCs w:val="20"/>
          <w:color w:val="auto"/>
        </w:rPr>
      </w:pPr>
      <w:r>
        <w:rPr>
          <w:rFonts w:ascii="Arial" w:cs="Arial" w:eastAsia="Arial" w:hAnsi="Arial"/>
          <w:sz w:val="14"/>
          <w:szCs w:val="14"/>
          <w:color w:val="auto"/>
        </w:rPr>
        <w:t>Expensify is a payments superapp that helps individuals and businesses around the world simplify the way they manage money. More than 10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Relations Contact</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Nick Tooker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investors@expensify.com</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Press Contact</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James Dean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press@expensify.com</w:t>
      </w:r>
    </w:p>
    <w:p>
      <w:pPr>
        <w:sectPr>
          <w:pgSz w:w="11900" w:h="16838" w:orient="portrait"/>
          <w:cols w:equalWidth="0" w:num="1">
            <w:col w:w="11260"/>
          </w:cols>
          <w:pgMar w:left="320" w:top="125"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99.1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Expensify,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539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left="8300"/>
        <w:spacing w:after="0"/>
        <w:rPr>
          <w:sz w:val="20"/>
          <w:szCs w:val="20"/>
          <w:color w:val="auto"/>
        </w:rPr>
      </w:pPr>
      <w:r>
        <w:rPr>
          <w:rFonts w:ascii="Arial" w:cs="Arial" w:eastAsia="Arial" w:hAnsi="Arial"/>
          <w:sz w:val="10"/>
          <w:szCs w:val="10"/>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40640</wp:posOffset>
            </wp:positionV>
            <wp:extent cx="9950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5045" cy="6985"/>
                    </a:xfrm>
                    <a:prstGeom prst="rect">
                      <a:avLst/>
                    </a:prstGeom>
                    <a:noFill/>
                  </pic:spPr>
                </pic:pic>
              </a:graphicData>
            </a:graphic>
          </wp:anchor>
        </w:drawing>
      </w:r>
    </w:p>
    <w:p>
      <w:pPr>
        <w:spacing w:after="0" w:line="69" w:lineRule="exact"/>
        <w:rPr>
          <w:sz w:val="20"/>
          <w:szCs w:val="20"/>
          <w:color w:val="auto"/>
        </w:rPr>
      </w:pPr>
    </w:p>
    <w:p>
      <w:pPr>
        <w:jc w:val="center"/>
        <w:ind w:left="8300"/>
        <w:spacing w:after="0"/>
        <w:rPr>
          <w:sz w:val="20"/>
          <w:szCs w:val="20"/>
          <w:color w:val="auto"/>
        </w:rPr>
      </w:pP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40640</wp:posOffset>
            </wp:positionV>
            <wp:extent cx="9950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5045" cy="6985"/>
                    </a:xfrm>
                    <a:prstGeom prst="rect">
                      <a:avLst/>
                    </a:prstGeom>
                    <a:noFill/>
                  </pic:spPr>
                </pic:pic>
              </a:graphicData>
            </a:graphic>
          </wp:anchor>
        </w:drawing>
      </w:r>
    </w:p>
    <w:p>
      <w:pPr>
        <w:spacing w:after="0" w:line="69" w:lineRule="exact"/>
        <w:rPr>
          <w:sz w:val="20"/>
          <w:szCs w:val="20"/>
          <w:color w:val="auto"/>
        </w:rPr>
      </w:pPr>
    </w:p>
    <w:p>
      <w:pPr>
        <w:jc w:val="center"/>
        <w:ind w:right="280"/>
        <w:spacing w:after="0"/>
        <w:rPr>
          <w:sz w:val="20"/>
          <w:szCs w:val="20"/>
          <w:color w:val="auto"/>
        </w:rPr>
      </w:pPr>
      <w:r>
        <w:rPr>
          <w:rFonts w:ascii="Arial" w:cs="Arial" w:eastAsia="Arial" w:hAnsi="Arial"/>
          <w:sz w:val="12"/>
          <w:szCs w:val="12"/>
          <w:b w:val="1"/>
          <w:bCs w:val="1"/>
          <w:color w:val="auto"/>
        </w:rPr>
        <w:t>2020</w:t>
      </w:r>
    </w:p>
    <w:p>
      <w:pPr>
        <w:spacing w:after="0" w:line="21" w:lineRule="exact"/>
        <w:rPr>
          <w:sz w:val="20"/>
          <w:szCs w:val="20"/>
          <w:color w:val="auto"/>
        </w:rPr>
      </w:pPr>
    </w:p>
    <w:p>
      <w:pPr>
        <w:sectPr>
          <w:pgSz w:w="11900" w:h="16838" w:orient="portrait"/>
          <w:cols w:equalWidth="0" w:num="2">
            <w:col w:w="9340" w:space="640"/>
            <w:col w:w="1280"/>
          </w:cols>
          <w:pgMar w:left="320" w:top="132" w:right="3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8040" w:type="dxa"/>
            <w:vAlign w:val="bottom"/>
            <w:tcBorders>
              <w:top w:val="single" w:sz="8" w:color="CCEEFF"/>
            </w:tcBorders>
            <w:shd w:val="clear" w:color="auto" w:fill="CCEEFF"/>
          </w:tcPr>
          <w:p>
            <w:pPr>
              <w:ind w:left="3800"/>
              <w:spacing w:after="0"/>
              <w:rPr>
                <w:sz w:val="20"/>
                <w:szCs w:val="20"/>
                <w:color w:val="auto"/>
              </w:rPr>
            </w:pPr>
            <w:r>
              <w:rPr>
                <w:rFonts w:ascii="Arial" w:cs="Arial" w:eastAsia="Arial" w:hAnsi="Arial"/>
                <w:sz w:val="15"/>
                <w:szCs w:val="15"/>
                <w:b w:val="1"/>
                <w:bCs w:val="1"/>
                <w:color w:val="auto"/>
              </w:rPr>
              <w:t>Assets</w:t>
            </w:r>
          </w:p>
        </w:tc>
        <w:tc>
          <w:tcPr>
            <w:tcW w:w="5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68,058</w:t>
            </w:r>
          </w:p>
        </w:tc>
        <w:tc>
          <w:tcPr>
            <w:tcW w:w="80" w:type="dxa"/>
            <w:vAlign w:val="bottom"/>
          </w:tcPr>
          <w:p>
            <w:pPr>
              <w:spacing w:after="0"/>
              <w:rPr>
                <w:sz w:val="17"/>
                <w:szCs w:val="17"/>
                <w:color w:val="auto"/>
              </w:rPr>
            </w:pPr>
          </w:p>
        </w:tc>
        <w:tc>
          <w:tcPr>
            <w:tcW w:w="560" w:type="dxa"/>
            <w:vAlign w:val="bottom"/>
          </w:tcPr>
          <w:p>
            <w:pPr>
              <w:jc w:val="right"/>
              <w:ind w:right="38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34,401</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Accounts receivable, net</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13,608</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10,024</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Settlement assets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25,107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14,308</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Prepaid expenses</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3,813</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Related party loan receivable, current</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current assets</w:t>
            </w: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11,817</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3,404</w:t>
            </w:r>
          </w:p>
        </w:tc>
        <w:tc>
          <w:tcPr>
            <w:tcW w:w="0" w:type="dxa"/>
            <w:vAlign w:val="bottom"/>
          </w:tcPr>
          <w:p>
            <w:pPr>
              <w:spacing w:after="0"/>
              <w:rPr>
                <w:sz w:val="1"/>
                <w:szCs w:val="1"/>
                <w:color w:val="auto"/>
              </w:rPr>
            </w:pPr>
          </w:p>
        </w:tc>
      </w:tr>
      <w:tr>
        <w:trPr>
          <w:trHeight w:val="194"/>
        </w:trPr>
        <w:tc>
          <w:tcPr>
            <w:tcW w:w="8040" w:type="dxa"/>
            <w:vAlign w:val="bottom"/>
          </w:tcPr>
          <w:p>
            <w:pPr>
              <w:ind w:left="640"/>
              <w:spacing w:after="0"/>
              <w:rPr>
                <w:sz w:val="20"/>
                <w:szCs w:val="20"/>
                <w:color w:val="auto"/>
              </w:rPr>
            </w:pPr>
            <w:r>
              <w:rPr>
                <w:rFonts w:ascii="Arial" w:cs="Arial" w:eastAsia="Arial" w:hAnsi="Arial"/>
                <w:sz w:val="15"/>
                <w:szCs w:val="15"/>
                <w:color w:val="auto"/>
              </w:rPr>
              <w:t>Total current assets</w:t>
            </w:r>
          </w:p>
        </w:tc>
        <w:tc>
          <w:tcPr>
            <w:tcW w:w="5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123,227</w:t>
            </w: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63,664</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Capitalized software, net</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6,607</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3,722</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16,335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15,363</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Lease right-of-use assets</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2,588</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3,733</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Deferred tax assets, net</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418</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Related party loan receivable, non-current</w:t>
            </w:r>
          </w:p>
        </w:tc>
        <w:tc>
          <w:tcPr>
            <w:tcW w:w="5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Other assets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assets</w:t>
            </w: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149,887</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87,733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3580"/>
              <w:spacing w:after="0"/>
              <w:rPr>
                <w:sz w:val="20"/>
                <w:szCs w:val="20"/>
                <w:color w:val="auto"/>
              </w:rPr>
            </w:pPr>
            <w:r>
              <w:rPr>
                <w:rFonts w:ascii="Arial" w:cs="Arial" w:eastAsia="Arial" w:hAnsi="Arial"/>
                <w:sz w:val="15"/>
                <w:szCs w:val="15"/>
                <w:b w:val="1"/>
                <w:bCs w:val="1"/>
                <w:color w:val="auto"/>
                <w:w w:val="98"/>
              </w:rPr>
              <w:t>Liabilities, convertible preferred stock and stockholders' deficit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0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540" w:type="dxa"/>
            <w:vAlign w:val="bottom"/>
            <w:tcBorders>
              <w:bottom w:val="single" w:sz="8" w:color="CCEEFF"/>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1,998</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8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2,328</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Accrued expenses and other liabilities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23,200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3,535</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Borrowings under line of credit</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Current portion of long-term debt, net of issuance costs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2,454</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Lease liabilities, current</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1,540</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Settlement liabilities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25,007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14,308</w:t>
            </w:r>
          </w:p>
        </w:tc>
        <w:tc>
          <w:tcPr>
            <w:tcW w:w="0" w:type="dxa"/>
            <w:vAlign w:val="bottom"/>
          </w:tcPr>
          <w:p>
            <w:pPr>
              <w:spacing w:after="0"/>
              <w:rPr>
                <w:sz w:val="1"/>
                <w:szCs w:val="1"/>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5"/>
                <w:szCs w:val="15"/>
                <w:color w:val="auto"/>
              </w:rPr>
              <w:t>Total current liabilities</w:t>
            </w:r>
          </w:p>
        </w:tc>
        <w:tc>
          <w:tcPr>
            <w:tcW w:w="5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67,292</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39,200</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Lease liabilities, non-current</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1,192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2,350</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tax liabilities, net</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916</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916</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Other liabilities</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877</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debt, net of issuance costs</w:t>
            </w: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52,093</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30,321</w:t>
            </w:r>
          </w:p>
        </w:tc>
        <w:tc>
          <w:tcPr>
            <w:tcW w:w="0" w:type="dxa"/>
            <w:vAlign w:val="bottom"/>
          </w:tcPr>
          <w:p>
            <w:pPr>
              <w:spacing w:after="0"/>
              <w:rPr>
                <w:sz w:val="1"/>
                <w:szCs w:val="1"/>
                <w:color w:val="auto"/>
              </w:rPr>
            </w:pPr>
          </w:p>
        </w:tc>
      </w:tr>
      <w:tr>
        <w:trPr>
          <w:trHeight w:val="194"/>
        </w:trPr>
        <w:tc>
          <w:tcPr>
            <w:tcW w:w="8040" w:type="dxa"/>
            <w:vAlign w:val="bottom"/>
          </w:tcPr>
          <w:p>
            <w:pPr>
              <w:ind w:left="640"/>
              <w:spacing w:after="0"/>
              <w:rPr>
                <w:sz w:val="20"/>
                <w:szCs w:val="20"/>
                <w:color w:val="auto"/>
              </w:rPr>
            </w:pPr>
            <w:r>
              <w:rPr>
                <w:rFonts w:ascii="Arial" w:cs="Arial" w:eastAsia="Arial" w:hAnsi="Arial"/>
                <w:sz w:val="15"/>
                <w:szCs w:val="15"/>
                <w:color w:val="auto"/>
              </w:rPr>
              <w:t>Total liabilities</w:t>
            </w:r>
          </w:p>
        </w:tc>
        <w:tc>
          <w:tcPr>
            <w:tcW w:w="5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121,898</w:t>
            </w: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73,664</w:t>
            </w:r>
          </w:p>
        </w:tc>
        <w:tc>
          <w:tcPr>
            <w:tcW w:w="0" w:type="dxa"/>
            <w:vAlign w:val="bottom"/>
          </w:tcPr>
          <w:p>
            <w:pPr>
              <w:spacing w:after="0"/>
              <w:rPr>
                <w:sz w:val="1"/>
                <w:szCs w:val="1"/>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Commitments and contingencies (Note 12)</w:t>
            </w:r>
          </w:p>
        </w:tc>
        <w:tc>
          <w:tcPr>
            <w:tcW w:w="5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040" w:type="dxa"/>
            <w:vAlign w:val="bottom"/>
          </w:tcPr>
          <w:p>
            <w:pPr>
              <w:spacing w:after="0"/>
              <w:rPr>
                <w:sz w:val="20"/>
                <w:szCs w:val="20"/>
                <w:color w:val="auto"/>
              </w:rPr>
            </w:pPr>
            <w:r>
              <w:rPr>
                <w:rFonts w:ascii="Arial" w:cs="Arial" w:eastAsia="Arial" w:hAnsi="Arial"/>
                <w:sz w:val="15"/>
                <w:szCs w:val="15"/>
                <w:color w:val="auto"/>
                <w:w w:val="93"/>
              </w:rPr>
              <w:t>Convertible preferred stock, par value $0.0001; 4,203,139 shares authorized, issued and outstanding at September 30, 2021 and</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40" w:type="dxa"/>
            <w:vAlign w:val="bottom"/>
          </w:tcPr>
          <w:p>
            <w:pPr>
              <w:ind w:left="140"/>
              <w:spacing w:after="0"/>
              <w:rPr>
                <w:sz w:val="20"/>
                <w:szCs w:val="20"/>
                <w:color w:val="auto"/>
              </w:rPr>
            </w:pPr>
            <w:r>
              <w:rPr>
                <w:rFonts w:ascii="Arial" w:cs="Arial" w:eastAsia="Arial" w:hAnsi="Arial"/>
                <w:sz w:val="15"/>
                <w:szCs w:val="15"/>
                <w:color w:val="auto"/>
              </w:rPr>
              <w:t>December 31, 2020 (aggregate liquidation preference of $24,929,457 at September 30, 2021 and December 31, 2020</w:t>
            </w:r>
          </w:p>
        </w:tc>
        <w:tc>
          <w:tcPr>
            <w:tcW w:w="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45,105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45,105</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Stockholders' deficit:</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40" w:type="dxa"/>
            <w:vAlign w:val="bottom"/>
          </w:tcPr>
          <w:p>
            <w:pPr>
              <w:spacing w:after="0"/>
              <w:rPr>
                <w:sz w:val="20"/>
                <w:szCs w:val="20"/>
                <w:color w:val="auto"/>
              </w:rPr>
            </w:pPr>
            <w:r>
              <w:rPr>
                <w:rFonts w:ascii="Arial" w:cs="Arial" w:eastAsia="Arial" w:hAnsi="Arial"/>
                <w:sz w:val="15"/>
                <w:szCs w:val="15"/>
                <w:color w:val="auto"/>
                <w:w w:val="94"/>
              </w:rPr>
              <w:t>Common stock, par value $0.0001; 95,000,000 shares authorized: 36,240,800 and 29,366,940 shares issued and outstanding at</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40" w:type="dxa"/>
            <w:vAlign w:val="bottom"/>
          </w:tcPr>
          <w:p>
            <w:pPr>
              <w:ind w:left="140"/>
              <w:spacing w:after="0"/>
              <w:rPr>
                <w:sz w:val="20"/>
                <w:szCs w:val="20"/>
                <w:color w:val="auto"/>
              </w:rPr>
            </w:pPr>
            <w:r>
              <w:rPr>
                <w:rFonts w:ascii="Arial" w:cs="Arial" w:eastAsia="Arial" w:hAnsi="Arial"/>
                <w:sz w:val="15"/>
                <w:szCs w:val="15"/>
                <w:color w:val="auto"/>
              </w:rPr>
              <w:t>September 30, 2021 and December 31, 2020 respectively</w:t>
            </w:r>
          </w:p>
        </w:tc>
        <w:tc>
          <w:tcPr>
            <w:tcW w:w="5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5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27,416</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21,312</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5"/>
                <w:szCs w:val="15"/>
                <w:color w:val="auto"/>
              </w:rPr>
              <w:t>Subscriptions receivable (including accrued interest of $0)</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(44,019)</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(52,348)</w:t>
            </w:r>
          </w:p>
        </w:tc>
        <w:tc>
          <w:tcPr>
            <w:tcW w:w="0" w:type="dxa"/>
            <w:vAlign w:val="bottom"/>
          </w:tcPr>
          <w:p>
            <w:pPr>
              <w:spacing w:after="0"/>
              <w:rPr>
                <w:sz w:val="1"/>
                <w:szCs w:val="1"/>
                <w:color w:val="auto"/>
              </w:rPr>
            </w:pPr>
          </w:p>
        </w:tc>
      </w:tr>
      <w:tr>
        <w:trPr>
          <w:trHeight w:val="194"/>
        </w:trPr>
        <w:tc>
          <w:tcPr>
            <w:tcW w:w="8040" w:type="dxa"/>
            <w:vAlign w:val="bottom"/>
          </w:tcPr>
          <w:p>
            <w:pPr>
              <w:ind w:left="620"/>
              <w:spacing w:after="0"/>
              <w:rPr>
                <w:sz w:val="20"/>
                <w:szCs w:val="20"/>
                <w:color w:val="auto"/>
              </w:rPr>
            </w:pPr>
            <w:r>
              <w:rPr>
                <w:rFonts w:ascii="Arial" w:cs="Arial" w:eastAsia="Arial" w:hAnsi="Arial"/>
                <w:sz w:val="15"/>
                <w:szCs w:val="15"/>
                <w:color w:val="auto"/>
              </w:rPr>
              <w:t>Total stockholders' deficit</w:t>
            </w:r>
          </w:p>
        </w:tc>
        <w:tc>
          <w:tcPr>
            <w:tcW w:w="5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(17,116)</w:t>
            </w: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(31,036)</w:t>
            </w:r>
          </w:p>
        </w:tc>
        <w:tc>
          <w:tcPr>
            <w:tcW w:w="0" w:type="dxa"/>
            <w:vAlign w:val="bottom"/>
          </w:tcPr>
          <w:p>
            <w:pPr>
              <w:spacing w:after="0"/>
              <w:rPr>
                <w:sz w:val="1"/>
                <w:szCs w:val="1"/>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liabilities, convertible preferred stock and stockholders' deficit</w:t>
            </w: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149,887</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87,733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32" w:right="31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7"/>
          <w:szCs w:val="17"/>
          <w:b w:val="1"/>
          <w:bCs w:val="1"/>
          <w:color w:val="auto"/>
        </w:rPr>
        <w:t>Exhibit 99.1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Expensify,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420"/>
        <w:spacing w:after="0"/>
        <w:rPr>
          <w:sz w:val="20"/>
          <w:szCs w:val="20"/>
          <w:color w:val="auto"/>
        </w:rPr>
      </w:pPr>
      <w:r>
        <w:rPr>
          <w:rFonts w:ascii="Arial" w:cs="Arial" w:eastAsia="Arial" w:hAnsi="Arial"/>
          <w:sz w:val="10"/>
          <w:szCs w:val="10"/>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40640</wp:posOffset>
            </wp:positionV>
            <wp:extent cx="20478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69" w:lineRule="exact"/>
        <w:rPr>
          <w:sz w:val="20"/>
          <w:szCs w:val="20"/>
          <w:color w:val="auto"/>
        </w:rPr>
      </w:pPr>
    </w:p>
    <w:p>
      <w:pPr>
        <w:ind w:left="5380"/>
        <w:spacing w:after="0"/>
        <w:tabs>
          <w:tab w:leader="none" w:pos="7020" w:val="left"/>
        </w:tabs>
        <w:rPr>
          <w:sz w:val="20"/>
          <w:szCs w:val="20"/>
          <w:color w:val="auto"/>
        </w:rPr>
      </w:pPr>
      <w:r>
        <w:rPr>
          <w:rFonts w:ascii="Arial" w:cs="Arial" w:eastAsia="Arial" w:hAnsi="Arial"/>
          <w:sz w:val="10"/>
          <w:szCs w:val="10"/>
          <w:b w:val="1"/>
          <w:bCs w:val="1"/>
          <w:color w:val="auto"/>
        </w:rPr>
        <w:t>2021</w:t>
      </w:r>
      <w:r>
        <w:rPr>
          <w:sz w:val="20"/>
          <w:szCs w:val="20"/>
          <w:color w:val="auto"/>
        </w:rPr>
        <w:tab/>
      </w:r>
      <w:r>
        <w:rPr>
          <w:rFonts w:ascii="Arial" w:cs="Arial" w:eastAsia="Arial" w:hAnsi="Arial"/>
          <w:sz w:val="10"/>
          <w:szCs w:val="10"/>
          <w:b w:val="1"/>
          <w:bCs w:val="1"/>
          <w:color w:val="auto"/>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jc w:val="center"/>
        <w:ind w:right="66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33020</wp:posOffset>
            </wp:positionV>
            <wp:extent cx="20478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47875" cy="6985"/>
                    </a:xfrm>
                    <a:prstGeom prst="rect">
                      <a:avLst/>
                    </a:prstGeom>
                    <a:noFill/>
                  </pic:spPr>
                </pic:pic>
              </a:graphicData>
            </a:graphic>
          </wp:anchor>
        </w:drawing>
      </w:r>
    </w:p>
    <w:p>
      <w:pPr>
        <w:spacing w:after="0" w:line="58" w:lineRule="exact"/>
        <w:rPr>
          <w:sz w:val="20"/>
          <w:szCs w:val="20"/>
          <w:color w:val="auto"/>
        </w:rPr>
      </w:pPr>
    </w:p>
    <w:p>
      <w:pPr>
        <w:spacing w:after="0"/>
        <w:tabs>
          <w:tab w:leader="none" w:pos="1640" w:val="left"/>
        </w:tabs>
        <w:rPr>
          <w:sz w:val="20"/>
          <w:szCs w:val="20"/>
          <w:color w:val="auto"/>
        </w:rPr>
      </w:pPr>
      <w:r>
        <w:rPr>
          <w:rFonts w:ascii="Arial" w:cs="Arial" w:eastAsia="Arial" w:hAnsi="Arial"/>
          <w:sz w:val="10"/>
          <w:szCs w:val="10"/>
          <w:b w:val="1"/>
          <w:bCs w:val="1"/>
          <w:color w:val="auto"/>
        </w:rPr>
        <w:t>2021</w:t>
      </w:r>
      <w:r>
        <w:rPr>
          <w:sz w:val="20"/>
          <w:szCs w:val="20"/>
          <w:color w:val="auto"/>
        </w:rPr>
        <w:tab/>
      </w:r>
      <w:r>
        <w:rPr>
          <w:rFonts w:ascii="Arial" w:cs="Arial" w:eastAsia="Arial" w:hAnsi="Arial"/>
          <w:sz w:val="10"/>
          <w:szCs w:val="10"/>
          <w:b w:val="1"/>
          <w:bCs w:val="1"/>
          <w:color w:val="auto"/>
        </w:rPr>
        <w:t>2020</w:t>
      </w:r>
    </w:p>
    <w:p>
      <w:pPr>
        <w:spacing w:after="0" w:line="44" w:lineRule="exact"/>
        <w:rPr>
          <w:sz w:val="20"/>
          <w:szCs w:val="20"/>
          <w:color w:val="auto"/>
        </w:rPr>
      </w:pPr>
    </w:p>
    <w:p>
      <w:pPr>
        <w:sectPr>
          <w:pgSz w:w="11900" w:h="16838" w:orient="portrait"/>
          <w:cols w:equalWidth="0" w:num="2">
            <w:col w:w="7980" w:space="720"/>
            <w:col w:w="2560"/>
          </w:cols>
          <w:pgMar w:left="320" w:top="132" w:right="31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42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37,447</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21,694</w:t>
            </w:r>
          </w:p>
        </w:tc>
        <w:tc>
          <w:tcPr>
            <w:tcW w:w="10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102,471</w:t>
            </w:r>
          </w:p>
        </w:tc>
        <w:tc>
          <w:tcPr>
            <w:tcW w:w="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62,335</w:t>
            </w:r>
          </w:p>
        </w:tc>
        <w:tc>
          <w:tcPr>
            <w:tcW w:w="0" w:type="dxa"/>
            <w:vAlign w:val="bottom"/>
          </w:tcPr>
          <w:p>
            <w:pPr>
              <w:spacing w:after="0"/>
              <w:rPr>
                <w:sz w:val="1"/>
                <w:szCs w:val="1"/>
                <w:color w:val="auto"/>
              </w:rPr>
            </w:pPr>
          </w:p>
        </w:tc>
      </w:tr>
      <w:tr>
        <w:trPr>
          <w:trHeight w:val="241"/>
        </w:trPr>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revenue, net</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18,197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33,768</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23,881</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19,250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68,703</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38,454</w:t>
            </w:r>
          </w:p>
        </w:tc>
        <w:tc>
          <w:tcPr>
            <w:tcW w:w="0" w:type="dxa"/>
            <w:vAlign w:val="bottom"/>
          </w:tcPr>
          <w:p>
            <w:pPr>
              <w:spacing w:after="0"/>
              <w:rPr>
                <w:sz w:val="1"/>
                <w:szCs w:val="1"/>
                <w:color w:val="auto"/>
              </w:rPr>
            </w:pPr>
          </w:p>
        </w:tc>
      </w:tr>
      <w:tr>
        <w:trPr>
          <w:trHeight w:val="221"/>
        </w:trPr>
        <w:tc>
          <w:tcPr>
            <w:tcW w:w="4720" w:type="dxa"/>
            <w:vAlign w:val="bottom"/>
          </w:tcPr>
          <w:p>
            <w:pPr>
              <w:spacing w:after="0"/>
              <w:rPr>
                <w:sz w:val="20"/>
                <w:szCs w:val="20"/>
                <w:color w:val="auto"/>
              </w:rPr>
            </w:pPr>
            <w:r>
              <w:rPr>
                <w:rFonts w:ascii="Arial" w:cs="Arial" w:eastAsia="Arial" w:hAnsi="Arial"/>
                <w:sz w:val="17"/>
                <w:szCs w:val="17"/>
                <w:color w:val="auto"/>
              </w:rPr>
              <w:t>Operating expenses: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8,138</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4,645</w:t>
            </w:r>
          </w:p>
        </w:tc>
        <w:tc>
          <w:tcPr>
            <w:tcW w:w="0" w:type="dxa"/>
            <w:vAlign w:val="bottom"/>
          </w:tcPr>
          <w:p>
            <w:pPr>
              <w:spacing w:after="0"/>
              <w:rPr>
                <w:sz w:val="1"/>
                <w:szCs w:val="1"/>
                <w:color w:val="auto"/>
              </w:rPr>
            </w:pPr>
          </w:p>
        </w:tc>
      </w:tr>
      <w:tr>
        <w:trPr>
          <w:trHeight w:val="241"/>
        </w:trPr>
        <w:tc>
          <w:tcPr>
            <w:tcW w:w="472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18,333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14,579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35,827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24,717</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14,555</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7,814</w:t>
            </w:r>
          </w:p>
        </w:tc>
        <w:tc>
          <w:tcPr>
            <w:tcW w:w="0" w:type="dxa"/>
            <w:vAlign w:val="bottom"/>
          </w:tcPr>
          <w:p>
            <w:pPr>
              <w:spacing w:after="0"/>
              <w:rPr>
                <w:sz w:val="1"/>
                <w:szCs w:val="1"/>
                <w:color w:val="auto"/>
              </w:rPr>
            </w:pPr>
          </w:p>
        </w:tc>
      </w:tr>
      <w:tr>
        <w:trPr>
          <w:trHeight w:val="241"/>
        </w:trPr>
        <w:tc>
          <w:tcPr>
            <w:tcW w:w="472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operating expenses</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28,108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18,338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58,520</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37,176</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0" w:type="dxa"/>
            <w:vAlign w:val="bottom"/>
          </w:tcPr>
          <w:p>
            <w:pPr>
              <w:spacing w:after="0"/>
              <w:rPr>
                <w:sz w:val="1"/>
                <w:szCs w:val="1"/>
                <w:color w:val="auto"/>
              </w:rPr>
            </w:pPr>
          </w:p>
        </w:tc>
      </w:tr>
      <w:tr>
        <w:trPr>
          <w:trHeight w:val="241"/>
        </w:trPr>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and other expenses, net</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(2,560)</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(2,160)</w:t>
            </w:r>
          </w:p>
        </w:tc>
        <w:tc>
          <w:tcPr>
            <w:tcW w:w="0" w:type="dxa"/>
            <w:vAlign w:val="bottom"/>
          </w:tcPr>
          <w:p>
            <w:pPr>
              <w:spacing w:after="0"/>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(Loss) income before income taxes</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0" w:type="dxa"/>
            <w:vAlign w:val="bottom"/>
          </w:tcPr>
          <w:p>
            <w:pPr>
              <w:spacing w:after="0"/>
              <w:rPr>
                <w:sz w:val="1"/>
                <w:szCs w:val="1"/>
                <w:color w:val="auto"/>
              </w:rPr>
            </w:pPr>
          </w:p>
        </w:tc>
      </w:tr>
      <w:tr>
        <w:trPr>
          <w:trHeight w:val="241"/>
        </w:trPr>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Benefit (provision) for income taxes</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706</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275"/>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Less: income allocated to participating securities</w:t>
            </w: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7"/>
                <w:szCs w:val="17"/>
                <w:color w:val="auto"/>
              </w:rPr>
              <w:t>Net (loss) income attributable to common stockholders</w:t>
            </w:r>
          </w:p>
        </w:tc>
        <w:tc>
          <w:tcPr>
            <w:tcW w:w="4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(6,345)</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(6,938)</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2,704</w:t>
            </w: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(3,452)</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5"/>
              </w:rPr>
              <w:t>Net (loss) income per share attributable to common stockholders:</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17"/>
                <w:szCs w:val="17"/>
                <w:color w:val="auto"/>
              </w:rPr>
              <w:t>Basic</w:t>
            </w:r>
          </w:p>
        </w:tc>
        <w:tc>
          <w:tcPr>
            <w:tcW w:w="42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Diluted</w:t>
            </w: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w w:val="88"/>
              </w:rPr>
              <w:t>Weighted-average shares of common stock used to compute net (loss)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720" w:type="dxa"/>
            <w:vAlign w:val="bottom"/>
          </w:tcPr>
          <w:p>
            <w:pPr>
              <w:ind w:left="140"/>
              <w:spacing w:after="0"/>
              <w:rPr>
                <w:sz w:val="20"/>
                <w:szCs w:val="20"/>
                <w:color w:val="auto"/>
              </w:rPr>
            </w:pPr>
            <w:r>
              <w:rPr>
                <w:rFonts w:ascii="Arial" w:cs="Arial" w:eastAsia="Arial" w:hAnsi="Arial"/>
                <w:sz w:val="17"/>
                <w:szCs w:val="17"/>
                <w:color w:val="auto"/>
              </w:rPr>
              <w:t>income per share attributable to common stockholders: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34,490,860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27,951,536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31,301,387</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27,095,925</w:t>
            </w:r>
          </w:p>
        </w:tc>
        <w:tc>
          <w:tcPr>
            <w:tcW w:w="0" w:type="dxa"/>
            <w:vAlign w:val="bottom"/>
          </w:tcPr>
          <w:p>
            <w:pPr>
              <w:spacing w:after="0"/>
              <w:rPr>
                <w:sz w:val="1"/>
                <w:szCs w:val="1"/>
                <w:color w:val="auto"/>
              </w:rPr>
            </w:pPr>
          </w:p>
        </w:tc>
      </w:tr>
      <w:tr>
        <w:trPr>
          <w:trHeight w:val="275"/>
        </w:trPr>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Diluted</w:t>
            </w:r>
          </w:p>
        </w:tc>
        <w:tc>
          <w:tcPr>
            <w:tcW w:w="4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34,490,860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27,951,536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41,452,880</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27,095,925</w:t>
            </w:r>
          </w:p>
        </w:tc>
        <w:tc>
          <w:tcPr>
            <w:tcW w:w="0" w:type="dxa"/>
            <w:vAlign w:val="bottom"/>
          </w:tcPr>
          <w:p>
            <w:pPr>
              <w:spacing w:after="0"/>
              <w:rPr>
                <w:sz w:val="1"/>
                <w:szCs w:val="1"/>
                <w:color w:val="auto"/>
              </w:rPr>
            </w:pPr>
          </w:p>
        </w:tc>
      </w:tr>
      <w:tr>
        <w:trPr>
          <w:trHeight w:val="20"/>
        </w:trPr>
        <w:tc>
          <w:tcPr>
            <w:tcW w:w="4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32" w:right="31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7"/>
          <w:szCs w:val="17"/>
          <w:b w:val="1"/>
          <w:bCs w:val="1"/>
          <w:color w:val="auto"/>
        </w:rPr>
        <w:t>Exhibit 99.1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Expensify,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5391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4"/>
              </w:rPr>
              <w:t>Nine months ended September 30,</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540" w:type="dxa"/>
            <w:vAlign w:val="bottom"/>
          </w:tcPr>
          <w:p>
            <w:pPr>
              <w:spacing w:after="0"/>
              <w:rPr>
                <w:sz w:val="15"/>
                <w:szCs w:val="15"/>
                <w:color w:val="auto"/>
              </w:rPr>
            </w:pPr>
          </w:p>
        </w:tc>
        <w:tc>
          <w:tcPr>
            <w:tcW w:w="168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jc w:val="right"/>
              <w:ind w:right="12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8"/>
        </w:trPr>
        <w:tc>
          <w:tcPr>
            <w:tcW w:w="5540" w:type="dxa"/>
            <w:vAlign w:val="bottom"/>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1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554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68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8,329</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(3,452)</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Adjustments to reconcile net income (loss) to net cash provided (used) by operating activities:</w:t>
            </w: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3,732</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2,353</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Reduction of operating lease right-of-use assets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552</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1,120</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Loss on impairment, receivables and sale or disposal of equipment</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283</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2,495</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12,951</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Amortization of debt issuance costs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Deferred tax assets</w:t>
            </w:r>
          </w:p>
        </w:tc>
        <w:tc>
          <w:tcPr>
            <w:tcW w:w="16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2,304</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Changes in assets and liabilities: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540" w:type="dxa"/>
            <w:vAlign w:val="bottom"/>
          </w:tcPr>
          <w:p>
            <w:pPr>
              <w:ind w:left="100"/>
              <w:spacing w:after="0"/>
              <w:rPr>
                <w:sz w:val="20"/>
                <w:szCs w:val="20"/>
                <w:color w:val="auto"/>
              </w:rPr>
            </w:pPr>
            <w:r>
              <w:rPr>
                <w:rFonts w:ascii="Arial" w:cs="Arial" w:eastAsia="Arial" w:hAnsi="Arial"/>
                <w:sz w:val="12"/>
                <w:szCs w:val="12"/>
                <w:color w:val="auto"/>
              </w:rPr>
              <w:t>Accounts receivable</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(3,865)</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Related party loan receivables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(224)</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5540" w:type="dxa"/>
            <w:vAlign w:val="bottom"/>
          </w:tcPr>
          <w:p>
            <w:pPr>
              <w:ind w:left="100"/>
              <w:spacing w:after="0"/>
              <w:rPr>
                <w:sz w:val="20"/>
                <w:szCs w:val="20"/>
                <w:color w:val="auto"/>
              </w:rPr>
            </w:pPr>
            <w:r>
              <w:rPr>
                <w:rFonts w:ascii="Arial" w:cs="Arial" w:eastAsia="Arial" w:hAnsi="Arial"/>
                <w:sz w:val="12"/>
                <w:szCs w:val="12"/>
                <w:color w:val="auto"/>
              </w:rPr>
              <w:t>Settlement assets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(3,344)</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312</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Prepaid expenses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(2,886)</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(291)</w:t>
            </w:r>
          </w:p>
        </w:tc>
        <w:tc>
          <w:tcPr>
            <w:tcW w:w="0" w:type="dxa"/>
            <w:vAlign w:val="bottom"/>
          </w:tcPr>
          <w:p>
            <w:pPr>
              <w:spacing w:after="0"/>
              <w:rPr>
                <w:sz w:val="1"/>
                <w:szCs w:val="1"/>
                <w:color w:val="auto"/>
              </w:rPr>
            </w:pPr>
          </w:p>
        </w:tc>
      </w:tr>
      <w:tr>
        <w:trPr>
          <w:trHeight w:val="172"/>
        </w:trPr>
        <w:tc>
          <w:tcPr>
            <w:tcW w:w="5540" w:type="dxa"/>
            <w:vAlign w:val="bottom"/>
          </w:tcPr>
          <w:p>
            <w:pPr>
              <w:ind w:left="100"/>
              <w:spacing w:after="0"/>
              <w:rPr>
                <w:sz w:val="20"/>
                <w:szCs w:val="20"/>
                <w:color w:val="auto"/>
              </w:rPr>
            </w:pPr>
            <w:r>
              <w:rPr>
                <w:rFonts w:ascii="Arial" w:cs="Arial" w:eastAsia="Arial" w:hAnsi="Arial"/>
                <w:sz w:val="12"/>
                <w:szCs w:val="12"/>
                <w:color w:val="auto"/>
              </w:rPr>
              <w:t>Other current assets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1,212</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(934)</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Other assets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72"/>
        </w:trPr>
        <w:tc>
          <w:tcPr>
            <w:tcW w:w="5540" w:type="dxa"/>
            <w:vAlign w:val="bottom"/>
          </w:tcPr>
          <w:p>
            <w:pPr>
              <w:ind w:left="100"/>
              <w:spacing w:after="0"/>
              <w:rPr>
                <w:sz w:val="20"/>
                <w:szCs w:val="20"/>
                <w:color w:val="auto"/>
              </w:rPr>
            </w:pPr>
            <w:r>
              <w:rPr>
                <w:rFonts w:ascii="Arial" w:cs="Arial" w:eastAsia="Arial" w:hAnsi="Arial"/>
                <w:sz w:val="12"/>
                <w:szCs w:val="12"/>
                <w:color w:val="auto"/>
              </w:rPr>
              <w:t>Accounts payable</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(330)</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(1,563)</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Accrued expenses and other liabilities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18,870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72"/>
        </w:trPr>
        <w:tc>
          <w:tcPr>
            <w:tcW w:w="5540" w:type="dxa"/>
            <w:vAlign w:val="bottom"/>
          </w:tcPr>
          <w:p>
            <w:pPr>
              <w:ind w:left="100"/>
              <w:spacing w:after="0"/>
              <w:rPr>
                <w:sz w:val="20"/>
                <w:szCs w:val="20"/>
                <w:color w:val="auto"/>
              </w:rPr>
            </w:pPr>
            <w:r>
              <w:rPr>
                <w:rFonts w:ascii="Arial" w:cs="Arial" w:eastAsia="Arial" w:hAnsi="Arial"/>
                <w:sz w:val="12"/>
                <w:szCs w:val="12"/>
                <w:color w:val="auto"/>
              </w:rPr>
              <w:t>Operating lease liabilities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(614)</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(1,179)</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Settlement liabilities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10,699</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(16,084)</w:t>
            </w:r>
          </w:p>
        </w:tc>
        <w:tc>
          <w:tcPr>
            <w:tcW w:w="0" w:type="dxa"/>
            <w:vAlign w:val="bottom"/>
          </w:tcPr>
          <w:p>
            <w:pPr>
              <w:spacing w:after="0"/>
              <w:rPr>
                <w:sz w:val="1"/>
                <w:szCs w:val="1"/>
                <w:color w:val="auto"/>
              </w:rPr>
            </w:pPr>
          </w:p>
        </w:tc>
      </w:tr>
      <w:tr>
        <w:trPr>
          <w:trHeight w:val="172"/>
        </w:trPr>
        <w:tc>
          <w:tcPr>
            <w:tcW w:w="5540" w:type="dxa"/>
            <w:vAlign w:val="bottom"/>
          </w:tcPr>
          <w:p>
            <w:pPr>
              <w:ind w:left="100"/>
              <w:spacing w:after="0"/>
              <w:rPr>
                <w:sz w:val="20"/>
                <w:szCs w:val="20"/>
                <w:color w:val="auto"/>
              </w:rPr>
            </w:pPr>
            <w:r>
              <w:rPr>
                <w:rFonts w:ascii="Arial" w:cs="Arial" w:eastAsia="Arial" w:hAnsi="Arial"/>
                <w:sz w:val="12"/>
                <w:szCs w:val="12"/>
                <w:color w:val="auto"/>
              </w:rPr>
              <w:t>Other liabilities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(472)</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21"/>
        </w:trPr>
        <w:tc>
          <w:tcPr>
            <w:tcW w:w="55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provided (used) by operating activities</w:t>
            </w:r>
          </w:p>
        </w:tc>
        <w:tc>
          <w:tcPr>
            <w:tcW w:w="16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34,580</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(4,392)</w:t>
            </w:r>
          </w:p>
        </w:tc>
        <w:tc>
          <w:tcPr>
            <w:tcW w:w="0" w:type="dxa"/>
            <w:vAlign w:val="bottom"/>
          </w:tcPr>
          <w:p>
            <w:pPr>
              <w:spacing w:after="0"/>
              <w:rPr>
                <w:sz w:val="1"/>
                <w:szCs w:val="1"/>
                <w:color w:val="auto"/>
              </w:rPr>
            </w:pPr>
          </w:p>
        </w:tc>
      </w:tr>
      <w:tr>
        <w:trPr>
          <w:trHeight w:val="152"/>
        </w:trPr>
        <w:tc>
          <w:tcPr>
            <w:tcW w:w="554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6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Purchase of property and equipment</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(2,602)</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(1,857)</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Software development costs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(4,397)</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(1,051)</w:t>
            </w:r>
          </w:p>
        </w:tc>
        <w:tc>
          <w:tcPr>
            <w:tcW w:w="0" w:type="dxa"/>
            <w:vAlign w:val="bottom"/>
          </w:tcPr>
          <w:p>
            <w:pPr>
              <w:spacing w:after="0"/>
              <w:rPr>
                <w:sz w:val="1"/>
                <w:szCs w:val="1"/>
                <w:color w:val="auto"/>
              </w:rPr>
            </w:pPr>
          </w:p>
        </w:tc>
      </w:tr>
      <w:tr>
        <w:trPr>
          <w:trHeight w:val="21"/>
        </w:trPr>
        <w:tc>
          <w:tcPr>
            <w:tcW w:w="55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used by investing activities</w:t>
            </w:r>
          </w:p>
        </w:tc>
        <w:tc>
          <w:tcPr>
            <w:tcW w:w="16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(6,999)</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(2,908)</w:t>
            </w:r>
          </w:p>
        </w:tc>
        <w:tc>
          <w:tcPr>
            <w:tcW w:w="0" w:type="dxa"/>
            <w:vAlign w:val="bottom"/>
          </w:tcPr>
          <w:p>
            <w:pPr>
              <w:spacing w:after="0"/>
              <w:rPr>
                <w:sz w:val="1"/>
                <w:szCs w:val="1"/>
                <w:color w:val="auto"/>
              </w:rPr>
            </w:pPr>
          </w:p>
        </w:tc>
      </w:tr>
      <w:tr>
        <w:trPr>
          <w:trHeight w:val="152"/>
        </w:trPr>
        <w:tc>
          <w:tcPr>
            <w:tcW w:w="554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16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Principal payments of finance leases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(579)</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Principal payments of term loan</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(25,157)</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Principal payments of line of credit</w:t>
            </w:r>
          </w:p>
        </w:tc>
        <w:tc>
          <w:tcPr>
            <w:tcW w:w="16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Proceeds from line of credit</w:t>
            </w:r>
          </w:p>
        </w:tc>
        <w:tc>
          <w:tcPr>
            <w:tcW w:w="16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9,613</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Proceeds from term loan</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45,000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Payments of deferred offering costs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(4,796)</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Vesting of restricted common stock</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234</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Proceeds from issuance of common stock on exercise of stock options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2,862</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559</w:t>
            </w:r>
          </w:p>
        </w:tc>
        <w:tc>
          <w:tcPr>
            <w:tcW w:w="0" w:type="dxa"/>
            <w:vAlign w:val="bottom"/>
          </w:tcPr>
          <w:p>
            <w:pPr>
              <w:spacing w:after="0"/>
              <w:rPr>
                <w:sz w:val="1"/>
                <w:szCs w:val="1"/>
                <w:color w:val="auto"/>
              </w:rPr>
            </w:pPr>
          </w:p>
        </w:tc>
      </w:tr>
      <w:tr>
        <w:trPr>
          <w:trHeight w:val="21"/>
        </w:trPr>
        <w:tc>
          <w:tcPr>
            <w:tcW w:w="55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16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17,564</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8,463</w:t>
            </w:r>
          </w:p>
        </w:tc>
        <w:tc>
          <w:tcPr>
            <w:tcW w:w="0" w:type="dxa"/>
            <w:vAlign w:val="bottom"/>
          </w:tcPr>
          <w:p>
            <w:pPr>
              <w:spacing w:after="0"/>
              <w:rPr>
                <w:sz w:val="1"/>
                <w:szCs w:val="1"/>
                <w:color w:val="auto"/>
              </w:rPr>
            </w:pPr>
          </w:p>
        </w:tc>
      </w:tr>
      <w:tr>
        <w:trPr>
          <w:trHeight w:val="164"/>
        </w:trPr>
        <w:tc>
          <w:tcPr>
            <w:tcW w:w="5540" w:type="dxa"/>
            <w:vAlign w:val="bottom"/>
          </w:tcPr>
          <w:p>
            <w:pPr>
              <w:spacing w:after="0"/>
              <w:rPr>
                <w:sz w:val="20"/>
                <w:szCs w:val="20"/>
                <w:color w:val="auto"/>
              </w:rPr>
            </w:pPr>
            <w:r>
              <w:rPr>
                <w:rFonts w:ascii="Arial" w:cs="Arial" w:eastAsia="Arial" w:hAnsi="Arial"/>
                <w:sz w:val="12"/>
                <w:szCs w:val="12"/>
                <w:color w:val="auto"/>
              </w:rPr>
              <w:t>Net increase in cash and cash equivalents</w:t>
            </w:r>
          </w:p>
        </w:tc>
        <w:tc>
          <w:tcPr>
            <w:tcW w:w="1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45,145</w:t>
            </w:r>
          </w:p>
        </w:tc>
        <w:tc>
          <w:tcPr>
            <w:tcW w:w="1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1,163</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 and restricted cash, beginning of period</w:t>
            </w:r>
          </w:p>
        </w:tc>
        <w:tc>
          <w:tcPr>
            <w:tcW w:w="16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46,878</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34,801</w:t>
            </w:r>
          </w:p>
        </w:tc>
        <w:tc>
          <w:tcPr>
            <w:tcW w:w="0" w:type="dxa"/>
            <w:vAlign w:val="bottom"/>
          </w:tcPr>
          <w:p>
            <w:pPr>
              <w:spacing w:after="0"/>
              <w:rPr>
                <w:sz w:val="1"/>
                <w:szCs w:val="1"/>
                <w:color w:val="auto"/>
              </w:rPr>
            </w:pPr>
          </w:p>
        </w:tc>
      </w:tr>
      <w:tr>
        <w:trPr>
          <w:trHeight w:val="184"/>
        </w:trPr>
        <w:tc>
          <w:tcPr>
            <w:tcW w:w="5540" w:type="dxa"/>
            <w:vAlign w:val="bottom"/>
          </w:tcPr>
          <w:p>
            <w:pPr>
              <w:spacing w:after="0"/>
              <w:rPr>
                <w:sz w:val="20"/>
                <w:szCs w:val="20"/>
                <w:color w:val="auto"/>
              </w:rPr>
            </w:pPr>
            <w:r>
              <w:rPr>
                <w:rFonts w:ascii="Arial" w:cs="Arial" w:eastAsia="Arial" w:hAnsi="Arial"/>
                <w:sz w:val="12"/>
                <w:szCs w:val="12"/>
                <w:color w:val="auto"/>
              </w:rPr>
              <w:t>Cash and cash equivalents and restricted cash, end of period</w:t>
            </w:r>
          </w:p>
        </w:tc>
        <w:tc>
          <w:tcPr>
            <w:tcW w:w="1680" w:type="dxa"/>
            <w:vAlign w:val="bottom"/>
            <w:tcBorders>
              <w:top w:val="single" w:sz="8" w:color="auto"/>
              <w:bottom w:val="single" w:sz="8" w:color="auto"/>
            </w:tcBorders>
          </w:tcPr>
          <w:p>
            <w:pPr>
              <w:jc w:val="right"/>
              <w:ind w:right="1539"/>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92,023</w:t>
            </w:r>
          </w:p>
        </w:tc>
        <w:tc>
          <w:tcPr>
            <w:tcW w:w="10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2"/>
                <w:szCs w:val="12"/>
                <w:color w:val="auto"/>
                <w:w w:val="8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35,964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54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Supplemental disclosure of cash flow information:</w:t>
            </w:r>
          </w:p>
        </w:tc>
        <w:tc>
          <w:tcPr>
            <w:tcW w:w="16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7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Cash paid for interest</w:t>
            </w:r>
          </w:p>
        </w:tc>
        <w:tc>
          <w:tcPr>
            <w:tcW w:w="1680" w:type="dxa"/>
            <w:vAlign w:val="bottom"/>
          </w:tcPr>
          <w:p>
            <w:pPr>
              <w:jc w:val="right"/>
              <w:ind w:right="153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2,182</w:t>
            </w:r>
          </w:p>
        </w:tc>
        <w:tc>
          <w:tcPr>
            <w:tcW w:w="100" w:type="dxa"/>
            <w:vAlign w:val="bottom"/>
          </w:tcPr>
          <w:p>
            <w:pPr>
              <w:spacing w:after="0"/>
              <w:rPr>
                <w:sz w:val="14"/>
                <w:szCs w:val="14"/>
                <w:color w:val="auto"/>
              </w:rPr>
            </w:pPr>
          </w:p>
        </w:tc>
        <w:tc>
          <w:tcPr>
            <w:tcW w:w="1200" w:type="dxa"/>
            <w:vAlign w:val="bottom"/>
          </w:tcPr>
          <w:p>
            <w:pPr>
              <w:jc w:val="right"/>
              <w:ind w:right="1059"/>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2,186</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paid for income taxes</w:t>
            </w:r>
          </w:p>
        </w:tc>
        <w:tc>
          <w:tcPr>
            <w:tcW w:w="168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6,910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Noncash investing and financing items:</w:t>
            </w: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Right-of-use assets acquired with lease liabilities</w:t>
            </w:r>
          </w:p>
        </w:tc>
        <w:tc>
          <w:tcPr>
            <w:tcW w:w="168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1,260</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Accrued deferred offering costs</w:t>
            </w:r>
          </w:p>
        </w:tc>
        <w:tc>
          <w:tcPr>
            <w:tcW w:w="1680" w:type="dxa"/>
            <w:vAlign w:val="bottom"/>
          </w:tcPr>
          <w:p>
            <w:pPr>
              <w:jc w:val="right"/>
              <w:ind w:right="153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795</w:t>
            </w:r>
          </w:p>
        </w:tc>
        <w:tc>
          <w:tcPr>
            <w:tcW w:w="100" w:type="dxa"/>
            <w:vAlign w:val="bottom"/>
          </w:tcPr>
          <w:p>
            <w:pPr>
              <w:spacing w:after="0"/>
              <w:rPr>
                <w:sz w:val="14"/>
                <w:szCs w:val="14"/>
                <w:color w:val="auto"/>
              </w:rPr>
            </w:pPr>
          </w:p>
        </w:tc>
        <w:tc>
          <w:tcPr>
            <w:tcW w:w="1200" w:type="dxa"/>
            <w:vAlign w:val="bottom"/>
          </w:tcPr>
          <w:p>
            <w:pPr>
              <w:jc w:val="right"/>
              <w:ind w:right="1059"/>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Reconciliation of cash, cash equivalents and restricted cash to the consolidated balance sheets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1680" w:type="dxa"/>
            <w:vAlign w:val="bottom"/>
          </w:tcPr>
          <w:p>
            <w:pPr>
              <w:jc w:val="right"/>
              <w:ind w:right="1539"/>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68,058</w:t>
            </w:r>
          </w:p>
        </w:tc>
        <w:tc>
          <w:tcPr>
            <w:tcW w:w="100" w:type="dxa"/>
            <w:vAlign w:val="bottom"/>
          </w:tcPr>
          <w:p>
            <w:pPr>
              <w:spacing w:after="0"/>
              <w:rPr>
                <w:sz w:val="14"/>
                <w:szCs w:val="14"/>
                <w:color w:val="auto"/>
              </w:rPr>
            </w:pPr>
          </w:p>
        </w:tc>
        <w:tc>
          <w:tcPr>
            <w:tcW w:w="1200" w:type="dxa"/>
            <w:vAlign w:val="bottom"/>
          </w:tcPr>
          <w:p>
            <w:pPr>
              <w:jc w:val="right"/>
              <w:ind w:right="1059"/>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spacing w:after="0"/>
              <w:rPr>
                <w:sz w:val="20"/>
                <w:szCs w:val="20"/>
                <w:color w:val="auto"/>
              </w:rPr>
            </w:pPr>
            <w:r>
              <w:rPr>
                <w:rFonts w:ascii="Arial" w:cs="Arial" w:eastAsia="Arial" w:hAnsi="Arial"/>
                <w:sz w:val="12"/>
                <w:szCs w:val="12"/>
                <w:color w:val="auto"/>
              </w:rPr>
              <w:t>25,881</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Restricted cash included in other current assets</w:t>
            </w:r>
          </w:p>
        </w:tc>
        <w:tc>
          <w:tcPr>
            <w:tcW w:w="16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5,989</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1,666</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2"/>
                <w:szCs w:val="12"/>
                <w:color w:val="auto"/>
              </w:rPr>
              <w:t>Restricted cash included in other assets</w:t>
            </w: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Restricted cash included in settlement assets</w:t>
            </w:r>
          </w:p>
        </w:tc>
        <w:tc>
          <w:tcPr>
            <w:tcW w:w="16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17,929</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8,372</w:t>
            </w:r>
          </w:p>
        </w:tc>
        <w:tc>
          <w:tcPr>
            <w:tcW w:w="0" w:type="dxa"/>
            <w:vAlign w:val="bottom"/>
          </w:tcPr>
          <w:p>
            <w:pPr>
              <w:spacing w:after="0"/>
              <w:rPr>
                <w:sz w:val="1"/>
                <w:szCs w:val="1"/>
                <w:color w:val="auto"/>
              </w:rPr>
            </w:pPr>
          </w:p>
        </w:tc>
      </w:tr>
      <w:tr>
        <w:trPr>
          <w:trHeight w:val="184"/>
        </w:trPr>
        <w:tc>
          <w:tcPr>
            <w:tcW w:w="5540" w:type="dxa"/>
            <w:vAlign w:val="bottom"/>
          </w:tcPr>
          <w:p>
            <w:pPr>
              <w:spacing w:after="0"/>
              <w:rPr>
                <w:sz w:val="20"/>
                <w:szCs w:val="20"/>
                <w:color w:val="auto"/>
              </w:rPr>
            </w:pPr>
            <w:r>
              <w:rPr>
                <w:rFonts w:ascii="Arial" w:cs="Arial" w:eastAsia="Arial" w:hAnsi="Arial"/>
                <w:sz w:val="12"/>
                <w:szCs w:val="12"/>
                <w:color w:val="auto"/>
              </w:rPr>
              <w:t>Total cash, cash equivalents and restricted cash</w:t>
            </w:r>
          </w:p>
        </w:tc>
        <w:tc>
          <w:tcPr>
            <w:tcW w:w="1680" w:type="dxa"/>
            <w:vAlign w:val="bottom"/>
            <w:tcBorders>
              <w:top w:val="single" w:sz="8" w:color="auto"/>
              <w:bottom w:val="single" w:sz="8" w:color="auto"/>
            </w:tcBorders>
          </w:tcPr>
          <w:p>
            <w:pPr>
              <w:jc w:val="right"/>
              <w:ind w:right="1539"/>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92,023</w:t>
            </w:r>
          </w:p>
        </w:tc>
        <w:tc>
          <w:tcPr>
            <w:tcW w:w="10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2"/>
                <w:szCs w:val="12"/>
                <w:color w:val="auto"/>
                <w:w w:val="8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35,964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32" w:right="319" w:bottom="1440" w:gutter="0" w:footer="0" w:header="0"/>
        </w:sectPr>
      </w:pPr>
    </w:p>
    <w:bookmarkStart w:id="10" w:name="page11"/>
    <w:bookmarkEnd w:id="10"/>
    <w:p>
      <w:pPr>
        <w:jc w:val="right"/>
        <w:spacing w:after="0"/>
        <w:rPr>
          <w:sz w:val="20"/>
          <w:szCs w:val="20"/>
          <w:color w:val="auto"/>
        </w:rPr>
      </w:pPr>
      <w:r>
        <w:rPr>
          <w:rFonts w:ascii="Arial" w:cs="Arial" w:eastAsia="Arial" w:hAnsi="Arial"/>
          <w:sz w:val="17"/>
          <w:szCs w:val="17"/>
          <w:b w:val="1"/>
          <w:bCs w:val="1"/>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Expensify,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in thousands)</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539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2620" w:type="dxa"/>
            <w:vAlign w:val="bottom"/>
            <w:gridSpan w:val="4"/>
          </w:tcPr>
          <w:p>
            <w:pPr>
              <w:jc w:val="right"/>
              <w:ind w:right="24"/>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Pr>
          <w:p>
            <w:pPr>
              <w:spacing w:after="0"/>
              <w:rPr>
                <w:sz w:val="13"/>
                <w:szCs w:val="13"/>
                <w:color w:val="auto"/>
              </w:rPr>
            </w:pPr>
          </w:p>
        </w:tc>
      </w:tr>
      <w:tr>
        <w:trPr>
          <w:trHeight w:val="21"/>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4"/>
        </w:trPr>
        <w:tc>
          <w:tcPr>
            <w:tcW w:w="80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600" w:type="dxa"/>
            <w:vAlign w:val="bottom"/>
          </w:tcPr>
          <w:p>
            <w:pPr>
              <w:spacing w:after="0"/>
              <w:rPr>
                <w:sz w:val="14"/>
                <w:szCs w:val="14"/>
                <w:color w:val="auto"/>
              </w:rPr>
            </w:pP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1"/>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(6,345)</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(6,938)</w:t>
            </w:r>
          </w:p>
        </w:tc>
      </w:tr>
      <w:tr>
        <w:trPr>
          <w:trHeight w:val="241"/>
        </w:trPr>
        <w:tc>
          <w:tcPr>
            <w:tcW w:w="8040" w:type="dxa"/>
            <w:vAlign w:val="bottom"/>
          </w:tcPr>
          <w:p>
            <w:pPr>
              <w:spacing w:after="0"/>
              <w:rPr>
                <w:sz w:val="20"/>
                <w:szCs w:val="20"/>
                <w:color w:val="auto"/>
              </w:rPr>
            </w:pPr>
            <w:r>
              <w:rPr>
                <w:rFonts w:ascii="Arial" w:cs="Arial" w:eastAsia="Arial" w:hAnsi="Arial"/>
                <w:sz w:val="17"/>
                <w:szCs w:val="17"/>
                <w:color w:val="auto"/>
              </w:rPr>
              <w:t>Add:</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9"/>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(3,567)</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w:t>
            </w:r>
          </w:p>
        </w:tc>
      </w:tr>
      <w:tr>
        <w:trPr>
          <w:trHeight w:val="241"/>
        </w:trPr>
        <w:tc>
          <w:tcPr>
            <w:tcW w:w="8040" w:type="dxa"/>
            <w:vAlign w:val="bottom"/>
          </w:tcPr>
          <w:p>
            <w:pPr>
              <w:spacing w:after="0"/>
              <w:rPr>
                <w:sz w:val="20"/>
                <w:szCs w:val="20"/>
                <w:color w:val="auto"/>
              </w:rPr>
            </w:pPr>
            <w:r>
              <w:rPr>
                <w:rFonts w:ascii="Arial" w:cs="Arial" w:eastAsia="Arial" w:hAnsi="Arial"/>
                <w:sz w:val="17"/>
                <w:szCs w:val="17"/>
                <w:color w:val="auto"/>
              </w:rPr>
              <w:t>Interest and other expenses, net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646</w:t>
            </w:r>
          </w:p>
        </w:tc>
      </w:tr>
      <w:tr>
        <w:trPr>
          <w:trHeight w:val="259"/>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r>
      <w:tr>
        <w:trPr>
          <w:trHeight w:val="241"/>
        </w:trPr>
        <w:tc>
          <w:tcPr>
            <w:tcW w:w="80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Stock-based compensation</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11,765</w:t>
            </w:r>
          </w:p>
        </w:tc>
      </w:tr>
      <w:tr>
        <w:trPr>
          <w:trHeight w:val="250"/>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(6,523)</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7,422</w:t>
            </w:r>
          </w:p>
        </w:tc>
      </w:tr>
      <w:tr>
        <w:trPr>
          <w:trHeight w:val="25"/>
        </w:trPr>
        <w:tc>
          <w:tcPr>
            <w:tcW w:w="8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456"/>
        </w:trPr>
        <w:tc>
          <w:tcPr>
            <w:tcW w:w="8040" w:type="dxa"/>
            <w:vAlign w:val="bottom"/>
          </w:tcPr>
          <w:p>
            <w:pPr>
              <w:spacing w:after="0"/>
              <w:rPr>
                <w:sz w:val="20"/>
                <w:szCs w:val="20"/>
                <w:color w:val="auto"/>
              </w:rPr>
            </w:pPr>
            <w:r>
              <w:rPr>
                <w:rFonts w:ascii="Arial" w:cs="Arial" w:eastAsia="Arial" w:hAnsi="Arial"/>
                <w:sz w:val="15"/>
                <w:szCs w:val="15"/>
                <w:i w:val="1"/>
                <w:iCs w:val="1"/>
                <w:color w:val="auto"/>
              </w:rPr>
              <w:t>Adjusted EBITDA Excluding the IPO-Related Bonus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
        </w:trPr>
        <w:tc>
          <w:tcPr>
            <w:tcW w:w="8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2"/>
        </w:trPr>
        <w:tc>
          <w:tcPr>
            <w:tcW w:w="8040" w:type="dxa"/>
            <w:vAlign w:val="bottom"/>
          </w:tcPr>
          <w:p>
            <w:pPr>
              <w:spacing w:after="0"/>
              <w:rPr>
                <w:sz w:val="14"/>
                <w:szCs w:val="14"/>
                <w:color w:val="auto"/>
              </w:rPr>
            </w:pPr>
          </w:p>
        </w:tc>
        <w:tc>
          <w:tcPr>
            <w:tcW w:w="2620" w:type="dxa"/>
            <w:vAlign w:val="bottom"/>
            <w:gridSpan w:val="4"/>
          </w:tcPr>
          <w:p>
            <w:pPr>
              <w:jc w:val="right"/>
              <w:ind w:right="24"/>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Pr>
          <w:p>
            <w:pPr>
              <w:spacing w:after="0"/>
              <w:rPr>
                <w:sz w:val="14"/>
                <w:szCs w:val="14"/>
                <w:color w:val="auto"/>
              </w:rPr>
            </w:pPr>
          </w:p>
        </w:tc>
      </w:tr>
      <w:tr>
        <w:trPr>
          <w:trHeight w:val="21"/>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4"/>
        </w:trPr>
        <w:tc>
          <w:tcPr>
            <w:tcW w:w="80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600" w:type="dxa"/>
            <w:vAlign w:val="bottom"/>
          </w:tcPr>
          <w:p>
            <w:pPr>
              <w:spacing w:after="0"/>
              <w:rPr>
                <w:sz w:val="14"/>
                <w:szCs w:val="14"/>
                <w:color w:val="auto"/>
              </w:rPr>
            </w:pP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1"/>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(6,345)</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(6,938)</w:t>
            </w:r>
          </w:p>
        </w:tc>
      </w:tr>
      <w:tr>
        <w:trPr>
          <w:trHeight w:val="241"/>
        </w:trPr>
        <w:tc>
          <w:tcPr>
            <w:tcW w:w="8040" w:type="dxa"/>
            <w:vAlign w:val="bottom"/>
          </w:tcPr>
          <w:p>
            <w:pPr>
              <w:spacing w:after="0"/>
              <w:rPr>
                <w:sz w:val="20"/>
                <w:szCs w:val="20"/>
                <w:color w:val="auto"/>
              </w:rPr>
            </w:pPr>
            <w:r>
              <w:rPr>
                <w:rFonts w:ascii="Arial" w:cs="Arial" w:eastAsia="Arial" w:hAnsi="Arial"/>
                <w:sz w:val="17"/>
                <w:szCs w:val="17"/>
                <w:color w:val="auto"/>
              </w:rPr>
              <w:t>Add:</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9"/>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(3,567)</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w:t>
            </w:r>
          </w:p>
        </w:tc>
      </w:tr>
      <w:tr>
        <w:trPr>
          <w:trHeight w:val="241"/>
        </w:trPr>
        <w:tc>
          <w:tcPr>
            <w:tcW w:w="8040" w:type="dxa"/>
            <w:vAlign w:val="bottom"/>
          </w:tcPr>
          <w:p>
            <w:pPr>
              <w:spacing w:after="0"/>
              <w:rPr>
                <w:sz w:val="20"/>
                <w:szCs w:val="20"/>
                <w:color w:val="auto"/>
              </w:rPr>
            </w:pPr>
            <w:r>
              <w:rPr>
                <w:rFonts w:ascii="Arial" w:cs="Arial" w:eastAsia="Arial" w:hAnsi="Arial"/>
                <w:sz w:val="17"/>
                <w:szCs w:val="17"/>
                <w:color w:val="auto"/>
              </w:rPr>
              <w:t>Interest and other expenses, net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646</w:t>
            </w:r>
          </w:p>
        </w:tc>
      </w:tr>
      <w:tr>
        <w:trPr>
          <w:trHeight w:val="259"/>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r>
      <w:tr>
        <w:trPr>
          <w:trHeight w:val="241"/>
        </w:trPr>
        <w:tc>
          <w:tcPr>
            <w:tcW w:w="804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11,765</w:t>
            </w:r>
          </w:p>
        </w:tc>
      </w:tr>
      <w:tr>
        <w:trPr>
          <w:trHeight w:val="250"/>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IPO Related Bonuses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26,287</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040" w:type="dxa"/>
            <w:vAlign w:val="bottom"/>
          </w:tcPr>
          <w:p>
            <w:pPr>
              <w:spacing w:after="0"/>
              <w:rPr>
                <w:sz w:val="20"/>
                <w:szCs w:val="20"/>
                <w:color w:val="auto"/>
              </w:rPr>
            </w:pPr>
            <w:r>
              <w:rPr>
                <w:rFonts w:ascii="Arial" w:cs="Arial" w:eastAsia="Arial" w:hAnsi="Arial"/>
                <w:sz w:val="17"/>
                <w:szCs w:val="17"/>
                <w:color w:val="auto"/>
              </w:rPr>
              <w:t>Adjusted EBITDA Excluding the IPO-Related Bonus</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19,764</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7,422</w:t>
            </w:r>
          </w:p>
        </w:tc>
      </w:tr>
      <w:tr>
        <w:trPr>
          <w:trHeight w:val="34"/>
        </w:trPr>
        <w:tc>
          <w:tcPr>
            <w:tcW w:w="8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456"/>
        </w:trPr>
        <w:tc>
          <w:tcPr>
            <w:tcW w:w="8040" w:type="dxa"/>
            <w:vAlign w:val="bottom"/>
          </w:tcPr>
          <w:p>
            <w:pPr>
              <w:spacing w:after="0"/>
              <w:rPr>
                <w:sz w:val="20"/>
                <w:szCs w:val="20"/>
                <w:color w:val="auto"/>
              </w:rPr>
            </w:pPr>
            <w:r>
              <w:rPr>
                <w:rFonts w:ascii="Arial" w:cs="Arial" w:eastAsia="Arial" w:hAnsi="Arial"/>
                <w:sz w:val="15"/>
                <w:szCs w:val="15"/>
                <w:i w:val="1"/>
                <w:iCs w:val="1"/>
                <w:color w:val="auto"/>
              </w:rPr>
              <w:t>Non-GAAP Net Income</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
        </w:trPr>
        <w:tc>
          <w:tcPr>
            <w:tcW w:w="8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2"/>
        </w:trPr>
        <w:tc>
          <w:tcPr>
            <w:tcW w:w="8040" w:type="dxa"/>
            <w:vAlign w:val="bottom"/>
          </w:tcPr>
          <w:p>
            <w:pPr>
              <w:spacing w:after="0"/>
              <w:rPr>
                <w:sz w:val="14"/>
                <w:szCs w:val="14"/>
                <w:color w:val="auto"/>
              </w:rPr>
            </w:pPr>
          </w:p>
        </w:tc>
        <w:tc>
          <w:tcPr>
            <w:tcW w:w="2620" w:type="dxa"/>
            <w:vAlign w:val="bottom"/>
            <w:gridSpan w:val="4"/>
          </w:tcPr>
          <w:p>
            <w:pPr>
              <w:jc w:val="right"/>
              <w:ind w:right="24"/>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Pr>
          <w:p>
            <w:pPr>
              <w:spacing w:after="0"/>
              <w:rPr>
                <w:sz w:val="14"/>
                <w:szCs w:val="14"/>
                <w:color w:val="auto"/>
              </w:rPr>
            </w:pPr>
          </w:p>
        </w:tc>
      </w:tr>
      <w:tr>
        <w:trPr>
          <w:trHeight w:val="21"/>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4"/>
        </w:trPr>
        <w:tc>
          <w:tcPr>
            <w:tcW w:w="80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600" w:type="dxa"/>
            <w:vAlign w:val="bottom"/>
          </w:tcPr>
          <w:p>
            <w:pPr>
              <w:spacing w:after="0"/>
              <w:rPr>
                <w:sz w:val="14"/>
                <w:szCs w:val="14"/>
                <w:color w:val="auto"/>
              </w:rPr>
            </w:pP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1"/>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(6,345)</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(6,938)</w:t>
            </w:r>
          </w:p>
        </w:tc>
      </w:tr>
      <w:tr>
        <w:trPr>
          <w:trHeight w:val="241"/>
        </w:trPr>
        <w:tc>
          <w:tcPr>
            <w:tcW w:w="8040" w:type="dxa"/>
            <w:vAlign w:val="bottom"/>
          </w:tcPr>
          <w:p>
            <w:pPr>
              <w:spacing w:after="0"/>
              <w:rPr>
                <w:sz w:val="20"/>
                <w:szCs w:val="20"/>
                <w:color w:val="auto"/>
              </w:rPr>
            </w:pPr>
            <w:r>
              <w:rPr>
                <w:rFonts w:ascii="Arial" w:cs="Arial" w:eastAsia="Arial" w:hAnsi="Arial"/>
                <w:sz w:val="17"/>
                <w:szCs w:val="17"/>
                <w:color w:val="auto"/>
              </w:rPr>
              <w:t>Add:</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0"/>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IPO Related Bonuses</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26,287</w:t>
            </w:r>
          </w:p>
        </w:tc>
        <w:tc>
          <w:tcPr>
            <w:tcW w:w="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8040" w:type="dxa"/>
            <w:vAlign w:val="bottom"/>
          </w:tcPr>
          <w:p>
            <w:pPr>
              <w:spacing w:after="0"/>
              <w:rPr>
                <w:sz w:val="20"/>
                <w:szCs w:val="20"/>
                <w:color w:val="auto"/>
              </w:rPr>
            </w:pPr>
            <w:r>
              <w:rPr>
                <w:rFonts w:ascii="Arial" w:cs="Arial" w:eastAsia="Arial" w:hAnsi="Arial"/>
                <w:sz w:val="17"/>
                <w:szCs w:val="17"/>
                <w:color w:val="auto"/>
              </w:rPr>
              <w:t>Non-GAAP Net (loss) income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19,942</w:t>
            </w: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(6,938)</w:t>
            </w:r>
          </w:p>
        </w:tc>
      </w:tr>
      <w:tr>
        <w:trPr>
          <w:trHeight w:val="34"/>
        </w:trPr>
        <w:tc>
          <w:tcPr>
            <w:tcW w:w="8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32" w:right="31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426085</wp:posOffset>
            </wp:positionV>
            <wp:extent cx="7206615" cy="4031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6615" cy="403161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ectPr>
          <w:pgSz w:w="11900" w:h="16838" w:orient="portrait"/>
          <w:cols w:equalWidth="0" w:num="1">
            <w:col w:w="10140"/>
          </w:cols>
          <w:pgMar w:left="1440" w:top="128" w:right="3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ectPr>
          <w:pgSz w:w="11900" w:h="16838" w:orient="portrait"/>
          <w:cols w:equalWidth="0" w:num="1">
            <w:col w:w="10140"/>
          </w:cols>
          <w:pgMar w:left="1440" w:top="128"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ectPr>
          <w:pgSz w:w="11900" w:h="16838" w:orient="portrait"/>
          <w:cols w:equalWidth="0" w:num="1">
            <w:col w:w="10140"/>
          </w:cols>
          <w:pgMar w:left="1440" w:top="128" w:right="3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555625</wp:posOffset>
            </wp:positionV>
            <wp:extent cx="6923405" cy="3894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3405" cy="3894455"/>
                    </a:xfrm>
                    <a:prstGeom prst="rect">
                      <a:avLst/>
                    </a:prstGeom>
                    <a:noFill/>
                  </pic:spPr>
                </pic:pic>
              </a:graphicData>
            </a:graphic>
          </wp:anchor>
        </w:drawing>
      </w:r>
    </w:p>
    <w:p>
      <w:pPr>
        <w:sectPr>
          <w:pgSz w:w="11900" w:h="16838" w:orient="portrait"/>
          <w:cols w:equalWidth="0" w:num="1">
            <w:col w:w="10140"/>
          </w:cols>
          <w:pgMar w:left="1440" w:top="128"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99.2</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Expensify,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Investor Presentation</w:t>
      </w:r>
    </w:p>
    <w:sectPr>
      <w:pgSz w:w="11900" w:h="16838" w:orient="portrait"/>
      <w:cols w:equalWidth="0" w:num="1">
        <w:col w:w="10140"/>
      </w:cols>
      <w:pgMar w:left="1440" w:top="1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2021-12-16T15:14:05Z</dcterms:created>
  <dcterms:modified xsi:type="dcterms:W3CDTF">2021-12-16T15:14:05Z</dcterms:modified>
</cp:coreProperties>
</file>