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0001891061</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41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4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4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4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4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76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41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Expensify,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41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001-41043</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401 SW 5th Ave</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4100" w:type="dxa"/>
            <w:vAlign w:val="bottom"/>
          </w:tcPr>
          <w:p>
            <w:pPr>
              <w:spacing w:after="0"/>
              <w:rPr>
                <w:sz w:val="19"/>
                <w:szCs w:val="19"/>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Portland</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4100" w:type="dxa"/>
            <w:vAlign w:val="bottom"/>
          </w:tcPr>
          <w:p>
            <w:pPr>
              <w:spacing w:after="0"/>
              <w:rPr>
                <w:sz w:val="11"/>
                <w:szCs w:val="11"/>
                <w:color w:val="auto"/>
              </w:rPr>
            </w:pPr>
          </w:p>
        </w:tc>
        <w:tc>
          <w:tcPr>
            <w:tcW w:w="2940" w:type="dxa"/>
            <w:vAlign w:val="bottom"/>
            <w:vMerge w:val="restart"/>
          </w:tcPr>
          <w:p>
            <w:pPr>
              <w:ind w:left="1640"/>
              <w:spacing w:after="0"/>
              <w:rPr>
                <w:sz w:val="20"/>
                <w:szCs w:val="20"/>
                <w:color w:val="auto"/>
              </w:rPr>
            </w:pPr>
            <w:r>
              <w:rPr>
                <w:rFonts w:ascii="Times New Roman" w:cs="Times New Roman" w:eastAsia="Times New Roman" w:hAnsi="Times New Roman"/>
                <w:sz w:val="19"/>
                <w:szCs w:val="19"/>
                <w:color w:val="auto"/>
              </w:rPr>
              <w:t>OREGON</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97204</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41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971-365-3939</w:t>
            </w:r>
          </w:p>
        </w:tc>
        <w:tc>
          <w:tcPr>
            <w:tcW w:w="0" w:type="dxa"/>
            <w:vAlign w:val="bottom"/>
          </w:tcPr>
          <w:p>
            <w:pPr>
              <w:spacing w:after="0"/>
              <w:rPr>
                <w:sz w:val="1"/>
                <w:szCs w:val="1"/>
                <w:color w:val="auto"/>
              </w:rPr>
            </w:pPr>
          </w:p>
        </w:tc>
      </w:tr>
      <w:tr>
        <w:trPr>
          <w:trHeight w:val="276"/>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tbl>
      <w:tblPr>
        <w:tblLayout w:type="fixed"/>
        <w:tblInd w:w="40" w:type="dxa"/>
        <w:tblCellMar>
          <w:top w:w="0" w:type="dxa"/>
          <w:left w:w="0" w:type="dxa"/>
          <w:bottom w:w="0" w:type="dxa"/>
          <w:right w:w="0" w:type="dxa"/>
        </w:tblCellMar>
      </w:tblPr>
      <w:tr>
        <w:trPr>
          <w:trHeight w:val="251"/>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Relationship to Issuer</w:t>
            </w:r>
          </w:p>
        </w:tc>
        <w:tc>
          <w:tcPr>
            <w:tcW w:w="3980" w:type="dxa"/>
            <w:vAlign w:val="bottom"/>
          </w:tcPr>
          <w:p>
            <w:pPr>
              <w:ind w:left="3340"/>
              <w:spacing w:after="0"/>
              <w:rPr>
                <w:sz w:val="20"/>
                <w:szCs w:val="20"/>
                <w:color w:val="auto"/>
              </w:rPr>
            </w:pPr>
            <w:r>
              <w:rPr>
                <w:rFonts w:ascii="Times New Roman" w:cs="Times New Roman" w:eastAsia="Times New Roman" w:hAnsi="Times New Roman"/>
                <w:sz w:val="19"/>
                <w:szCs w:val="19"/>
                <w:color w:val="auto"/>
                <w:w w:val="97"/>
              </w:rPr>
              <w:t>Director</w:t>
            </w:r>
          </w:p>
        </w:tc>
        <w:tc>
          <w:tcPr>
            <w:tcW w:w="0" w:type="dxa"/>
            <w:vAlign w:val="bottom"/>
          </w:tcPr>
          <w:p>
            <w:pPr>
              <w:spacing w:after="0"/>
              <w:rPr>
                <w:sz w:val="1"/>
                <w:szCs w:val="1"/>
                <w:color w:val="auto"/>
              </w:rPr>
            </w:pPr>
          </w:p>
        </w:tc>
      </w:tr>
      <w:tr>
        <w:trPr>
          <w:trHeight w:val="276"/>
        </w:trPr>
        <w:tc>
          <w:tcPr>
            <w:tcW w:w="5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Relationship to Issuer</w:t>
            </w:r>
          </w:p>
        </w:tc>
        <w:tc>
          <w:tcPr>
            <w:tcW w:w="3980" w:type="dxa"/>
            <w:vAlign w:val="bottom"/>
          </w:tcPr>
          <w:p>
            <w:pPr>
              <w:ind w:left="3340"/>
              <w:spacing w:after="0"/>
              <w:rPr>
                <w:sz w:val="20"/>
                <w:szCs w:val="20"/>
                <w:color w:val="auto"/>
              </w:rPr>
            </w:pPr>
            <w:r>
              <w:rPr>
                <w:rFonts w:ascii="Times New Roman" w:cs="Times New Roman" w:eastAsia="Times New Roman" w:hAnsi="Times New Roman"/>
                <w:sz w:val="19"/>
                <w:szCs w:val="19"/>
                <w:color w:val="auto"/>
              </w:rPr>
              <w:t>Officer</w:t>
            </w:r>
          </w:p>
        </w:tc>
        <w:tc>
          <w:tcPr>
            <w:tcW w:w="0" w:type="dxa"/>
            <w:vAlign w:val="bottom"/>
          </w:tcPr>
          <w:p>
            <w:pPr>
              <w:spacing w:after="0"/>
              <w:rPr>
                <w:sz w:val="1"/>
                <w:szCs w:val="1"/>
                <w:color w:val="auto"/>
              </w:rPr>
            </w:pPr>
          </w:p>
        </w:tc>
      </w:tr>
      <w:tr>
        <w:trPr>
          <w:trHeight w:val="72"/>
        </w:trPr>
        <w:tc>
          <w:tcPr>
            <w:tcW w:w="5020" w:type="dxa"/>
            <w:vAlign w:val="bottom"/>
            <w:vMerge w:val="continue"/>
          </w:tcPr>
          <w:p>
            <w:pPr>
              <w:spacing w:after="0"/>
              <w:rPr>
                <w:sz w:val="6"/>
                <w:szCs w:val="6"/>
                <w:color w:val="auto"/>
              </w:rPr>
            </w:pPr>
          </w:p>
        </w:tc>
        <w:tc>
          <w:tcPr>
            <w:tcW w:w="3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1077" w:gutter="0" w:footer="0" w:header="0"/>
        </w:sectPr>
      </w:pPr>
    </w:p>
    <w:p>
      <w:pPr>
        <w:spacing w:after="0" w:line="32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Number of</w:t>
      </w:r>
    </w:p>
    <w:p>
      <w:pPr>
        <w:spacing w:after="0" w:line="34" w:lineRule="exact"/>
        <w:rPr>
          <w:sz w:val="24"/>
          <w:szCs w:val="24"/>
          <w:color w:val="auto"/>
        </w:rPr>
      </w:pPr>
    </w:p>
    <w:p>
      <w:pPr>
        <w:ind w:left="400"/>
        <w:spacing w:after="0"/>
        <w:tabs>
          <w:tab w:leader="none" w:pos="2420" w:val="left"/>
          <w:tab w:leader="none" w:pos="4760" w:val="left"/>
        </w:tabs>
        <w:rPr>
          <w:sz w:val="20"/>
          <w:szCs w:val="20"/>
          <w:color w:val="auto"/>
        </w:rPr>
      </w:pPr>
      <w:r>
        <w:rPr>
          <w:rFonts w:ascii="Times New Roman" w:cs="Times New Roman" w:eastAsia="Times New Roman" w:hAnsi="Times New Roman"/>
          <w:sz w:val="19"/>
          <w:szCs w:val="19"/>
          <w:b w:val="1"/>
          <w:bCs w:val="1"/>
          <w:color w:val="auto"/>
        </w:rPr>
        <w:t>Title of the Class of</w:t>
      </w:r>
      <w:r>
        <w:rPr>
          <w:sz w:val="20"/>
          <w:szCs w:val="20"/>
          <w:color w:val="auto"/>
        </w:rPr>
        <w:tab/>
      </w:r>
      <w:r>
        <w:rPr>
          <w:rFonts w:ascii="Times New Roman" w:cs="Times New Roman" w:eastAsia="Times New Roman" w:hAnsi="Times New Roman"/>
          <w:sz w:val="19"/>
          <w:szCs w:val="19"/>
          <w:b w:val="1"/>
          <w:bCs w:val="1"/>
          <w:color w:val="auto"/>
        </w:rPr>
        <w:t>Name and Address of the</w:t>
        <w:tab/>
        <w:t>Shares or</w:t>
      </w:r>
    </w:p>
    <w:p>
      <w:pPr>
        <w:spacing w:after="0" w:line="10" w:lineRule="exact"/>
        <w:rPr>
          <w:sz w:val="24"/>
          <w:szCs w:val="24"/>
          <w:color w:val="auto"/>
        </w:rPr>
      </w:pPr>
    </w:p>
    <w:p>
      <w:pPr>
        <w:ind w:left="320"/>
        <w:spacing w:after="0"/>
        <w:tabs>
          <w:tab w:leader="none" w:pos="3160" w:val="left"/>
          <w:tab w:leader="none" w:pos="4680" w:val="left"/>
        </w:tabs>
        <w:rPr>
          <w:sz w:val="20"/>
          <w:szCs w:val="20"/>
          <w:color w:val="auto"/>
        </w:rPr>
      </w:pPr>
      <w:r>
        <w:rPr>
          <w:rFonts w:ascii="Times New Roman" w:cs="Times New Roman" w:eastAsia="Times New Roman" w:hAnsi="Times New Roman"/>
          <w:sz w:val="19"/>
          <w:szCs w:val="19"/>
          <w:b w:val="1"/>
          <w:bCs w:val="1"/>
          <w:color w:val="auto"/>
        </w:rPr>
        <w:t>Securities To Be Sold</w:t>
      </w:r>
      <w:r>
        <w:rPr>
          <w:sz w:val="20"/>
          <w:szCs w:val="20"/>
          <w:color w:val="auto"/>
        </w:rPr>
        <w:tab/>
      </w:r>
      <w:r>
        <w:rPr>
          <w:rFonts w:ascii="Times New Roman" w:cs="Times New Roman" w:eastAsia="Times New Roman" w:hAnsi="Times New Roman"/>
          <w:sz w:val="19"/>
          <w:szCs w:val="19"/>
          <w:b w:val="1"/>
          <w:bCs w:val="1"/>
          <w:color w:val="auto"/>
        </w:rPr>
        <w:t>Broker</w:t>
      </w:r>
      <w:r>
        <w:rPr>
          <w:sz w:val="20"/>
          <w:szCs w:val="20"/>
          <w:color w:val="auto"/>
        </w:rPr>
        <w:tab/>
      </w:r>
      <w:r>
        <w:rPr>
          <w:rFonts w:ascii="Times New Roman" w:cs="Times New Roman" w:eastAsia="Times New Roman" w:hAnsi="Times New Roman"/>
          <w:sz w:val="18"/>
          <w:szCs w:val="18"/>
          <w:b w:val="1"/>
          <w:bCs w:val="1"/>
          <w:color w:val="auto"/>
        </w:rPr>
        <w:t>Other Units</w:t>
      </w:r>
    </w:p>
    <w:p>
      <w:pPr>
        <w:spacing w:after="0" w:line="1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To Be Sold</w:t>
      </w:r>
    </w:p>
    <w:p>
      <w:pPr>
        <w:spacing w:after="0" w:line="3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Morgan Stanley Smith</w:t>
      </w:r>
    </w:p>
    <w:p>
      <w:pPr>
        <w:spacing w:after="0" w:line="3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Barney LLC Executive</w:t>
      </w:r>
    </w:p>
    <w:p>
      <w:pPr>
        <w:spacing w:after="0" w:line="10" w:lineRule="exact"/>
        <w:rPr>
          <w:sz w:val="24"/>
          <w:szCs w:val="24"/>
          <w:color w:val="auto"/>
        </w:rPr>
      </w:pPr>
    </w:p>
    <w:p>
      <w:pPr>
        <w:ind w:left="40"/>
        <w:spacing w:after="0"/>
        <w:tabs>
          <w:tab w:leader="none" w:pos="2360" w:val="left"/>
          <w:tab w:leader="none" w:pos="4600" w:val="left"/>
        </w:tabs>
        <w:rPr>
          <w:sz w:val="20"/>
          <w:szCs w:val="20"/>
          <w:color w:val="auto"/>
        </w:rPr>
      </w:pPr>
      <w:r>
        <w:rPr>
          <w:rFonts w:ascii="Times New Roman" w:cs="Times New Roman" w:eastAsia="Times New Roman" w:hAnsi="Times New Roman"/>
          <w:sz w:val="19"/>
          <w:szCs w:val="19"/>
          <w:color w:val="auto"/>
        </w:rPr>
        <w:t>Class A Common</w:t>
      </w:r>
      <w:r>
        <w:rPr>
          <w:sz w:val="20"/>
          <w:szCs w:val="20"/>
          <w:color w:val="auto"/>
        </w:rPr>
        <w:tab/>
      </w:r>
      <w:r>
        <w:rPr>
          <w:rFonts w:ascii="Times New Roman" w:cs="Times New Roman" w:eastAsia="Times New Roman" w:hAnsi="Times New Roman"/>
          <w:sz w:val="19"/>
          <w:szCs w:val="19"/>
          <w:color w:val="auto"/>
        </w:rPr>
        <w:t>Financial Services</w:t>
      </w:r>
      <w:r>
        <w:rPr>
          <w:sz w:val="20"/>
          <w:szCs w:val="20"/>
          <w:color w:val="auto"/>
        </w:rPr>
        <w:tab/>
      </w:r>
      <w:r>
        <w:rPr>
          <w:rFonts w:ascii="Times New Roman" w:cs="Times New Roman" w:eastAsia="Times New Roman" w:hAnsi="Times New Roman"/>
          <w:sz w:val="19"/>
          <w:szCs w:val="19"/>
          <w:color w:val="auto"/>
        </w:rPr>
        <w:t>716</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1 New York Plaza</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New York  NY  10004</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2"/>
        </w:trPr>
        <w:tc>
          <w:tcPr>
            <w:tcW w:w="1220" w:type="dxa"/>
            <w:vAlign w:val="bottom"/>
          </w:tcPr>
          <w:p>
            <w:pPr>
              <w:jc w:val="right"/>
              <w:ind w:right="504"/>
              <w:spacing w:after="0"/>
              <w:rPr>
                <w:sz w:val="20"/>
                <w:szCs w:val="20"/>
                <w:color w:val="auto"/>
              </w:rPr>
            </w:pPr>
            <w:r>
              <w:rPr>
                <w:rFonts w:ascii="Times New Roman" w:cs="Times New Roman" w:eastAsia="Times New Roman" w:hAnsi="Times New Roman"/>
                <w:sz w:val="19"/>
                <w:szCs w:val="19"/>
                <w:color w:val="auto"/>
                <w:w w:val="97"/>
              </w:rPr>
              <w:t>1589.52</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80399794</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05/30/2025   NASDAQ</w:t>
            </w:r>
          </w:p>
        </w:tc>
        <w:tc>
          <w:tcPr>
            <w:tcW w:w="0" w:type="dxa"/>
            <w:vAlign w:val="bottom"/>
          </w:tcPr>
          <w:p>
            <w:pPr>
              <w:spacing w:after="0"/>
              <w:rPr>
                <w:sz w:val="1"/>
                <w:szCs w:val="1"/>
                <w:color w:val="auto"/>
              </w:rPr>
            </w:pPr>
          </w:p>
        </w:tc>
      </w:tr>
    </w:tbl>
    <w:p>
      <w:pPr>
        <w:spacing w:after="0" w:line="645" w:lineRule="exact"/>
        <w:rPr>
          <w:sz w:val="24"/>
          <w:szCs w:val="24"/>
          <w:color w:val="auto"/>
        </w:rPr>
      </w:pPr>
    </w:p>
    <w:p>
      <w:pPr>
        <w:sectPr>
          <w:pgSz w:w="11900" w:h="16840" w:orient="portrait"/>
          <w:cols w:equalWidth="0" w:num="2">
            <w:col w:w="5660" w:space="120"/>
            <w:col w:w="4780"/>
          </w:cols>
          <w:pgMar w:left="660" w:top="592" w:right="680" w:bottom="1077"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ectPr>
          <w:pgSz w:w="11900" w:h="16840" w:orient="portrait"/>
          <w:cols w:equalWidth="0" w:num="1">
            <w:col w:w="10560"/>
          </w:cols>
          <w:pgMar w:left="660" w:top="592" w:right="680" w:bottom="1077"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ectPr>
          <w:pgSz w:w="11900" w:h="16840" w:orient="portrait"/>
          <w:cols w:equalWidth="0" w:num="1">
            <w:col w:w="10560"/>
          </w:cols>
          <w:pgMar w:left="660" w:top="592" w:right="680" w:bottom="107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80" w:type="dxa"/>
            <w:vAlign w:val="bottom"/>
            <w:vMerge w:val="restart"/>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540" w:type="dxa"/>
            <w:vAlign w:val="bottom"/>
          </w:tcPr>
          <w:p>
            <w:pPr>
              <w:jc w:val="center"/>
              <w:spacing w:after="0" w:line="204" w:lineRule="exact"/>
              <w:rPr>
                <w:sz w:val="20"/>
                <w:szCs w:val="20"/>
                <w:color w:val="auto"/>
              </w:rPr>
            </w:pPr>
            <w:r>
              <w:rPr>
                <w:rFonts w:ascii="Times New Roman" w:cs="Times New Roman" w:eastAsia="Times New Roman" w:hAnsi="Times New Roman"/>
                <w:sz w:val="19"/>
                <w:szCs w:val="19"/>
                <w:b w:val="1"/>
                <w:bCs w:val="1"/>
                <w:color w:val="auto"/>
              </w:rPr>
              <w:t>this</w:t>
            </w: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80" w:type="dxa"/>
            <w:vAlign w:val="bottom"/>
            <w:vMerge w:val="restart"/>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0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40" w:type="dxa"/>
            <w:vAlign w:val="bottom"/>
            <w:vMerge w:val="continue"/>
          </w:tcPr>
          <w:p>
            <w:pPr>
              <w:spacing w:after="0"/>
              <w:rPr>
                <w:sz w:val="16"/>
                <w:szCs w:val="16"/>
                <w:color w:val="auto"/>
              </w:rPr>
            </w:pPr>
          </w:p>
        </w:tc>
        <w:tc>
          <w:tcPr>
            <w:tcW w:w="148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4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w w:val="83"/>
              </w:rPr>
              <w:t>a</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6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480" w:type="dxa"/>
            <w:vAlign w:val="bottom"/>
            <w:vMerge w:val="restart"/>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b w:val="1"/>
                <w:bCs w:val="1"/>
                <w:color w:val="auto"/>
              </w:rPr>
              <w:t>Gift? Acquired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8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Payment</w:t>
            </w:r>
          </w:p>
        </w:tc>
        <w:tc>
          <w:tcPr>
            <w:tcW w:w="1640" w:type="dxa"/>
            <w:vAlign w:val="bottom"/>
          </w:tcPr>
          <w:p>
            <w:pPr>
              <w:jc w:val="right"/>
              <w:ind w:right="644"/>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58"/>
        </w:trPr>
        <w:tc>
          <w:tcPr>
            <w:tcW w:w="1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Class A</w:t>
            </w:r>
          </w:p>
        </w:tc>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9"/>
                <w:szCs w:val="19"/>
                <w:color w:val="auto"/>
              </w:rPr>
              <w:t>05/29/2025 SPMP Contribution</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Expensify, Inc.</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vMerge w:val="restart"/>
          </w:tcPr>
          <w:p>
            <w:pPr>
              <w:jc w:val="right"/>
              <w:ind w:right="744"/>
              <w:spacing w:after="0"/>
              <w:rPr>
                <w:sz w:val="20"/>
                <w:szCs w:val="20"/>
                <w:color w:val="auto"/>
              </w:rPr>
            </w:pPr>
            <w:r>
              <w:rPr>
                <w:rFonts w:ascii="Times New Roman" w:cs="Times New Roman" w:eastAsia="Times New Roman" w:hAnsi="Times New Roman"/>
                <w:sz w:val="19"/>
                <w:szCs w:val="19"/>
                <w:color w:val="auto"/>
              </w:rPr>
              <w:t>716</w:t>
            </w:r>
          </w:p>
        </w:tc>
        <w:tc>
          <w:tcPr>
            <w:tcW w:w="2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05/29/2025 Compensation</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-211455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1"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1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334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Ryan Schaffer</w:t>
            </w:r>
          </w:p>
        </w:tc>
        <w:tc>
          <w:tcPr>
            <w:tcW w:w="19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401 SW 5th Ave</w:t>
            </w:r>
          </w:p>
        </w:tc>
        <w:tc>
          <w:tcPr>
            <w:tcW w:w="33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tcPr>
          <w:p>
            <w:pPr>
              <w:jc w:val="right"/>
              <w:ind w:right="764"/>
              <w:spacing w:after="0"/>
              <w:rPr>
                <w:sz w:val="20"/>
                <w:szCs w:val="20"/>
                <w:color w:val="auto"/>
              </w:rPr>
            </w:pPr>
            <w:r>
              <w:rPr>
                <w:rFonts w:ascii="Times New Roman" w:cs="Times New Roman" w:eastAsia="Times New Roman" w:hAnsi="Times New Roman"/>
                <w:sz w:val="19"/>
                <w:szCs w:val="19"/>
                <w:color w:val="auto"/>
              </w:rPr>
              <w:t>03/07/2025 2002</w:t>
            </w:r>
          </w:p>
        </w:tc>
        <w:tc>
          <w:tcPr>
            <w:tcW w:w="1380" w:type="dxa"/>
            <w:vAlign w:val="bottom"/>
          </w:tcPr>
          <w:p>
            <w:pPr>
              <w:jc w:val="right"/>
              <w:ind w:right="644"/>
              <w:spacing w:after="0"/>
              <w:rPr>
                <w:sz w:val="20"/>
                <w:szCs w:val="20"/>
                <w:color w:val="auto"/>
              </w:rPr>
            </w:pPr>
            <w:r>
              <w:rPr>
                <w:rFonts w:ascii="Times New Roman" w:cs="Times New Roman" w:eastAsia="Times New Roman" w:hAnsi="Times New Roman"/>
                <w:sz w:val="19"/>
                <w:szCs w:val="19"/>
                <w:color w:val="auto"/>
              </w:rPr>
              <w:t>7067.06</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Portland  OR</w:t>
            </w:r>
          </w:p>
        </w:tc>
        <w:tc>
          <w:tcPr>
            <w:tcW w:w="1960" w:type="dxa"/>
            <w:vAlign w:val="bottom"/>
          </w:tcPr>
          <w:p>
            <w:pPr>
              <w:jc w:val="right"/>
              <w:ind w:right="1344"/>
              <w:spacing w:after="0"/>
              <w:rPr>
                <w:sz w:val="20"/>
                <w:szCs w:val="20"/>
                <w:color w:val="auto"/>
              </w:rPr>
            </w:pPr>
            <w:r>
              <w:rPr>
                <w:rFonts w:ascii="Times New Roman" w:cs="Times New Roman" w:eastAsia="Times New Roman" w:hAnsi="Times New Roman"/>
                <w:sz w:val="19"/>
                <w:szCs w:val="19"/>
                <w:color w:val="auto"/>
              </w:rPr>
              <w:t>97204</w:t>
            </w:r>
          </w:p>
        </w:tc>
        <w:tc>
          <w:tcPr>
            <w:tcW w:w="3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Ryan Schaffer</w:t>
            </w:r>
          </w:p>
        </w:tc>
        <w:tc>
          <w:tcPr>
            <w:tcW w:w="19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401 SW 5th Ave</w:t>
            </w:r>
          </w:p>
        </w:tc>
        <w:tc>
          <w:tcPr>
            <w:tcW w:w="33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tcPr>
          <w:p>
            <w:pPr>
              <w:jc w:val="right"/>
              <w:ind w:right="764"/>
              <w:spacing w:after="0"/>
              <w:rPr>
                <w:sz w:val="20"/>
                <w:szCs w:val="20"/>
                <w:color w:val="auto"/>
              </w:rPr>
            </w:pPr>
            <w:r>
              <w:rPr>
                <w:rFonts w:ascii="Times New Roman" w:cs="Times New Roman" w:eastAsia="Times New Roman" w:hAnsi="Times New Roman"/>
                <w:sz w:val="19"/>
                <w:szCs w:val="19"/>
                <w:color w:val="auto"/>
              </w:rPr>
              <w:t>03/19/2025 2494</w:t>
            </w:r>
          </w:p>
        </w:tc>
        <w:tc>
          <w:tcPr>
            <w:tcW w:w="1380" w:type="dxa"/>
            <w:vAlign w:val="bottom"/>
          </w:tcPr>
          <w:p>
            <w:pPr>
              <w:jc w:val="right"/>
              <w:ind w:right="644"/>
              <w:spacing w:after="0"/>
              <w:rPr>
                <w:sz w:val="20"/>
                <w:szCs w:val="20"/>
                <w:color w:val="auto"/>
              </w:rPr>
            </w:pPr>
            <w:r>
              <w:rPr>
                <w:rFonts w:ascii="Times New Roman" w:cs="Times New Roman" w:eastAsia="Times New Roman" w:hAnsi="Times New Roman"/>
                <w:sz w:val="19"/>
                <w:szCs w:val="19"/>
                <w:color w:val="auto"/>
              </w:rPr>
              <w:t>8255.14</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Portland  OR</w:t>
            </w:r>
          </w:p>
        </w:tc>
        <w:tc>
          <w:tcPr>
            <w:tcW w:w="1960" w:type="dxa"/>
            <w:vAlign w:val="bottom"/>
          </w:tcPr>
          <w:p>
            <w:pPr>
              <w:jc w:val="right"/>
              <w:ind w:right="1344"/>
              <w:spacing w:after="0"/>
              <w:rPr>
                <w:sz w:val="20"/>
                <w:szCs w:val="20"/>
                <w:color w:val="auto"/>
              </w:rPr>
            </w:pPr>
            <w:r>
              <w:rPr>
                <w:rFonts w:ascii="Times New Roman" w:cs="Times New Roman" w:eastAsia="Times New Roman" w:hAnsi="Times New Roman"/>
                <w:sz w:val="19"/>
                <w:szCs w:val="19"/>
                <w:color w:val="auto"/>
              </w:rPr>
              <w:t>97204</w:t>
            </w:r>
          </w:p>
        </w:tc>
        <w:tc>
          <w:tcPr>
            <w:tcW w:w="3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Ryan Schaffer</w:t>
            </w:r>
          </w:p>
        </w:tc>
        <w:tc>
          <w:tcPr>
            <w:tcW w:w="19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401 SW 5th Ave</w:t>
            </w:r>
          </w:p>
        </w:tc>
        <w:tc>
          <w:tcPr>
            <w:tcW w:w="33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tcPr>
          <w:p>
            <w:pPr>
              <w:jc w:val="right"/>
              <w:ind w:right="764"/>
              <w:spacing w:after="0"/>
              <w:rPr>
                <w:sz w:val="20"/>
                <w:szCs w:val="20"/>
                <w:color w:val="auto"/>
              </w:rPr>
            </w:pPr>
            <w:r>
              <w:rPr>
                <w:rFonts w:ascii="Times New Roman" w:cs="Times New Roman" w:eastAsia="Times New Roman" w:hAnsi="Times New Roman"/>
                <w:sz w:val="19"/>
                <w:szCs w:val="19"/>
                <w:color w:val="auto"/>
              </w:rPr>
              <w:t>03/20/2025 1474</w:t>
            </w:r>
          </w:p>
        </w:tc>
        <w:tc>
          <w:tcPr>
            <w:tcW w:w="1380" w:type="dxa"/>
            <w:vAlign w:val="bottom"/>
          </w:tcPr>
          <w:p>
            <w:pPr>
              <w:jc w:val="right"/>
              <w:ind w:right="644"/>
              <w:spacing w:after="0"/>
              <w:rPr>
                <w:sz w:val="20"/>
                <w:szCs w:val="20"/>
                <w:color w:val="auto"/>
              </w:rPr>
            </w:pPr>
            <w:r>
              <w:rPr>
                <w:rFonts w:ascii="Times New Roman" w:cs="Times New Roman" w:eastAsia="Times New Roman" w:hAnsi="Times New Roman"/>
                <w:sz w:val="19"/>
                <w:szCs w:val="19"/>
                <w:color w:val="auto"/>
              </w:rPr>
              <w:t>4819.98</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Times New Roman" w:cs="Times New Roman" w:eastAsia="Times New Roman" w:hAnsi="Times New Roman"/>
                <w:sz w:val="19"/>
                <w:szCs w:val="19"/>
                <w:color w:val="auto"/>
              </w:rPr>
              <w:t>Portland  OR</w:t>
            </w:r>
          </w:p>
        </w:tc>
        <w:tc>
          <w:tcPr>
            <w:tcW w:w="1960" w:type="dxa"/>
            <w:vAlign w:val="bottom"/>
          </w:tcPr>
          <w:p>
            <w:pPr>
              <w:jc w:val="right"/>
              <w:ind w:right="1344"/>
              <w:spacing w:after="0"/>
              <w:rPr>
                <w:sz w:val="20"/>
                <w:szCs w:val="20"/>
                <w:color w:val="auto"/>
              </w:rPr>
            </w:pPr>
            <w:r>
              <w:rPr>
                <w:rFonts w:ascii="Times New Roman" w:cs="Times New Roman" w:eastAsia="Times New Roman" w:hAnsi="Times New Roman"/>
                <w:sz w:val="19"/>
                <w:szCs w:val="19"/>
                <w:color w:val="auto"/>
              </w:rPr>
              <w:t>97204</w:t>
            </w:r>
          </w:p>
        </w:tc>
        <w:tc>
          <w:tcPr>
            <w:tcW w:w="3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ectPr>
          <w:pgSz w:w="11900" w:h="16840" w:orient="portrait"/>
          <w:cols w:equalWidth="0" w:num="1">
            <w:col w:w="10580"/>
          </w:cols>
          <w:pgMar w:left="660" w:top="566" w:right="66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Remarks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Date of</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Notice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Note for 3(e): As of May 5, 2025, as stated in Issuer's quarterly report on Form 10-Q for the fiscal quarter ending March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06/03/2025</w:t>
      </w:r>
    </w:p>
    <w:p>
      <w:pPr>
        <w:spacing w:after="0" w:line="174" w:lineRule="exact"/>
        <w:rPr>
          <w:sz w:val="20"/>
          <w:szCs w:val="20"/>
          <w:color w:val="auto"/>
        </w:rPr>
      </w:pPr>
    </w:p>
    <w:p>
      <w:pPr>
        <w:sectPr>
          <w:pgSz w:w="11900" w:h="16840" w:orient="portrait"/>
          <w:cols w:equalWidth="0" w:num="2">
            <w:col w:w="720" w:space="420"/>
            <w:col w:w="9440"/>
          </w:cols>
          <w:pgMar w:left="660" w:top="566" w:right="66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 Cole Eason as attorney-in-fact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p>
      <w:pPr>
        <w:sectPr>
          <w:pgSz w:w="11900" w:h="16840" w:orient="portrait"/>
          <w:cols w:equalWidth="0" w:num="1">
            <w:col w:w="10580"/>
          </w:cols>
          <w:pgMar w:left="660" w:top="566" w:right="660" w:bottom="1440" w:gutter="0" w:footer="0" w:header="0"/>
          <w:type w:val="continuous"/>
        </w:sectPr>
      </w:pPr>
    </w:p>
    <w:bookmarkStart w:id="2" w:name="page3"/>
    <w:bookmarkEnd w:id="2"/>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144</w:t>
      </w:r>
    </w:p>
    <w:p>
      <w:pPr>
        <w:spacing w:after="0" w:line="201" w:lineRule="exact"/>
        <w:rPr>
          <w:sz w:val="20"/>
          <w:szCs w:val="20"/>
          <w:color w:val="auto"/>
        </w:rPr>
      </w:pPr>
    </w:p>
    <w:p>
      <w:pPr>
        <w:jc w:val="both"/>
        <w:ind w:right="20" w:firstLine="576"/>
        <w:spacing w:after="0" w:line="236" w:lineRule="auto"/>
        <w:rPr>
          <w:sz w:val="20"/>
          <w:szCs w:val="20"/>
          <w:color w:val="auto"/>
        </w:rPr>
      </w:pPr>
      <w:r>
        <w:rPr>
          <w:rFonts w:ascii="Times New Roman" w:cs="Times New Roman" w:eastAsia="Times New Roman" w:hAnsi="Times New Roman"/>
          <w:sz w:val="16"/>
          <w:szCs w:val="16"/>
          <w:color w:val="auto"/>
        </w:rPr>
        <w:t>With respect to holdings of and transactions in securities issued by Expensify,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189" w:lineRule="exact"/>
        <w:rPr>
          <w:sz w:val="20"/>
          <w:szCs w:val="20"/>
          <w:color w:val="auto"/>
        </w:rPr>
      </w:pPr>
    </w:p>
    <w:p>
      <w:pPr>
        <w:ind w:left="580" w:right="20" w:hanging="286"/>
        <w:spacing w:after="0" w:line="249"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execute for and on behalf of the undersigned an electronic Notice of Proposed Sale of Securities Pursuant to Rule 144 </w:t>
      </w:r>
      <w:r>
        <w:rPr>
          <w:rFonts w:ascii="Times New Roman" w:cs="Times New Roman" w:eastAsia="Times New Roman" w:hAnsi="Times New Roman"/>
          <w:sz w:val="16"/>
          <w:szCs w:val="16"/>
          <w:b w:val="1"/>
          <w:bCs w:val="1"/>
          <w:i w:val="1"/>
          <w:iCs w:val="1"/>
          <w:color w:val="auto"/>
        </w:rPr>
        <w:t>“Form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144”</w:t>
      </w:r>
      <w:r>
        <w:rPr>
          <w:rFonts w:ascii="Times New Roman" w:cs="Times New Roman" w:eastAsia="Times New Roman" w:hAnsi="Times New Roman"/>
          <w:sz w:val="16"/>
          <w:szCs w:val="16"/>
          <w:color w:val="auto"/>
        </w:rPr>
        <w:t>) relating to such sales, in accordance with the requirements of Rule 144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and</w:t>
      </w:r>
    </w:p>
    <w:p>
      <w:pPr>
        <w:spacing w:after="0" w:line="186" w:lineRule="exact"/>
        <w:rPr>
          <w:rFonts w:ascii="Times New Roman" w:cs="Times New Roman" w:eastAsia="Times New Roman" w:hAnsi="Times New Roman"/>
          <w:sz w:val="16"/>
          <w:szCs w:val="16"/>
          <w:color w:val="auto"/>
        </w:rPr>
      </w:pPr>
    </w:p>
    <w:p>
      <w:pPr>
        <w:jc w:val="both"/>
        <w:ind w:left="580" w:hanging="286"/>
        <w:spacing w:after="0" w:line="234"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19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The undersigned hereby grants to such attorney-in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195"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The undersigned acknowledges that the foregoing attorneys-in -fact, in serving in such capacity at the request of the undersigned, are not assuming, nor is the Company assuming, any of the undersigned’s responsibilities to comply with the requirements of Rule 144 under the Securities Act.</w:t>
      </w:r>
    </w:p>
    <w:p>
      <w:pPr>
        <w:spacing w:after="0" w:line="190" w:lineRule="exact"/>
        <w:rPr>
          <w:sz w:val="20"/>
          <w:szCs w:val="20"/>
          <w:color w:val="auto"/>
        </w:rPr>
      </w:pPr>
    </w:p>
    <w:p>
      <w:pPr>
        <w:ind w:right="40" w:firstLine="576"/>
        <w:spacing w:after="0" w:line="244"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27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13335</wp:posOffset>
            </wp:positionV>
            <wp:extent cx="26600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0015" cy="7620"/>
                    </a:xfrm>
                    <a:prstGeom prst="rect">
                      <a:avLst/>
                    </a:prstGeom>
                    <a:noFill/>
                  </pic:spPr>
                </pic:pic>
              </a:graphicData>
            </a:graphic>
          </wp:anchor>
        </w:drawing>
      </w:r>
    </w:p>
    <w:p>
      <w:pPr>
        <w:spacing w:after="0" w:line="1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Ryan Shaffer</w:t>
      </w:r>
    </w:p>
    <w:sectPr>
      <w:pgSz w:w="11900" w:h="16840" w:orient="portrait"/>
      <w:cols w:equalWidth="0" w:num="1">
        <w:col w:w="10580"/>
      </w:cols>
      <w:pgMar w:left="660" w:top="1440"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2025-06-03T19:03:03Z</dcterms:created>
  <dcterms:modified xsi:type="dcterms:W3CDTF">2025-06-03T19:03:03Z</dcterms:modified>
</cp:coreProperties>
</file>