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UNITED STATES</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SECURITIES AND EXCHANGE COMMISSION</w:t>
      </w:r>
    </w:p>
    <w:p>
      <w:pPr>
        <w:pStyle w:val="TextBody"/>
        <w:bidi w:val="0"/>
        <w:spacing w:lineRule="auto" w:line="288" w:before="0" w:after="160"/>
        <w:jc w:val="center"/>
        <w:rPr>
          <w:rFonts w:ascii="Expensify Neue;sans-serif" w:hAnsi="Expensify Neue;sans-serif"/>
          <w:b/>
          <w:color w:val="000000"/>
          <w:sz w:val="28"/>
        </w:rPr>
      </w:pPr>
      <w:r>
        <w:rPr>
          <w:rFonts w:ascii="Expensify Neue;sans-serif" w:hAnsi="Expensify Neue;sans-serif"/>
          <w:b/>
          <w:color w:val="000000"/>
          <w:sz w:val="28"/>
        </w:rPr>
        <w:t>Washington, D.C. 20549</w:t>
      </w:r>
    </w:p>
    <w:p>
      <w:pPr>
        <w:pStyle w:val="TextBody"/>
        <w:bidi w:val="0"/>
        <w:spacing w:lineRule="auto" w:line="288" w:before="120" w:after="283"/>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FORM 10-Q</w:t>
      </w:r>
    </w:p>
    <w:p>
      <w:pPr>
        <w:pStyle w:val="TextBody"/>
        <w:bidi w:val="0"/>
        <w:spacing w:lineRule="auto" w:line="288"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QUARTERLY REPORT PURSUANT TO SECTION 13 OR 15(d) OF THE SECURITIES EXCHANGE ACT OF 1934</w:t>
            </w:r>
          </w:p>
        </w:tc>
      </w:tr>
    </w:tbl>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For the quarterly period ended June 30, 2023</w:t>
      </w:r>
    </w:p>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TRANSITION REPORT PURSUANT TO SECTION 13 OR 15(d) OF THE SECURITIES EXCHANGE ACT OF 1934</w:t>
            </w:r>
          </w:p>
        </w:tc>
      </w:tr>
    </w:tbl>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For the transition period from _______ to _______</w:t>
      </w:r>
    </w:p>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Commission File Number 001-41043</w:t>
      </w:r>
    </w:p>
    <w:p>
      <w:pPr>
        <w:pStyle w:val="TextBody"/>
        <w:bidi w:val="0"/>
        <w:spacing w:lineRule="auto" w:line="288" w:before="120" w:after="283"/>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Expensify, Inc.</w:t>
      </w:r>
    </w:p>
    <w:p>
      <w:pPr>
        <w:pStyle w:val="TextBody"/>
        <w:bidi w:val="0"/>
        <w:spacing w:lineRule="auto" w:line="288"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24"/>
        </w:rPr>
      </w:pPr>
      <w:r>
        <w:rPr>
          <w:rFonts w:ascii="Expensify Neue;sans-serif" w:hAnsi="Expensify Neue;sans-serif"/>
          <w:b/>
          <w:color w:val="000000"/>
          <w:sz w:val="24"/>
        </w:rPr>
        <w:t>(Exact name of registrant as specified in its charter)</w:t>
      </w:r>
    </w:p>
    <w:tbl>
      <w:tblPr>
        <w:tblW w:w="9388" w:type="dxa"/>
        <w:jc w:val="left"/>
        <w:tblInd w:w="0" w:type="dxa"/>
        <w:tblLayout w:type="fixed"/>
        <w:tblCellMar>
          <w:top w:w="28" w:type="dxa"/>
          <w:left w:w="28" w:type="dxa"/>
          <w:bottom w:w="28" w:type="dxa"/>
          <w:right w:w="28" w:type="dxa"/>
        </w:tblCellMar>
      </w:tblPr>
      <w:tblGrid>
        <w:gridCol w:w="2129"/>
        <w:gridCol w:w="1871"/>
        <w:gridCol w:w="1879"/>
        <w:gridCol w:w="1028"/>
        <w:gridCol w:w="1028"/>
        <w:gridCol w:w="1453"/>
      </w:tblGrid>
      <w:tr>
        <w:trPr/>
        <w:tc>
          <w:tcPr>
            <w:tcW w:w="212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20"/>
              </w:rPr>
            </w:pPr>
            <w:r>
              <w:rPr>
                <w:rFonts w:ascii="Expensify Neue;sans-serif" w:hAnsi="Expensify Neue;sans-serif"/>
                <w:b/>
                <w:color w:val="000000"/>
                <w:sz w:val="20"/>
              </w:rPr>
              <w:t>Delaware</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20"/>
              </w:rPr>
            </w:pPr>
            <w:r>
              <w:rPr>
                <w:rFonts w:ascii="Expensify Neue;sans-serif" w:hAnsi="Expensify Neue;sans-serif"/>
                <w:b/>
                <w:color w:val="000000"/>
                <w:sz w:val="20"/>
              </w:rPr>
              <w:t>27-0239450</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(State or other jurisdiction of incorporation or organization)</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(I.R.S. Employer Identification No.)</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Expensify Neue;sans-serif" w:hAnsi="Expensify Neue;sans-serif"/>
                <w:b/>
                <w:color w:val="000000"/>
                <w:sz w:val="18"/>
              </w:rPr>
            </w:pPr>
            <w:r>
              <w:rPr>
                <w:rFonts w:ascii="Expensify Neue;sans-serif" w:hAnsi="Expensify Neue;sans-serif"/>
                <w:b/>
                <w:color w:val="000000"/>
                <w:sz w:val="18"/>
              </w:rPr>
              <w:t>401 SW 5th Ave</w:t>
            </w:r>
          </w:p>
          <w:p>
            <w:pPr>
              <w:pStyle w:val="TableContents"/>
              <w:bidi w:val="0"/>
              <w:spacing w:lineRule="auto" w:line="288" w:before="0" w:after="0"/>
              <w:jc w:val="center"/>
              <w:rPr>
                <w:rFonts w:ascii="Expensify Neue;sans-serif" w:hAnsi="Expensify Neue;sans-serif"/>
                <w:b/>
                <w:color w:val="000000"/>
                <w:sz w:val="18"/>
              </w:rPr>
            </w:pPr>
            <w:r>
              <w:rPr>
                <w:rFonts w:ascii="Expensify Neue;sans-serif" w:hAnsi="Expensify Neue;sans-serif"/>
                <w:b/>
                <w:color w:val="000000"/>
                <w:sz w:val="18"/>
              </w:rPr>
              <w:t xml:space="preserve">Portland, Oregon </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color w:val="000000"/>
                <w:sz w:val="18"/>
              </w:rPr>
            </w:pPr>
            <w:r>
              <w:rPr>
                <w:rFonts w:ascii="Expensify Neue;sans-serif" w:hAnsi="Expensify Neue;sans-serif"/>
                <w:b/>
                <w:color w:val="000000"/>
                <w:sz w:val="18"/>
              </w:rPr>
              <w:t>97204</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(Address of Principal Executive Offices)</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(Zip Code)</w:t>
            </w:r>
          </w:p>
        </w:tc>
      </w:tr>
    </w:tbl>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(971) 365-3939</w:t>
      </w:r>
    </w:p>
    <w:p>
      <w:pPr>
        <w:pStyle w:val="TextBody"/>
        <w:bidi w:val="0"/>
        <w:spacing w:lineRule="auto" w:line="288"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Registrant’s telephone number, including area code</w:t>
      </w:r>
    </w:p>
    <w:p>
      <w:pPr>
        <w:pStyle w:val="TextBody"/>
        <w:bidi w:val="0"/>
        <w:spacing w:lineRule="auto" w:line="288" w:before="120" w:after="283"/>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20"/>
        <w:gridCol w:w="1348"/>
        <w:gridCol w:w="1362"/>
        <w:gridCol w:w="109"/>
        <w:gridCol w:w="109"/>
        <w:gridCol w:w="109"/>
        <w:gridCol w:w="540"/>
        <w:gridCol w:w="540"/>
        <w:gridCol w:w="542"/>
        <w:gridCol w:w="109"/>
        <w:gridCol w:w="109"/>
        <w:gridCol w:w="109"/>
        <w:gridCol w:w="1053"/>
        <w:gridCol w:w="1053"/>
        <w:gridCol w:w="1493"/>
      </w:tblGrid>
      <w:tr>
        <w:trPr/>
        <w:tc>
          <w:tcPr>
            <w:tcW w:w="162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Name of each exchange on which registered</w:t>
            </w:r>
          </w:p>
        </w:tc>
      </w:tr>
      <w:tr>
        <w:trPr/>
        <w:tc>
          <w:tcPr>
            <w:tcW w:w="4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Nasdaq Stock Market LLC</w:t>
            </w:r>
          </w:p>
        </w:tc>
      </w:tr>
    </w:tbl>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w:t>
      </w:r>
    </w:p>
    <w:p>
      <w:pPr>
        <w:pStyle w:val="TextBody"/>
        <w:bidi w:val="0"/>
        <w:spacing w:lineRule="auto" w:line="288" w:before="120" w:after="283"/>
        <w:jc w:val="left"/>
        <w:rPr/>
      </w:pPr>
      <w:r>
        <w:rPr>
          <w:rFonts w:ascii="Expensify Neue;sans-serif" w:hAnsi="Expensify Neue;sans-serif"/>
          <w:b w:val="false"/>
          <w:color w:val="000000"/>
          <w:sz w:val="20"/>
        </w:rPr>
        <w:t>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pPr>
      <w:r>
        <w:rPr>
          <w:rFonts w:ascii="Expensify Neue;sans-serif" w:hAnsi="Expensify Neue;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r>
    </w:tbl>
    <w:p>
      <w:pPr>
        <w:pStyle w:val="TextBody"/>
        <w:bidi w:val="0"/>
        <w:spacing w:lineRule="auto" w:line="288" w:before="120" w:after="283"/>
        <w:jc w:val="left"/>
        <w:rPr/>
      </w:pPr>
      <w:r>
        <w:rPr>
          <w:rFonts w:ascii="Expensify Neue;sans-serif" w:hAnsi="Expensify Neue;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Indicate by check mark whether the registrant is a shell company (as defined in Rule 12b-2 of the Exchange Act).</w:t>
      </w:r>
    </w:p>
    <w:p>
      <w:pPr>
        <w:pStyle w:val="TextBody"/>
        <w:bidi w:val="0"/>
        <w:spacing w:lineRule="auto" w:line="288" w:before="0" w:after="160"/>
        <w:jc w:val="left"/>
        <w:rPr/>
      </w:pPr>
      <w:r>
        <w:rPr>
          <w:rFonts w:ascii="Expensify Neue;sans-serif" w:hAnsi="Expensify Neue;sans-serif"/>
          <w:b w:val="false"/>
          <w:color w:val="000000"/>
          <w:sz w:val="20"/>
        </w:rPr>
        <w:t xml:space="preserve">Yes </w:t>
      </w:r>
      <w:r>
        <w:rPr>
          <w:rFonts w:ascii="Wingdings;sans-serif" w:hAnsi="Wingdings;sans-serif"/>
          <w:b w:val="false"/>
          <w:color w:val="000000"/>
          <w:sz w:val="20"/>
        </w:rPr>
        <w:t>o</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x</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The registrant had outstanding 68,420,787 shares of Class A common stock, par value of $0.0001 per share, 7,333,619 shares of LT10 common stock, par value $0.0001 per share, and 7,093,750 shares of LT50 common stock, par value $0.0001 per share, as of August 4,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Table of Contents</w:t>
      </w:r>
    </w:p>
    <w:tbl>
      <w:tblPr>
        <w:tblW w:w="10205" w:type="dxa"/>
        <w:jc w:val="left"/>
        <w:tblInd w:w="0" w:type="dxa"/>
        <w:tblLayout w:type="fixed"/>
        <w:tblCellMar>
          <w:top w:w="28" w:type="dxa"/>
          <w:left w:w="28" w:type="dxa"/>
          <w:bottom w:w="28" w:type="dxa"/>
          <w:right w:w="28" w:type="dxa"/>
        </w:tblCellMar>
      </w:tblPr>
      <w:tblGrid>
        <w:gridCol w:w="832"/>
        <w:gridCol w:w="731"/>
        <w:gridCol w:w="731"/>
        <w:gridCol w:w="2518"/>
        <w:gridCol w:w="2326"/>
        <w:gridCol w:w="2359"/>
        <w:gridCol w:w="206"/>
        <w:gridCol w:w="206"/>
        <w:gridCol w:w="296"/>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Page</w:t>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0">
              <w:r>
                <w:rPr>
                  <w:rStyle w:val="InternetLink"/>
                  <w:rFonts w:ascii="Expensify Neue;sans-serif" w:hAnsi="Expensify Neue;sans-serif"/>
                  <w:b w:val="false"/>
                  <w:color w:val="0000FF"/>
                  <w:sz w:val="20"/>
                  <w:u w:val="single"/>
                </w:rPr>
                <w:t>Special Note Regarding Forward-Looking Statements</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3">
              <w:r>
                <w:rPr>
                  <w:rStyle w:val="InternetLink"/>
                  <w:rFonts w:ascii="Expensify Neue;sans-serif" w:hAnsi="Expensify Neue;sans-serif"/>
                  <w:b/>
                  <w:color w:val="0000FF"/>
                  <w:sz w:val="20"/>
                  <w:u w:val="single"/>
                </w:rPr>
                <w:t>Part I - Financial Information</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1.</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6">
              <w:r>
                <w:rPr>
                  <w:rStyle w:val="InternetLink"/>
                  <w:rFonts w:ascii="Expensify Neue;sans-serif" w:hAnsi="Expensify Neue;sans-serif"/>
                  <w:b w:val="false"/>
                  <w:color w:val="000080"/>
                  <w:sz w:val="20"/>
                  <w:u w:val="single"/>
                </w:rPr>
                <w:t xml:space="preserve">Condensed </w:t>
              </w:r>
            </w:hyperlink>
            <w:hyperlink w:anchor="i8b8e4df9e7ff4bc08602e492b8b42e60_16">
              <w:r>
                <w:rPr>
                  <w:rStyle w:val="InternetLink"/>
                  <w:rFonts w:ascii="Expensify Neue;sans-serif" w:hAnsi="Expensify Neue;sans-serif"/>
                  <w:b w:val="false"/>
                  <w:color w:val="000080"/>
                  <w:sz w:val="20"/>
                  <w:u w:val="single"/>
                </w:rPr>
                <w:t xml:space="preserve">Consolidated </w:t>
              </w:r>
            </w:hyperlink>
            <w:hyperlink w:anchor="i8b8e4df9e7ff4bc08602e492b8b42e60_16">
              <w:r>
                <w:rPr>
                  <w:rStyle w:val="InternetLink"/>
                  <w:rFonts w:ascii="Expensify Neue;sans-serif" w:hAnsi="Expensify Neue;sans-serif"/>
                  <w:b w:val="false"/>
                  <w:color w:val="000080"/>
                  <w:sz w:val="20"/>
                  <w:u w:val="single"/>
                </w:rPr>
                <w:t>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6">
              <w:r>
                <w:rPr>
                  <w:rStyle w:val="InternetLink"/>
                  <w:rFonts w:ascii="Expensify Neue;sans-serif" w:hAnsi="Expensify Neue;sans-serif"/>
                  <w:b w:val="false"/>
                  <w:color w:val="0000FF"/>
                  <w:sz w:val="20"/>
                  <w:u w:val="single"/>
                </w:rPr>
                <w:t>1</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8b8e4df9e7ff4bc08602e492b8b42e60_19">
              <w:r>
                <w:rPr>
                  <w:rStyle w:val="InternetLink"/>
                  <w:rFonts w:ascii="Expensify Neue;sans-serif" w:hAnsi="Expensify Neue;sans-serif"/>
                  <w:b w:val="false"/>
                  <w:color w:val="0000FF"/>
                  <w:sz w:val="20"/>
                  <w:u w:val="single"/>
                </w:rPr>
                <w:t>Condensed Consolidated Balance Sheets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9">
              <w:r>
                <w:rPr>
                  <w:rStyle w:val="InternetLink"/>
                  <w:rFonts w:ascii="Expensify Neue;sans-serif" w:hAnsi="Expensify Neue;sans-serif"/>
                  <w:b w:val="false"/>
                  <w:color w:val="0000FF"/>
                  <w:sz w:val="20"/>
                  <w:u w:val="single"/>
                </w:rPr>
                <w:t>2</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8b8e4df9e7ff4bc08602e492b8b42e60_22">
              <w:r>
                <w:rPr>
                  <w:rStyle w:val="InternetLink"/>
                  <w:rFonts w:ascii="Expensify Neue;sans-serif" w:hAnsi="Expensify Neue;sans-serif"/>
                  <w:b w:val="false"/>
                  <w:color w:val="0000FF"/>
                  <w:sz w:val="20"/>
                  <w:u w:val="single"/>
                </w:rPr>
                <w:t>Condensed Consolidated Statements of Operations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22">
              <w:r>
                <w:rPr>
                  <w:rStyle w:val="InternetLink"/>
                  <w:rFonts w:ascii="Expensify Neue;sans-serif" w:hAnsi="Expensify Neue;sans-serif"/>
                  <w:b w:val="false"/>
                  <w:color w:val="0000FF"/>
                  <w:sz w:val="20"/>
                  <w:u w:val="single"/>
                </w:rPr>
                <w:t>3</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8e4df9e7ff4bc08602e492b8b42e60_25">
              <w:r>
                <w:rPr>
                  <w:rStyle w:val="InternetLink"/>
                  <w:rFonts w:ascii="Expensify Neue;sans-serif" w:hAnsi="Expensify Neue;sans-serif"/>
                  <w:b w:val="false"/>
                  <w:color w:val="0000FF"/>
                  <w:sz w:val="20"/>
                  <w:u w:val="single"/>
                </w:rPr>
                <w:t>Condensed Consolidated Statements of Changes in Stockholders’ Equity</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25">
              <w:r>
                <w:rPr>
                  <w:rStyle w:val="InternetLink"/>
                  <w:rFonts w:ascii="Expensify Neue;sans-serif" w:hAnsi="Expensify Neue;sans-serif"/>
                  <w:b w:val="false"/>
                  <w:color w:val="0000FF"/>
                  <w:sz w:val="20"/>
                  <w:u w:val="single"/>
                </w:rPr>
                <w:t>4</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8b8e4df9e7ff4bc08602e492b8b42e60_28">
              <w:r>
                <w:rPr>
                  <w:rStyle w:val="InternetLink"/>
                  <w:rFonts w:ascii="Expensify Neue;sans-serif" w:hAnsi="Expensify Neue;sans-serif"/>
                  <w:b w:val="false"/>
                  <w:color w:val="0000FF"/>
                  <w:sz w:val="20"/>
                  <w:u w:val="single"/>
                </w:rPr>
                <w:t>Condensed Consolidated Statements of Cash Flows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28">
              <w:r>
                <w:rPr>
                  <w:rStyle w:val="InternetLink"/>
                  <w:rFonts w:ascii="Expensify Neue;sans-serif" w:hAnsi="Expensify Neue;sans-serif"/>
                  <w:b w:val="false"/>
                  <w:color w:val="0000FF"/>
                  <w:sz w:val="20"/>
                  <w:u w:val="single"/>
                </w:rPr>
                <w:t>8</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8b8e4df9e7ff4bc08602e492b8b42e60_31">
              <w:r>
                <w:rPr>
                  <w:rStyle w:val="InternetLink"/>
                  <w:rFonts w:ascii="Expensify Neue;sans-serif" w:hAnsi="Expensify Neue;sans-serif"/>
                  <w:b w:val="false"/>
                  <w:color w:val="0000FF"/>
                  <w:sz w:val="20"/>
                  <w:u w:val="single"/>
                </w:rPr>
                <w:t>Notes to Condensed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31">
              <w:r>
                <w:rPr>
                  <w:rStyle w:val="InternetLink"/>
                  <w:rFonts w:ascii="Expensify Neue;sans-serif" w:hAnsi="Expensify Neue;sans-serif"/>
                  <w:b w:val="false"/>
                  <w:color w:val="0000FF"/>
                  <w:sz w:val="20"/>
                  <w:u w:val="single"/>
                </w:rPr>
                <w:t>9</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2.</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8e4df9e7ff4bc08602e492b8b42e60_64">
              <w:r>
                <w:rPr>
                  <w:rStyle w:val="InternetLink"/>
                  <w:rFonts w:ascii="Expensify Neue;sans-serif" w:hAnsi="Expensify Neue;sans-serif"/>
                  <w:b w:val="false"/>
                  <w:color w:val="0000FF"/>
                  <w:sz w:val="20"/>
                  <w:u w:val="single"/>
                </w:rPr>
                <w:t>Management's Discussion and Analysis of Financial Condition and Results of Operations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64">
              <w:r>
                <w:rPr>
                  <w:rStyle w:val="InternetLink"/>
                  <w:rFonts w:ascii="Expensify Neue;sans-serif" w:hAnsi="Expensify Neue;sans-serif"/>
                  <w:b w:val="false"/>
                  <w:color w:val="0000FF"/>
                  <w:sz w:val="20"/>
                  <w:u w:val="single"/>
                </w:rPr>
                <w:t>23</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3.</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03">
              <w:r>
                <w:rPr>
                  <w:rStyle w:val="InternetLink"/>
                  <w:rFonts w:ascii="Expensify Neue;sans-serif" w:hAnsi="Expensify Neue;sans-serif"/>
                  <w:b w:val="false"/>
                  <w:color w:val="0000FF"/>
                  <w:sz w:val="20"/>
                  <w:u w:val="single"/>
                </w:rPr>
                <w:t>Quantitative and Qualitative Disclosures About Market Risk</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03">
              <w:r>
                <w:rPr>
                  <w:rStyle w:val="InternetLink"/>
                  <w:rFonts w:ascii="Expensify Neue;sans-serif" w:hAnsi="Expensify Neue;sans-serif"/>
                  <w:b w:val="false"/>
                  <w:color w:val="0000FF"/>
                  <w:sz w:val="20"/>
                  <w:u w:val="single"/>
                </w:rPr>
                <w:t>37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4.</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06">
              <w:r>
                <w:rPr>
                  <w:rStyle w:val="InternetLink"/>
                  <w:rFonts w:ascii="Expensify Neue;sans-serif" w:hAnsi="Expensify Neue;sans-serif"/>
                  <w:b w:val="false"/>
                  <w:color w:val="0000FF"/>
                  <w:sz w:val="20"/>
                  <w:u w:val="single"/>
                </w:rPr>
                <w:t>Controls and Procedures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06">
              <w:r>
                <w:rPr>
                  <w:rStyle w:val="InternetLink"/>
                  <w:rFonts w:ascii="Expensify Neue;sans-serif" w:hAnsi="Expensify Neue;sans-serif"/>
                  <w:b w:val="false"/>
                  <w:color w:val="0000FF"/>
                  <w:sz w:val="20"/>
                  <w:u w:val="single"/>
                </w:rPr>
                <w:t>37</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09">
              <w:r>
                <w:rPr>
                  <w:rStyle w:val="InternetLink"/>
                  <w:rFonts w:ascii="Expensify Neue;sans-serif" w:hAnsi="Expensify Neue;sans-serif"/>
                  <w:b/>
                  <w:color w:val="0000FF"/>
                  <w:sz w:val="20"/>
                  <w:u w:val="single"/>
                </w:rPr>
                <w:t>Part II - Other Information</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1.</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12">
              <w:r>
                <w:rPr>
                  <w:rStyle w:val="InternetLink"/>
                  <w:rFonts w:ascii="Expensify Neue;sans-serif" w:hAnsi="Expensify Neue;sans-serif"/>
                  <w:b w:val="false"/>
                  <w:color w:val="0000FF"/>
                  <w:sz w:val="20"/>
                  <w:u w:val="single"/>
                </w:rPr>
                <w:t>Legal Proceedings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12">
              <w:r>
                <w:rPr>
                  <w:rStyle w:val="InternetLink"/>
                  <w:rFonts w:ascii="Expensify Neue;sans-serif" w:hAnsi="Expensify Neue;sans-serif"/>
                  <w:b w:val="false"/>
                  <w:color w:val="0000FF"/>
                  <w:sz w:val="20"/>
                  <w:u w:val="single"/>
                </w:rPr>
                <w:t>38</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1A.</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15">
              <w:r>
                <w:rPr>
                  <w:rStyle w:val="InternetLink"/>
                  <w:rFonts w:ascii="Expensify Neue;sans-serif" w:hAnsi="Expensify Neue;sans-serif"/>
                  <w:b w:val="false"/>
                  <w:color w:val="0000FF"/>
                  <w:sz w:val="20"/>
                  <w:u w:val="single"/>
                </w:rPr>
                <w:t>Risk Factors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15">
              <w:r>
                <w:rPr>
                  <w:rStyle w:val="InternetLink"/>
                  <w:rFonts w:ascii="Expensify Neue;sans-serif" w:hAnsi="Expensify Neue;sans-serif"/>
                  <w:b w:val="false"/>
                  <w:color w:val="0000FF"/>
                  <w:sz w:val="20"/>
                  <w:u w:val="single"/>
                </w:rPr>
                <w:t>38</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2.</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21">
              <w:r>
                <w:rPr>
                  <w:rStyle w:val="InternetLink"/>
                  <w:rFonts w:ascii="Expensify Neue;sans-serif" w:hAnsi="Expensify Neue;sans-serif"/>
                  <w:b w:val="false"/>
                  <w:color w:val="0000FF"/>
                  <w:sz w:val="20"/>
                  <w:u w:val="single"/>
                </w:rPr>
                <w:t>Unregistered Sales of Equity Securities and Use of Proceeds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21">
              <w:r>
                <w:rPr>
                  <w:rStyle w:val="InternetLink"/>
                  <w:rFonts w:ascii="Expensify Neue;sans-serif" w:hAnsi="Expensify Neue;sans-serif"/>
                  <w:b w:val="false"/>
                  <w:color w:val="0000FF"/>
                  <w:sz w:val="20"/>
                  <w:u w:val="single"/>
                </w:rPr>
                <w:t>38</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3.</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24">
              <w:r>
                <w:rPr>
                  <w:rStyle w:val="InternetLink"/>
                  <w:rFonts w:ascii="Expensify Neue;sans-serif" w:hAnsi="Expensify Neue;sans-serif"/>
                  <w:b w:val="false"/>
                  <w:color w:val="0000FF"/>
                  <w:sz w:val="20"/>
                  <w:u w:val="single"/>
                </w:rPr>
                <w:t>Defaults Upon Senior Securities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24">
              <w:r>
                <w:rPr>
                  <w:rStyle w:val="InternetLink"/>
                  <w:rFonts w:ascii="Expensify Neue;sans-serif" w:hAnsi="Expensify Neue;sans-serif"/>
                  <w:b w:val="false"/>
                  <w:color w:val="0000FF"/>
                  <w:sz w:val="20"/>
                  <w:u w:val="single"/>
                </w:rPr>
                <w:t>39</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4.</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27">
              <w:r>
                <w:rPr>
                  <w:rStyle w:val="InternetLink"/>
                  <w:rFonts w:ascii="Expensify Neue;sans-serif" w:hAnsi="Expensify Neue;sans-serif"/>
                  <w:b w:val="false"/>
                  <w:color w:val="0000FF"/>
                  <w:sz w:val="20"/>
                  <w:u w:val="single"/>
                </w:rPr>
                <w:t>Mine Safety Disclosures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27">
              <w:r>
                <w:rPr>
                  <w:rStyle w:val="InternetLink"/>
                  <w:rFonts w:ascii="Expensify Neue;sans-serif" w:hAnsi="Expensify Neue;sans-serif"/>
                  <w:b w:val="false"/>
                  <w:color w:val="0000FF"/>
                  <w:sz w:val="20"/>
                  <w:u w:val="single"/>
                </w:rPr>
                <w:t>39</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5.</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30">
              <w:r>
                <w:rPr>
                  <w:rStyle w:val="InternetLink"/>
                  <w:rFonts w:ascii="Expensify Neue;sans-serif" w:hAnsi="Expensify Neue;sans-serif"/>
                  <w:b w:val="false"/>
                  <w:color w:val="0000FF"/>
                  <w:sz w:val="20"/>
                  <w:u w:val="single"/>
                </w:rPr>
                <w:t>Other Information</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30">
              <w:r>
                <w:rPr>
                  <w:rStyle w:val="InternetLink"/>
                  <w:rFonts w:ascii="Expensify Neue;sans-serif" w:hAnsi="Expensify Neue;sans-serif"/>
                  <w:b w:val="false"/>
                  <w:color w:val="0000FF"/>
                  <w:sz w:val="20"/>
                  <w:u w:val="single"/>
                </w:rPr>
                <w:t>39</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6.</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33">
              <w:r>
                <w:rPr>
                  <w:rStyle w:val="InternetLink"/>
                  <w:rFonts w:ascii="Expensify Neue;sans-serif" w:hAnsi="Expensify Neue;sans-serif"/>
                  <w:b w:val="false"/>
                  <w:color w:val="0000FF"/>
                  <w:sz w:val="20"/>
                  <w:u w:val="single"/>
                </w:rPr>
                <w:t>Exhibits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e4df9e7ff4bc08602e492b8b42e60_133">
              <w:r>
                <w:rPr>
                  <w:rStyle w:val="InternetLink"/>
                  <w:rFonts w:ascii="Expensify Neue;sans-serif" w:hAnsi="Expensify Neue;sans-serif"/>
                  <w:b w:val="false"/>
                  <w:color w:val="0000FF"/>
                  <w:sz w:val="20"/>
                  <w:u w:val="single"/>
                </w:rPr>
                <w:t>40</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8e4df9e7ff4bc08602e492b8b42e60_136">
              <w:r>
                <w:rPr>
                  <w:rStyle w:val="InternetLink"/>
                  <w:rFonts w:ascii="Expensify Neue;sans-serif" w:hAnsi="Expensify Neue;sans-serif"/>
                  <w:b/>
                  <w:color w:val="0000FF"/>
                  <w:sz w:val="20"/>
                  <w:u w:val="single"/>
                </w:rPr>
                <w:t>Signatures</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w:t>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Special Note Regarding Forward Looking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strategies,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impact of inflation on us and our members;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borrowing costs have and may continue to increase as a result of increases in interest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financial performance and future operating performance;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attract and retain members, expand usage of our platform, sell subscriptions to our platform and convert individuals and organizations into paying customers;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timing and success of new features, integrations, capabilities and enhancements by us, or by competitors to their products, or any other changes in the competitive landscape of our market;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amount and timing of operating expenses and capital expenditures that we may incur to maintain and expand our business and operations to remain competitive;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sufficiency of our cash, cash equivalents and investments to meet our liquidity needs;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make required payments under and to comply with the various requirements of our current and future indebtedness;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cash flows, the prevailing stock prices, general economic and market conditions and other considerations that could affect the specific timing, price and size of repurchases under our stock repurchase program or our ability to fund any stock repurchases;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war in Ukraine and escalating geopolitical tensions as a result of Russia's invasion of Ukraine;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exposure to fluctuations in foreign currency exchange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increased expenses associated with being a public company;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size of our addressable markets, market share and market trends;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anticipated trends, developments and challenges in our industry, business and the highly competitive markets in which we operate;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income tax liabilities and the adequacy of our reserves;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growth and expand our infrastructure and maintain our corporate culture;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identify, recruit and retain skilled personnel, including key members of senior management;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safety, affordability and convenience of our platform and our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w:t>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defend litigation brought against us;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identify, manage and integrate any existing and potential acquisitions of businesses, talent, technologies or intellectual property;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general economic conditions in either domestic or international markets, including geopolitical uncertainty and instability;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protections against security breaches, technical difficulties, or interruptions to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maintain, protect and enhance our intellectual property;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other risks and uncertainties identified under Item 1A, “Risk Factors” in our Annual Report on Form 10-K for the year ended December 31, 2022.</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2022,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iii</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17270"/>
                <wp:effectExtent l="0" t="0" r="0" b="0"/>
                <wp:wrapNone/>
                <wp:docPr id="5" name="Frame5"/>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Balance Sheets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 xml:space="preserve">(unaudited, in thousands, except share data) </w:t>
      </w:r>
    </w:p>
    <w:tbl>
      <w:tblPr>
        <w:tblW w:w="10205" w:type="dxa"/>
        <w:jc w:val="left"/>
        <w:tblInd w:w="0" w:type="dxa"/>
        <w:tblLayout w:type="fixed"/>
        <w:tblCellMar>
          <w:top w:w="28" w:type="dxa"/>
          <w:left w:w="28" w:type="dxa"/>
          <w:bottom w:w="28" w:type="dxa"/>
          <w:right w:w="28" w:type="dxa"/>
        </w:tblCellMar>
      </w:tblPr>
      <w:tblGrid>
        <w:gridCol w:w="2852"/>
        <w:gridCol w:w="2280"/>
        <w:gridCol w:w="2306"/>
        <w:gridCol w:w="215"/>
        <w:gridCol w:w="845"/>
        <w:gridCol w:w="111"/>
        <w:gridCol w:w="109"/>
        <w:gridCol w:w="109"/>
        <w:gridCol w:w="109"/>
        <w:gridCol w:w="224"/>
        <w:gridCol w:w="877"/>
        <w:gridCol w:w="168"/>
      </w:tblGrid>
      <w:tr>
        <w:trPr/>
        <w:tc>
          <w:tcPr>
            <w:tcW w:w="285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Assets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and cash equivalents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97,795 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103,787 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receivable,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14,922 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16,448 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assets,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39,276 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35,838 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Prepaid expenses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5,050 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8,825 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current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24,606 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22,217 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assets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181,649 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187,115 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Capitalized software,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8,617 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Property and equipment,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14,545 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14,492 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right-of-use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6,417 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Deferred tax assets,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212,386 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210,241 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Liabilities and stockholders' equity</w:t>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Accrued expenses and other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11,650 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9,070 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Borrowings under line of credit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Current portion of long-term debt, net of original issue discount and debt issuance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current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32,500 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33,882 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liabilities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61,676 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60,362 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non-current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Long-term debt, net of original issue discount and debt issuance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43,180 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51,434 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112,523 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113,000 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Commitments and contingencies (Note 4)</w:t>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Stockholders' equity:</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Preferred stock, par value $0.0001; 10,000,000 shares of preferred stock authorized as of June 30, 2023 and December 31, 2022; no shares of preferred stock issued and outstanding as of June 30, 2023 and December 31, 2022</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Common stock, par value $0.0001; 1,000,000,000 shares of Class A common stock authorized as of June 30, 2023 and December 31, 2022; 68,347,794 and 68,238,245 shares of Class A common stock issued and outstanding as of June 30, 2023 and December 31, 2022, respectively; 24,996,238 and 24,997,561 shares of LT10 common stock authorized as of June 30, 2023 and December 31, 2022, respectively; 7,334,868 and 7,336,191 shares of LT10 common stock issued and outstanding as of June 30, 2023 and December 31, 2022, respectively; 24,999,020 shares of LT50 common stock authorized as of June 30, 2023 and December 31, 2022; 7,093,829 and 6,854,931 shares of LT50 common stock issued and outstanding as of June 30, 2023 and December 31, 2022, respectively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Additional paid-in capital</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216,422 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194,807 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Accumulated deficit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(116,566)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(97,573)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stockholders' equity</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99,863 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97,241 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 and stockholders' equity</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212,386 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210,241 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43635"/>
                <wp:effectExtent l="0" t="0" r="0" b="0"/>
                <wp:wrapNone/>
                <wp:docPr id="6" name="Frame6"/>
                <a:graphic xmlns:a="http://schemas.openxmlformats.org/drawingml/2006/main">
                  <a:graphicData uri="http://schemas.microsoft.com/office/word/2010/wordprocessingShape">
                    <wps:wsp>
                      <wps:cNvSpPr txBox="1"/>
                      <wps:spPr>
                        <a:xfrm>
                          <a:off x="0" y="0"/>
                          <a:ext cx="6480175" cy="1143635"/>
                        </a:xfrm>
                        <a:prstGeom prst="rect"/>
                        <a:solidFill>
                          <a:srgbClr val="FFFFFF"/>
                        </a:solidFill>
                      </wps:spPr>
                      <wps:txb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05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Operations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(unaudited,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582"/>
        <w:gridCol w:w="1088"/>
        <w:gridCol w:w="1079"/>
        <w:gridCol w:w="263"/>
        <w:gridCol w:w="983"/>
        <w:gridCol w:w="110"/>
        <w:gridCol w:w="110"/>
        <w:gridCol w:w="110"/>
        <w:gridCol w:w="110"/>
        <w:gridCol w:w="267"/>
        <w:gridCol w:w="979"/>
        <w:gridCol w:w="110"/>
        <w:gridCol w:w="109"/>
        <w:gridCol w:w="109"/>
        <w:gridCol w:w="109"/>
        <w:gridCol w:w="263"/>
        <w:gridCol w:w="983"/>
        <w:gridCol w:w="109"/>
        <w:gridCol w:w="109"/>
        <w:gridCol w:w="109"/>
        <w:gridCol w:w="109"/>
        <w:gridCol w:w="263"/>
        <w:gridCol w:w="983"/>
        <w:gridCol w:w="159"/>
      </w:tblGrid>
      <w:tr>
        <w:trPr/>
        <w:tc>
          <w:tcPr>
            <w:tcW w:w="15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38,884 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43,162 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78,985 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83,532 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16,925 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15,876 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30,010 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27,286 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53,522 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29,438 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31,520 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31,260 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62,339 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(9,561)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(3,974)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(8,817)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(10,928)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(5,929)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(11,304)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(7,994)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(15,370)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82,011,477 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80,473,097 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81,890,624 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80,311,053 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42390"/>
                <wp:effectExtent l="0" t="0" r="0" b="0"/>
                <wp:wrapNone/>
                <wp:docPr id="7" name="Frame7"/>
                <a:graphic xmlns:a="http://schemas.openxmlformats.org/drawingml/2006/main">
                  <a:graphicData uri="http://schemas.microsoft.com/office/word/2010/wordprocessingShape">
                    <wps:wsp>
                      <wps:cNvSpPr txBox="1"/>
                      <wps:spPr>
                        <a:xfrm>
                          <a:off x="0" y="0"/>
                          <a:ext cx="6480175" cy="1342390"/>
                        </a:xfrm>
                        <a:prstGeom prst="rect"/>
                        <a:solidFill>
                          <a:srgbClr val="FFFFFF"/>
                        </a:solidFill>
                      </wps:spPr>
                      <wps:txbx>
                        <w:txbxContent>
                          <w:tbl>
                            <w:tblPr>
                              <w:tblW w:w="7514" w:type="dxa"/>
                              <w:jc w:val="center"/>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7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center"/>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p>
      <w:pPr>
        <w:pStyle w:val="TextBody"/>
        <w:bidi w:val="0"/>
        <w:spacing w:before="160" w:after="283"/>
        <w:ind w:left="0" w:right="0" w:firstLine="720"/>
        <w:jc w:val="left"/>
        <w:rPr/>
      </w:pPr>
      <w:r>
        <w:rPr/>
      </w:r>
    </w:p>
    <w:tbl>
      <w:tblPr>
        <w:tblW w:w="11608" w:type="dxa"/>
        <w:jc w:val="left"/>
        <w:tblInd w:w="0" w:type="dxa"/>
        <w:tblLayout w:type="fixed"/>
        <w:tblCellMar>
          <w:top w:w="28" w:type="dxa"/>
          <w:left w:w="28" w:type="dxa"/>
          <w:bottom w:w="28" w:type="dxa"/>
          <w:right w:w="28" w:type="dxa"/>
        </w:tblCellMar>
      </w:tblPr>
      <w:tblGrid>
        <w:gridCol w:w="82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June 30, 2023</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March 31, 2023</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82,806,528 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(103,518)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102,696 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51,871 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3,760 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278,425 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261,840 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Shares withheld from common stock issued to pay employee payroll taxes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(120,852)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(858)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(504,493)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11,083 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(11,304)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2023</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82,776,491 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216,422 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(116,566)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99,863 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75055"/>
                <wp:effectExtent l="0" t="0" r="0" b="0"/>
                <wp:wrapNone/>
                <wp:docPr id="8" name="Frame8"/>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608" w:type="dxa"/>
        <w:jc w:val="left"/>
        <w:tblInd w:w="0" w:type="dxa"/>
        <w:tblLayout w:type="fixed"/>
        <w:tblCellMar>
          <w:top w:w="28" w:type="dxa"/>
          <w:left w:w="28" w:type="dxa"/>
          <w:bottom w:w="28" w:type="dxa"/>
          <w:right w:w="28" w:type="dxa"/>
        </w:tblCellMar>
      </w:tblPr>
      <w:tblGrid>
        <w:gridCol w:w="82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53"/>
        <w:gridCol w:w="944"/>
        <w:gridCol w:w="124"/>
        <w:gridCol w:w="109"/>
        <w:gridCol w:w="109"/>
        <w:gridCol w:w="109"/>
        <w:gridCol w:w="264"/>
        <w:gridCol w:w="966"/>
        <w:gridCol w:w="181"/>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June 30, 2022</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March 31, 2022</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81,606,993 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(73,282)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84,467 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101,345 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183 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3,896 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(10,740)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71,522 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14,379 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(7,994)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(7,994)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2022</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81,773,016 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173,961 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(81,276)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92,691 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75055"/>
                <wp:effectExtent l="0" t="0" r="0" b="0"/>
                <wp:wrapNone/>
                <wp:docPr id="9" name="Frame9"/>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608" w:type="dxa"/>
        <w:jc w:val="left"/>
        <w:tblInd w:w="0" w:type="dxa"/>
        <w:tblLayout w:type="fixed"/>
        <w:tblCellMar>
          <w:top w:w="28" w:type="dxa"/>
          <w:left w:w="28" w:type="dxa"/>
          <w:bottom w:w="28" w:type="dxa"/>
          <w:right w:w="28" w:type="dxa"/>
        </w:tblCellMar>
      </w:tblPr>
      <w:tblGrid>
        <w:gridCol w:w="82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64"/>
        <w:gridCol w:w="966"/>
        <w:gridCol w:w="181"/>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Six months ended June 30, 2023</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2022</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82,429,367 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97,241 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102,865 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125 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402 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441,842 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2,076 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507,153 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Shares withheld from common stock issued to pay employee payroll taxes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(204,228)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(1,524)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(504,493)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21,744 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(17,249)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2023</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82,776,491 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216,422 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(116,566)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99,863 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75055"/>
                <wp:effectExtent l="0" t="0" r="0" b="0"/>
                <wp:wrapNone/>
                <wp:docPr id="10" name="Frame10"/>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608" w:type="dxa"/>
        <w:jc w:val="left"/>
        <w:tblInd w:w="0" w:type="dxa"/>
        <w:tblLayout w:type="fixed"/>
        <w:tblCellMar>
          <w:top w:w="28" w:type="dxa"/>
          <w:left w:w="28" w:type="dxa"/>
          <w:bottom w:w="28" w:type="dxa"/>
          <w:right w:w="28" w:type="dxa"/>
        </w:tblCellMar>
      </w:tblPr>
      <w:tblGrid>
        <w:gridCol w:w="82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53"/>
        <w:gridCol w:w="944"/>
        <w:gridCol w:w="124"/>
        <w:gridCol w:w="109"/>
        <w:gridCol w:w="109"/>
        <w:gridCol w:w="109"/>
        <w:gridCol w:w="264"/>
        <w:gridCol w:w="966"/>
        <w:gridCol w:w="181"/>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Six months ended June 30, 2022</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2021</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81,400,860 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(65,906)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76,615 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307,075 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435 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6,629 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(13,070)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71,522 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29,046 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(15,370)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(15,370)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2022</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81,773,016 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173,961 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(81,276)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92,691 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75055"/>
                <wp:effectExtent l="0" t="0" r="0" b="0"/>
                <wp:wrapNone/>
                <wp:docPr id="11" name="Frame11"/>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Cash Flows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818"/>
        <w:gridCol w:w="2461"/>
        <w:gridCol w:w="2470"/>
        <w:gridCol w:w="196"/>
        <w:gridCol w:w="736"/>
        <w:gridCol w:w="109"/>
        <w:gridCol w:w="109"/>
        <w:gridCol w:w="109"/>
        <w:gridCol w:w="109"/>
        <w:gridCol w:w="196"/>
        <w:gridCol w:w="736"/>
        <w:gridCol w:w="156"/>
      </w:tblGrid>
      <w:tr>
        <w:trPr/>
        <w:tc>
          <w:tcPr>
            <w:tcW w:w="2818"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Six Months Ended June 30,</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2022</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operating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(15,370)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Adjustments to reconcile net loss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Reduction of 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Loss on impairment, receivables and sale or disposal of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28,428 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Amortization of original issue discount and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Deferred tax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Settlement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(8,999)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Related party loan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Settlement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19,910 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27,158 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(735)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Principal payments of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Principal payments of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Repurchases of early exercised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Proceeds from common stock purchased under Matching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Proceeds from issuance of common stock on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Payments for employee taxes withheld from stock-based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Repurchase and retirement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(decrease) increase in cash and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27,419 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125,315 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152,734 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Supplemental disclosure of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Noncash investing and financing items: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Stock-based compensation capitalized as software development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Right-of-use assets acquired through operating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Accrued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Reconciliation of cash and cash equivalents and restricted cash to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105,537 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Restricted cash included in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16,077 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Restricted cash included in settlement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31,120 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152,734 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75055"/>
                <wp:effectExtent l="0" t="0" r="0" b="0"/>
                <wp:wrapNone/>
                <wp:docPr id="12" name="Frame12"/>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1 – GENERAL INFORMATION</w:t>
      </w:r>
    </w:p>
    <w:p>
      <w:pPr>
        <w:pStyle w:val="TextBody"/>
        <w:bidi w:val="0"/>
        <w:spacing w:lineRule="auto" w:line="288" w:before="0" w:after="160"/>
        <w:jc w:val="left"/>
        <w:rPr/>
      </w:pPr>
      <w:r>
        <w:rPr>
          <w:rFonts w:ascii="Expensify Neue;sans-serif" w:hAnsi="Expensify Neue;sans-serif"/>
          <w:b/>
          <w:color w:val="000000"/>
          <w:sz w:val="20"/>
        </w:rPr>
        <w:t>Description of the Business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midsized businesses and enterprises on a per-active-member basis.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also offers an Expensify charge card (the "Expensify Card"), which is primarily distributed to corporate customers in the United States ("U.S.") that subsequently distribute the card to their employees for business use. The Expensify Card allows customers to have real-time control over their employees' spending and compliance with spending limits in addition to eReceipt reporting on purchases.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Basis of Presentation and Principles of Consolidation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accompanying condensed consolidated financial statements include the accounts of Expensify and its wholly-owned subsidiaries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2022 ("2022 Annual Report").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Results of operations for the three and six months ended June 30, 2023 are not necessarily indicative of the results that may be expected for the year ending December 31, 2023 or for any other future annual or interim period.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Use of Estimates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Significant estimates and assumptions by management affect the Company’s classification of employee and employee-related expenses, the useful lives and recoverability of long-lived assets, income taxes, capitalization of internal-use software costs, stock-based compensation and the Company's incremental borrowing rate (IBR) utilized to measure its operating lease assets and lease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0250"/>
                <wp:effectExtent l="0" t="0" r="0" b="0"/>
                <wp:wrapNone/>
                <wp:docPr id="13" name="Frame13"/>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Updates to Significant Accounting Policies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Company’s significant accounting policies are discussed in Note 2 of the 2022 Annual Report. Since the date the 2022 Annual Report was filed with the SEC, there have been no material changes to the Company's significant accounting policies, including the status of recent accounting pronouncements adopted, other than those detailed below. </w:t>
      </w:r>
    </w:p>
    <w:p>
      <w:pPr>
        <w:pStyle w:val="TextBody"/>
        <w:bidi w:val="0"/>
        <w:spacing w:lineRule="auto" w:line="288" w:before="0" w:after="160"/>
        <w:jc w:val="left"/>
        <w:rPr/>
      </w:pPr>
      <w:r>
        <w:rPr>
          <w:rFonts w:ascii="Expensify Neue;sans-serif" w:hAnsi="Expensify Neue;sans-serif"/>
          <w:b/>
          <w:color w:val="000000"/>
          <w:sz w:val="20"/>
        </w:rPr>
        <w:t>Recently Adopted Accounting Pronouncements</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In June 2016, the FASB issued ASU 2016-13, Financial Instrume</w:t>
      </w:r>
      <w:r>
        <w:rPr>
          <w:rFonts w:ascii="Expensify Neue;sans-serif" w:hAnsi="Expensify Neue;sans-serif"/>
          <w:b w:val="false"/>
          <w:i/>
          <w:color w:val="000000"/>
          <w:sz w:val="20"/>
        </w:rPr>
        <w:t>nts - Credit Losses (Topic 326) Measurement of Credit Losses on Financial Instruments</w:t>
      </w:r>
      <w:r>
        <w:rPr>
          <w:rFonts w:ascii="Expensify Neue;sans-serif" w:hAnsi="Expensify Neue;sans-serif"/>
          <w:b w:val="false"/>
          <w:color w:val="000000"/>
          <w:sz w:val="20"/>
          <w:shd w:fill="FFFFFF" w:val="clear"/>
        </w:rPr>
        <w:t>, with subsequent ASUs issued that clarify the guidance (collectively, "Topic 326"). Topic 326 requires an entity to utilize a new impairment model known as the current expected credit loss ("CECL") model to estimate its “lifetime expected credit losses" using a forward-looking approach and to record an allowance that, when deducted from the amortized cost basis of the financial asset, presents the net amount expected to be collected on the financial asset. The CECL model is expected to result in more timely recognition of credit losses. Topic 326 also requires new disclosures for financial assets measured at amortized cost, loans and available-for-sale debt securities.</w:t>
      </w:r>
    </w:p>
    <w:p>
      <w:pPr>
        <w:pStyle w:val="TextBody"/>
        <w:bidi w:val="0"/>
        <w:spacing w:lineRule="auto" w:line="256" w:before="0" w:after="0"/>
        <w:jc w:val="left"/>
        <w:rPr/>
      </w:pPr>
      <w:r>
        <w:rPr>
          <w:rFonts w:ascii="Expensify Neue;sans-serif" w:hAnsi="Expensify Neue;sans-serif"/>
          <w:b w:val="false"/>
          <w:color w:val="000000"/>
          <w:sz w:val="20"/>
          <w:shd w:fill="FFFFFF" w:val="clear"/>
        </w:rPr>
        <w:t xml:space="preserve">As a result of no longer qualifying as an emerging growth company as of December 31, 2022, the Company was required to adopt Topic 326 retroactive to January 1, 2022. The Company was not required to amend quarterly filings issued subsequent to January 1, 2022 in which the Company filed under the legacy credit loss guidance of </w:t>
      </w:r>
      <w:r>
        <w:rPr>
          <w:rFonts w:ascii="Expensify Neue;sans-serif" w:hAnsi="Expensify Neue;sans-serif"/>
          <w:b w:val="false"/>
          <w:color w:val="000000"/>
          <w:sz w:val="20"/>
        </w:rPr>
        <w:t xml:space="preserve">Accounting Standards Codification ("ASC") </w:t>
      </w:r>
      <w:r>
        <w:rPr>
          <w:rFonts w:ascii="Expensify Neue;sans-serif" w:hAnsi="Expensify Neue;sans-serif"/>
          <w:b w:val="false"/>
          <w:color w:val="000000"/>
          <w:sz w:val="20"/>
          <w:shd w:fill="FFFFFF" w:val="clear"/>
        </w:rPr>
        <w:t>Topic 310. As such, the 2022 Annual Report was the first period under which the Company reported credit loss estimates in accordance with Topic 326. The adoption of Topic 326 did not have a material impact on the Company's financial position or results of operations as of and for the three and six months ended June 30, 2022.</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2 - REVENUE AND CERTAIN STATEMENT OF OPERATIONS COMPONENTS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by geographic region, based on user address, was as follows (in thousands):</w:t>
      </w:r>
    </w:p>
    <w:tbl>
      <w:tblPr>
        <w:tblW w:w="7770" w:type="dxa"/>
        <w:jc w:val="left"/>
        <w:tblInd w:w="0" w:type="dxa"/>
        <w:tblLayout w:type="fixed"/>
        <w:tblCellMar>
          <w:top w:w="28" w:type="dxa"/>
          <w:left w:w="28" w:type="dxa"/>
          <w:bottom w:w="28" w:type="dxa"/>
          <w:right w:w="28" w:type="dxa"/>
        </w:tblCellMar>
      </w:tblPr>
      <w:tblGrid>
        <w:gridCol w:w="684"/>
        <w:gridCol w:w="602"/>
        <w:gridCol w:w="604"/>
        <w:gridCol w:w="244"/>
        <w:gridCol w:w="893"/>
        <w:gridCol w:w="117"/>
        <w:gridCol w:w="117"/>
        <w:gridCol w:w="117"/>
        <w:gridCol w:w="117"/>
        <w:gridCol w:w="244"/>
        <w:gridCol w:w="893"/>
        <w:gridCol w:w="117"/>
        <w:gridCol w:w="109"/>
        <w:gridCol w:w="109"/>
        <w:gridCol w:w="109"/>
        <w:gridCol w:w="226"/>
        <w:gridCol w:w="826"/>
        <w:gridCol w:w="109"/>
        <w:gridCol w:w="109"/>
        <w:gridCol w:w="109"/>
        <w:gridCol w:w="109"/>
        <w:gridCol w:w="226"/>
        <w:gridCol w:w="82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United States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39,388 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All other locations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38,884 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43,162 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78,985 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 individual customer represented more than 10% of the Company’s total revenue during the three and six months ended June 30, 2023 and 2022.</w:t>
      </w:r>
    </w:p>
    <w:p>
      <w:pPr>
        <w:pStyle w:val="TextBody"/>
        <w:bidi w:val="0"/>
        <w:spacing w:lineRule="auto" w:line="288" w:before="0" w:after="160"/>
        <w:jc w:val="left"/>
        <w:rPr/>
      </w:pPr>
      <w:r>
        <w:rPr>
          <w:rFonts w:ascii="Expensify Neue;sans-serif" w:hAnsi="Expensify Neue;sans-serif"/>
          <w:b/>
          <w:color w:val="000000"/>
          <w:sz w:val="20"/>
          <w:shd w:fill="FFFFFF" w:val="clear"/>
        </w:rPr>
        <w:t>Cashback Rewards</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offers a cashback rewards program to all Expensify Card customers based on volume of Expensify Card transactions and Software as a Service ("SaaS") subscription tier. Cashback rewards are earned on a monthly basis and paid out the following month. The Company considers the cashback payments to customers as consideration payable to a customer and it is recorded as contra revenue within Revenue on the Condensed Consolidated Statements of Operations. </w:t>
      </w:r>
      <w:r>
        <w:rPr>
          <w:rFonts w:ascii="Expensify Neue;sans-serif" w:hAnsi="Expensify Neue;sans-serif"/>
          <w:b w:val="false"/>
          <w:color w:val="000000"/>
          <w:sz w:val="20"/>
        </w:rPr>
        <w:t xml:space="preserve">Cashback rewards for the three months ended June 30, 2023 and 2022 was $1.8 million and $0.7 million, respectively. Cashback rewards for the six months ended June 30, 2023 and 2022 was $3.0 million and $1.2 million, respectively. </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0250"/>
                <wp:effectExtent l="0" t="0" r="0" b="0"/>
                <wp:wrapNone/>
                <wp:docPr id="14" name="Frame1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pPr>
      <w:r>
        <w:rPr>
          <w:rFonts w:ascii="Expensify Neue;sans-serif" w:hAnsi="Expensify Neue;sans-serif"/>
          <w:b/>
          <w:color w:val="000000"/>
          <w:sz w:val="20"/>
          <w:shd w:fill="FFFFFF" w:val="clear"/>
        </w:rPr>
        <w:t>Consideration From a Vendor, Net</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receives consideration from a vendor for monetizing Expensify Card activities. This consideration, net of credit card processing fees paid to the vendor, is included as a reduction to Cost of revenue, net within the Condensed Consolidated Statements of Operations. </w:t>
      </w:r>
      <w:r>
        <w:rPr>
          <w:rFonts w:ascii="Expensify Neue;sans-serif" w:hAnsi="Expensify Neue;sans-serif"/>
          <w:b w:val="false"/>
          <w:color w:val="000000"/>
          <w:sz w:val="20"/>
        </w:rPr>
        <w:t>Consideration from a vendor, net for the three months ended June 30, 2023 and 2022 was $2.4 million and $1.5 million, respectively. Consideration from a vendor, net for the six months ended June 30, 2023 and 2022 was $4.5 million and $2.7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3 - CERTAIN BALANCE SHEET COMPONENTS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Other Current Assets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 consisted of the following (in thousands):</w:t>
      </w:r>
    </w:p>
    <w:tbl>
      <w:tblPr>
        <w:tblW w:w="9835" w:type="dxa"/>
        <w:jc w:val="left"/>
        <w:tblInd w:w="0" w:type="dxa"/>
        <w:tblLayout w:type="fixed"/>
        <w:tblCellMar>
          <w:top w:w="28" w:type="dxa"/>
          <w:left w:w="28" w:type="dxa"/>
          <w:bottom w:w="28" w:type="dxa"/>
          <w:right w:w="28" w:type="dxa"/>
        </w:tblCellMar>
      </w:tblPr>
      <w:tblGrid>
        <w:gridCol w:w="2210"/>
        <w:gridCol w:w="1942"/>
        <w:gridCol w:w="1953"/>
        <w:gridCol w:w="277"/>
        <w:gridCol w:w="1014"/>
        <w:gridCol w:w="133"/>
        <w:gridCol w:w="109"/>
        <w:gridCol w:w="109"/>
        <w:gridCol w:w="109"/>
        <w:gridCol w:w="371"/>
        <w:gridCol w:w="1356"/>
        <w:gridCol w:w="252"/>
      </w:tblGrid>
      <w:tr>
        <w:trPr/>
        <w:tc>
          <w:tcPr>
            <w:tcW w:w="221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Card posted collateral for funds held for customers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9,024 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11,509 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 in transit for funds held for customers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2,361 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Expensify.org restricted cash</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5,518 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 receivable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2,471 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Payments LLC restricted cash</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Matching Plan escrow and other restricted cash</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contract acquisition costs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24,606 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22,217 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Capitalized Software, Net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 consisted of the following (in thousands):</w:t>
      </w:r>
    </w:p>
    <w:tbl>
      <w:tblPr>
        <w:tblW w:w="7780" w:type="dxa"/>
        <w:jc w:val="left"/>
        <w:tblInd w:w="0" w:type="dxa"/>
        <w:tblLayout w:type="fixed"/>
        <w:tblCellMar>
          <w:top w:w="28" w:type="dxa"/>
          <w:left w:w="28" w:type="dxa"/>
          <w:bottom w:w="28" w:type="dxa"/>
          <w:right w:w="28" w:type="dxa"/>
        </w:tblCellMar>
      </w:tblPr>
      <w:tblGrid>
        <w:gridCol w:w="1467"/>
        <w:gridCol w:w="1289"/>
        <w:gridCol w:w="1294"/>
        <w:gridCol w:w="277"/>
        <w:gridCol w:w="1014"/>
        <w:gridCol w:w="133"/>
        <w:gridCol w:w="109"/>
        <w:gridCol w:w="109"/>
        <w:gridCol w:w="109"/>
        <w:gridCol w:w="371"/>
        <w:gridCol w:w="1356"/>
        <w:gridCol w:w="252"/>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development costs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17,139 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14,052 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Less: accumulated amortization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(8,522)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(7,171)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8,617 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6,881 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expense related to capitalized software development costs is recorded in Cost of revenue, net on the Condensed Consolidated Statements of Operations. Amortization expense was $0.8 million and $0.7 million for the three months ended June 30, 2023 and 2022, respectively. Amortization expense was $1.5 million and $1.3 million for the six months ended June 30, 2023 and 2022, respectively.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0250"/>
                <wp:effectExtent l="0" t="0" r="0" b="0"/>
                <wp:wrapNone/>
                <wp:docPr id="15" name="Frame1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Property and Equipment, Net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 consisted of the following (in thousands):</w:t>
      </w:r>
    </w:p>
    <w:tbl>
      <w:tblPr>
        <w:tblW w:w="6939" w:type="dxa"/>
        <w:jc w:val="left"/>
        <w:tblInd w:w="0" w:type="dxa"/>
        <w:tblLayout w:type="fixed"/>
        <w:tblCellMar>
          <w:top w:w="28" w:type="dxa"/>
          <w:left w:w="28" w:type="dxa"/>
          <w:bottom w:w="28" w:type="dxa"/>
          <w:right w:w="28" w:type="dxa"/>
        </w:tblCellMar>
      </w:tblPr>
      <w:tblGrid>
        <w:gridCol w:w="1163"/>
        <w:gridCol w:w="1020"/>
        <w:gridCol w:w="1026"/>
        <w:gridCol w:w="277"/>
        <w:gridCol w:w="1014"/>
        <w:gridCol w:w="133"/>
        <w:gridCol w:w="109"/>
        <w:gridCol w:w="109"/>
        <w:gridCol w:w="109"/>
        <w:gridCol w:w="371"/>
        <w:gridCol w:w="1356"/>
        <w:gridCol w:w="25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Computers and equipment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Furniture and fixtures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1,698 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Leasehold improvements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6,948 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Commercial building</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Land</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Construction in progress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2,551 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property and equipment</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22,973 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22,019 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accumulated depreciation</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14,492 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Depreciation expense related to property and equipment is recorded in General and administrative and Sales and marketing on the Condensed Consolidated Statements of Operations. Depreciation expense related to property and equipment for the three months ended June 30, 2023 and 2022 was $0.4 million and $0.5 million, respectively. Depreciation expense related to property and equipment for the six months ended June 30, 2023 and 2022 was $0.9 million and $1.0 million, respectively.</w:t>
      </w:r>
    </w:p>
    <w:p>
      <w:pPr>
        <w:pStyle w:val="TextBody"/>
        <w:bidi w:val="0"/>
        <w:spacing w:lineRule="auto" w:line="288" w:before="0" w:after="160"/>
        <w:jc w:val="left"/>
        <w:rPr/>
      </w:pPr>
      <w:r>
        <w:rPr>
          <w:rFonts w:ascii="Expensify Neue;sans-serif" w:hAnsi="Expensify Neue;sans-serif"/>
          <w:b/>
          <w:color w:val="000000"/>
          <w:sz w:val="20"/>
        </w:rPr>
        <w:t>Accrued Expenses and Other Liabilities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 consisted of the following (in thousands):</w:t>
      </w:r>
    </w:p>
    <w:tbl>
      <w:tblPr>
        <w:tblW w:w="10205" w:type="dxa"/>
        <w:jc w:val="left"/>
        <w:tblInd w:w="0" w:type="dxa"/>
        <w:tblLayout w:type="fixed"/>
        <w:tblCellMar>
          <w:top w:w="28" w:type="dxa"/>
          <w:left w:w="28" w:type="dxa"/>
          <w:bottom w:w="28" w:type="dxa"/>
          <w:right w:w="28" w:type="dxa"/>
        </w:tblCellMar>
      </w:tblPr>
      <w:tblGrid>
        <w:gridCol w:w="2350"/>
        <w:gridCol w:w="2064"/>
        <w:gridCol w:w="2071"/>
        <w:gridCol w:w="276"/>
        <w:gridCol w:w="1012"/>
        <w:gridCol w:w="132"/>
        <w:gridCol w:w="109"/>
        <w:gridCol w:w="109"/>
        <w:gridCol w:w="109"/>
        <w:gridCol w:w="410"/>
        <w:gridCol w:w="1281"/>
        <w:gridCol w:w="282"/>
      </w:tblGrid>
      <w:tr>
        <w:trPr/>
        <w:tc>
          <w:tcPr>
            <w:tcW w:w="2350"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6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6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payroll and other taxes payable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2,721 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Professional fees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1,473 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Partner payouts and advertising fees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payable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Restricted common stock liability for early stock option exercises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1,283 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Cashback rewards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Matching Plan payroll liability</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 reports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Commissions payable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Hosting and license fees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Credit card processing fees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9,070 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0250"/>
                <wp:effectExtent l="0" t="0" r="0" b="0"/>
                <wp:wrapNone/>
                <wp:docPr id="16" name="Frame16"/>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4 - COMMITMENTS AND CONTINGENCIES</w:t>
      </w:r>
    </w:p>
    <w:p>
      <w:pPr>
        <w:pStyle w:val="TextBody"/>
        <w:bidi w:val="0"/>
        <w:spacing w:lineRule="auto" w:line="288" w:before="0" w:after="160"/>
        <w:jc w:val="left"/>
        <w:rPr/>
      </w:pPr>
      <w:r>
        <w:rPr>
          <w:rFonts w:ascii="Expensify Neue;sans-serif" w:hAnsi="Expensify Neue;sans-serif"/>
          <w:b/>
          <w:color w:val="000000"/>
          <w:sz w:val="20"/>
        </w:rPr>
        <w:t>Finance and Operating Lease Arrangements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six months ended June 30, 2023, the Company entered into four operating lease agreements. The components of lease cost reflected in the Condensed Consolidated Statements of Operations for all leases were as follows (in thousands):</w:t>
      </w:r>
    </w:p>
    <w:tbl>
      <w:tblPr>
        <w:tblW w:w="8736" w:type="dxa"/>
        <w:jc w:val="left"/>
        <w:tblInd w:w="0" w:type="dxa"/>
        <w:tblLayout w:type="fixed"/>
        <w:tblCellMar>
          <w:top w:w="28" w:type="dxa"/>
          <w:left w:w="28" w:type="dxa"/>
          <w:bottom w:w="28" w:type="dxa"/>
          <w:right w:w="28" w:type="dxa"/>
        </w:tblCellMar>
      </w:tblPr>
      <w:tblGrid>
        <w:gridCol w:w="1041"/>
        <w:gridCol w:w="916"/>
        <w:gridCol w:w="922"/>
        <w:gridCol w:w="316"/>
        <w:gridCol w:w="735"/>
        <w:gridCol w:w="152"/>
        <w:gridCol w:w="152"/>
        <w:gridCol w:w="152"/>
        <w:gridCol w:w="152"/>
        <w:gridCol w:w="316"/>
        <w:gridCol w:w="735"/>
        <w:gridCol w:w="152"/>
        <w:gridCol w:w="109"/>
        <w:gridCol w:w="109"/>
        <w:gridCol w:w="109"/>
        <w:gridCol w:w="288"/>
        <w:gridCol w:w="670"/>
        <w:gridCol w:w="139"/>
        <w:gridCol w:w="139"/>
        <w:gridCol w:w="139"/>
        <w:gridCol w:w="139"/>
        <w:gridCol w:w="288"/>
        <w:gridCol w:w="670"/>
        <w:gridCol w:w="196"/>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cost:</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of ROU assets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on lease liabilities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finance lease cost</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cost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lease cost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information related to leases was as follows (in thousands, except as noted within):</w:t>
      </w:r>
    </w:p>
    <w:tbl>
      <w:tblPr>
        <w:tblW w:w="10205" w:type="dxa"/>
        <w:jc w:val="left"/>
        <w:tblInd w:w="0" w:type="dxa"/>
        <w:tblLayout w:type="fixed"/>
        <w:tblCellMar>
          <w:top w:w="28" w:type="dxa"/>
          <w:left w:w="28" w:type="dxa"/>
          <w:bottom w:w="28" w:type="dxa"/>
          <w:right w:w="28" w:type="dxa"/>
        </w:tblCellMar>
      </w:tblPr>
      <w:tblGrid>
        <w:gridCol w:w="2374"/>
        <w:gridCol w:w="2083"/>
        <w:gridCol w:w="2094"/>
        <w:gridCol w:w="261"/>
        <w:gridCol w:w="817"/>
        <w:gridCol w:w="330"/>
        <w:gridCol w:w="109"/>
        <w:gridCol w:w="109"/>
        <w:gridCol w:w="109"/>
        <w:gridCol w:w="399"/>
        <w:gridCol w:w="930"/>
        <w:gridCol w:w="590"/>
      </w:tblGrid>
      <w:tr>
        <w:trPr/>
        <w:tc>
          <w:tcPr>
            <w:tcW w:w="2374"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65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June 30,</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6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6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ROU asset (included within Lease right-of-use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461 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ROU asset (included within Lease right-of-use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6,351 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remaining lease term (in years):</w:t>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leases</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0.58</w:t>
            </w:r>
          </w:p>
        </w:tc>
      </w:tr>
      <w:tr>
        <w:trPr/>
        <w:tc>
          <w:tcPr>
            <w:tcW w:w="6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leases</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0.42</w:t>
            </w:r>
          </w:p>
        </w:tc>
      </w:tr>
      <w:tr>
        <w:trPr/>
        <w:tc>
          <w:tcPr>
            <w:tcW w:w="6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discount rate:</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2.50 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2.50 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8.30 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5.30 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5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Supplemental cash flow information related to leases was as follows (in thousands):</w:t>
      </w:r>
    </w:p>
    <w:tbl>
      <w:tblPr>
        <w:tblW w:w="9761" w:type="dxa"/>
        <w:jc w:val="left"/>
        <w:tblInd w:w="0" w:type="dxa"/>
        <w:tblLayout w:type="fixed"/>
        <w:tblCellMar>
          <w:top w:w="28" w:type="dxa"/>
          <w:left w:w="28" w:type="dxa"/>
          <w:bottom w:w="28" w:type="dxa"/>
          <w:right w:w="28" w:type="dxa"/>
        </w:tblCellMar>
      </w:tblPr>
      <w:tblGrid>
        <w:gridCol w:w="2574"/>
        <w:gridCol w:w="2263"/>
        <w:gridCol w:w="2273"/>
        <w:gridCol w:w="263"/>
        <w:gridCol w:w="719"/>
        <w:gridCol w:w="127"/>
        <w:gridCol w:w="127"/>
        <w:gridCol w:w="127"/>
        <w:gridCol w:w="127"/>
        <w:gridCol w:w="263"/>
        <w:gridCol w:w="719"/>
        <w:gridCol w:w="179"/>
      </w:tblGrid>
      <w:tr>
        <w:trPr/>
        <w:tc>
          <w:tcPr>
            <w:tcW w:w="2574"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 paid for amounts included in the measurement of lease liabilities: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flows from operating leases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(399)</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flows from finance leases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Financing cash flows from finance leases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9440"/>
                <wp:effectExtent l="0" t="0" r="0" b="0"/>
                <wp:wrapNone/>
                <wp:docPr id="17" name="Frame1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Maturities of lease liabilities as of June 30, 2023 were as follows (in thousands):</w:t>
      </w:r>
    </w:p>
    <w:tbl>
      <w:tblPr>
        <w:tblW w:w="6806" w:type="dxa"/>
        <w:jc w:val="left"/>
        <w:tblInd w:w="0" w:type="dxa"/>
        <w:tblLayout w:type="fixed"/>
        <w:tblCellMar>
          <w:top w:w="28" w:type="dxa"/>
          <w:left w:w="28" w:type="dxa"/>
          <w:bottom w:w="28" w:type="dxa"/>
          <w:right w:w="28" w:type="dxa"/>
        </w:tblCellMar>
      </w:tblPr>
      <w:tblGrid>
        <w:gridCol w:w="1092"/>
        <w:gridCol w:w="958"/>
        <w:gridCol w:w="965"/>
        <w:gridCol w:w="483"/>
        <w:gridCol w:w="870"/>
        <w:gridCol w:w="236"/>
        <w:gridCol w:w="109"/>
        <w:gridCol w:w="109"/>
        <w:gridCol w:w="109"/>
        <w:gridCol w:w="389"/>
        <w:gridCol w:w="1219"/>
        <w:gridCol w:w="267"/>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For the year ending:</w:t>
            </w:r>
          </w:p>
        </w:tc>
        <w:tc>
          <w:tcPr>
            <w:tcW w:w="15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Finance leases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Operating leases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Remainder of 2023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2024</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2025</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1,079 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2026</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2027</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Thereafter</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5,562 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future lease payments</w:t>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9,706 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imputed interest</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(3,270)</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Lease liabilities, current</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 liabilities, non-current</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6,226 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Amortizing Term Mortgage</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In August 2019, the Company entered into an $8.3 million amortizing term mortgage agreement with Canadian Imperial Bank of Commerce ("CIBC") for the Company's commercial building located in Portland, Oregon. The agreement requires principal and interest payments due each month over a 30 year period. Interest accrues at a fixed rate of 5.00% per year until August 2024, at which point the interest rate changes to the Wall Street Journal Pri</w:t>
      </w:r>
      <w:r>
        <w:rPr>
          <w:rFonts w:ascii="Expensify Neue;sans-serif" w:hAnsi="Expensify Neue;sans-serif"/>
          <w:b w:val="false"/>
          <w:color w:val="000000"/>
          <w:sz w:val="20"/>
          <w:shd w:fill="FFFFFF" w:val="clear"/>
        </w:rPr>
        <w:t xml:space="preserve">me Rate less 0.25% for the remaining term of the mortgage. The borrowings are secured by the building. The outstanding balance of the amortizing term mortgage was </w:t>
      </w:r>
      <w:r>
        <w:rPr>
          <w:rFonts w:ascii="Expensify Neue;sans-serif" w:hAnsi="Expensify Neue;sans-serif"/>
          <w:b w:val="false"/>
          <w:color w:val="000000"/>
          <w:sz w:val="20"/>
        </w:rPr>
        <w:t>$7.8 million a</w:t>
      </w:r>
      <w:r>
        <w:rPr>
          <w:rFonts w:ascii="Expensify Neue;sans-serif" w:hAnsi="Expensify Neue;sans-serif"/>
          <w:b w:val="false"/>
          <w:color w:val="000000"/>
          <w:sz w:val="20"/>
          <w:shd w:fill="FFFFFF" w:val="clear"/>
        </w:rPr>
        <w:t xml:space="preserve">s of </w:t>
      </w:r>
      <w:r>
        <w:rPr>
          <w:rFonts w:ascii="Expensify Neue;sans-serif" w:hAnsi="Expensify Neue;sans-serif"/>
          <w:b w:val="false"/>
          <w:color w:val="000000"/>
          <w:sz w:val="20"/>
        </w:rPr>
        <w:t>June 30, 2023</w:t>
      </w:r>
      <w:r>
        <w:rPr>
          <w:color w:val="000000"/>
          <w:shd w:fill="FFFFFF" w:val="clear"/>
        </w:rPr>
        <w:t xml:space="preserve"> </w:t>
      </w:r>
      <w:r>
        <w:rPr>
          <w:rFonts w:ascii="Expensify Neue;sans-serif" w:hAnsi="Expensify Neue;sans-serif"/>
          <w:b w:val="false"/>
          <w:color w:val="000000"/>
          <w:sz w:val="20"/>
          <w:shd w:fill="FFFFFF" w:val="clear"/>
        </w:rPr>
        <w:t>and December 31, 2022</w:t>
      </w:r>
      <w:r>
        <w:rPr>
          <w:rFonts w:ascii="Expensify Neue;sans-serif" w:hAnsi="Expensify Neue;sans-serif"/>
          <w:b w:val="false"/>
          <w:color w:val="000000"/>
          <w:sz w:val="20"/>
        </w:rPr>
        <w:t>.</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2021 Amended Term Loan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September 2021, the Company amended and restated its loan and security agreement with CIBC ("2021 Amended Term Loan") to refinance the existing non-amortizing and amortizing term loans, establish a single term loan of up to $75.0 million, consisting of a $45.0 million initial term loan effective immediately with an option to enter into an additional $30.0 million delayed term loan, and increase the monthly revolving line of credit to $25.0 million. The option for the delayed term loan expired in March 2023.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the Company's normal business operations.</w:t>
      </w:r>
    </w:p>
    <w:p>
      <w:pPr>
        <w:pStyle w:val="TextBody"/>
        <w:bidi w:val="0"/>
        <w:spacing w:lineRule="auto" w:line="288" w:before="0" w:after="160"/>
        <w:jc w:val="left"/>
        <w:rPr/>
      </w:pPr>
      <w:r>
        <w:rPr>
          <w:rFonts w:ascii="Expensify Neue;sans-serif" w:hAnsi="Expensify Neue;sans-serif"/>
          <w:b w:val="false"/>
          <w:color w:val="000000"/>
          <w:sz w:val="20"/>
        </w:rPr>
        <w:t>Under the 2021 Amended Term Loan, the initial term loan of $45.0 million is payable over a 60 month period with principal and accrued interest payments due each quarter, commencing on September 30, 2021. The 2021 Amended Term Loan amortizes in equal quarterly installments of $0.1 million through September 30, 2024, $0.2 million beginning October 1, 2024 and $0.6 million beginning October 1, 2025, with any remaining principal balance due and payable on maturity. The amounts borrowed bear interest at the bank’s reference rate plus 2.25% (10.50%</w:t>
      </w:r>
      <w:r>
        <w:rPr>
          <w:color w:val="000000"/>
          <w:shd w:fill="FFFFFF" w:val="clear"/>
        </w:rPr>
        <w:t xml:space="preserve"> </w:t>
      </w: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June 30, 2023</w:t>
      </w:r>
      <w:r>
        <w:rPr>
          <w:rFonts w:ascii="Expensify Neue;sans-serif" w:hAnsi="Expensify Neue;sans-serif"/>
          <w:b w:val="false"/>
          <w:color w:val="000000"/>
          <w:sz w:val="20"/>
          <w:shd w:fill="FFFFFF" w:val="clear"/>
        </w:rPr>
        <w:t xml:space="preserve">) beginning on September 30, 2021 and continuing on a quarterly basis through maturity of the term loan. The borrowings are secured by substantially all the Company’s assets. As of </w:t>
      </w:r>
      <w:r>
        <w:rPr>
          <w:rFonts w:ascii="Expensify Neue;sans-serif" w:hAnsi="Expensify Neue;sans-serif"/>
          <w:b w:val="false"/>
          <w:color w:val="000000"/>
          <w:sz w:val="20"/>
        </w:rPr>
        <w:t>June 30, 2023</w:t>
      </w:r>
      <w:r>
        <w:rPr>
          <w:color w:val="000000"/>
          <w:shd w:fill="FFFFFF" w:val="clear"/>
        </w:rPr>
        <w:t xml:space="preserve"> </w:t>
      </w:r>
      <w:r>
        <w:rPr>
          <w:rFonts w:ascii="Expensify Neue;sans-serif" w:hAnsi="Expensify Neue;sans-serif"/>
          <w:b w:val="false"/>
          <w:color w:val="000000"/>
          <w:sz w:val="20"/>
          <w:shd w:fill="FFFFFF" w:val="clear"/>
        </w:rPr>
        <w:t xml:space="preserve">and December 31, 2022, the outstanding balance of the 2021 Amended Term Loan was </w:t>
      </w:r>
      <w:r>
        <w:rPr>
          <w:rFonts w:ascii="Expensify Neue;sans-serif" w:hAnsi="Expensify Neue;sans-serif"/>
          <w:b w:val="false"/>
          <w:color w:val="000000"/>
          <w:sz w:val="20"/>
        </w:rPr>
        <w:t>$36.2 million</w:t>
      </w:r>
      <w:r>
        <w:rPr>
          <w:color w:val="000000"/>
          <w:shd w:fill="FFFFFF" w:val="clear"/>
        </w:rPr>
        <w:t xml:space="preserve"> </w:t>
      </w:r>
      <w:r>
        <w:rPr>
          <w:rFonts w:ascii="Expensify Neue;sans-serif" w:hAnsi="Expensify Neue;sans-serif"/>
          <w:b w:val="false"/>
          <w:color w:val="000000"/>
          <w:sz w:val="20"/>
          <w:shd w:fill="FFFFFF" w:val="clear"/>
        </w:rPr>
        <w:t xml:space="preserve">and </w:t>
      </w:r>
      <w:r>
        <w:rPr>
          <w:rFonts w:ascii="Expensify Neue;sans-serif" w:hAnsi="Expensify Neue;sans-serif"/>
          <w:b w:val="false"/>
          <w:color w:val="000000"/>
          <w:sz w:val="20"/>
        </w:rPr>
        <w:t>$44.5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99440"/>
                <wp:effectExtent l="0" t="0" r="0" b="0"/>
                <wp:wrapNone/>
                <wp:docPr id="18" name="Frame1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the three months ended June 30, 2023, the Company made a prepayment of $8.0 million for the 2021 Amended Term Loan. As a result of this prepayment, the Company recorded an immaterial amount of loss on extinguishment within Interest and other expenses, net. </w:t>
      </w:r>
    </w:p>
    <w:p>
      <w:pPr>
        <w:pStyle w:val="TextBody"/>
        <w:bidi w:val="0"/>
        <w:spacing w:lineRule="auto" w:line="288" w:before="0" w:after="160"/>
        <w:jc w:val="left"/>
        <w:rPr/>
      </w:pPr>
      <w:r>
        <w:rPr>
          <w:rFonts w:ascii="Expensify Neue;sans-serif" w:hAnsi="Expensify Neue;sans-serif"/>
          <w:b/>
          <w:color w:val="000000"/>
          <w:sz w:val="20"/>
        </w:rPr>
        <w:t>Monthly Revolving Line of Credit</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The line of credit agreement, as amended with the 2021 Amended Term Loan, provides borrowings up to $25.0 million. Borrowings under the line of credit bear interest at CIBC’s reference rate plus 1.00% (9.25% as of June 30, 2023) and are secured by substantially all of the Company’s assets. As of June 30, 2023</w:t>
      </w:r>
      <w:r>
        <w:rPr>
          <w:color w:val="000000"/>
          <w:shd w:fill="FFFFFF" w:val="clear"/>
        </w:rPr>
        <w:t xml:space="preserve"> </w:t>
      </w:r>
      <w:r>
        <w:rPr>
          <w:rFonts w:ascii="Expensify Neue;sans-serif" w:hAnsi="Expensify Neue;sans-serif"/>
          <w:b w:val="false"/>
          <w:color w:val="000000"/>
          <w:sz w:val="20"/>
          <w:shd w:fill="FFFFFF" w:val="clear"/>
        </w:rPr>
        <w:t>and December 31, 2022</w:t>
      </w:r>
      <w:r>
        <w:rPr>
          <w:rFonts w:ascii="Expensify Neue;sans-serif" w:hAnsi="Expensify Neue;sans-serif"/>
          <w:b w:val="false"/>
          <w:color w:val="000000"/>
          <w:sz w:val="20"/>
        </w:rPr>
        <w:t xml:space="preserve">, there were $15.0 million of borrowings under the line of credit and $10.0 million of capacity available for additional borrowings. </w:t>
      </w:r>
    </w:p>
    <w:p>
      <w:pPr>
        <w:pStyle w:val="TextBody"/>
        <w:bidi w:val="0"/>
        <w:spacing w:lineRule="auto" w:line="288" w:before="0" w:after="160"/>
        <w:jc w:val="left"/>
        <w:rPr/>
      </w:pPr>
      <w:r>
        <w:rPr>
          <w:rFonts w:ascii="Expensify Neue;sans-serif" w:hAnsi="Expensify Neue;sans-serif"/>
          <w:b w:val="false"/>
          <w:color w:val="000000"/>
          <w:sz w:val="20"/>
        </w:rPr>
        <w:t>In connection with the amortizing term mortgage and the 2021 Amended Term Loan, the Company recorded an immaterial amount of debt issuance costs and the 2021 Amended Term Loan was subject to an original issue discount. These amounts are being amortized to interest expense over the term of the respective agreements using the effective interest method. As of June 30, 2023</w:t>
      </w:r>
      <w:r>
        <w:rPr>
          <w:color w:val="000000"/>
          <w:shd w:fill="FFFFFF" w:val="clear"/>
        </w:rPr>
        <w:t xml:space="preserve"> </w:t>
      </w:r>
      <w:r>
        <w:rPr>
          <w:rFonts w:ascii="Expensify Neue;sans-serif" w:hAnsi="Expensify Neue;sans-serif"/>
          <w:b w:val="false"/>
          <w:color w:val="000000"/>
          <w:sz w:val="20"/>
          <w:shd w:fill="FFFFFF" w:val="clear"/>
        </w:rPr>
        <w:t>and December 31, 2022</w:t>
      </w:r>
      <w:r>
        <w:rPr>
          <w:rFonts w:ascii="Expensify Neue;sans-serif" w:hAnsi="Expensify Neue;sans-serif"/>
          <w:b w:val="false"/>
          <w:color w:val="000000"/>
          <w:sz w:val="20"/>
        </w:rPr>
        <w:t>, unamortized original issue discount and debt issuance costs were $0.2 million and $0.3 million,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Future aggregate annual principal payments on long-term debt as of June 30, 2023 is expected to be as follows (in thousands):</w:t>
      </w:r>
    </w:p>
    <w:tbl>
      <w:tblPr>
        <w:tblW w:w="10205" w:type="dxa"/>
        <w:jc w:val="left"/>
        <w:tblInd w:w="0" w:type="dxa"/>
        <w:tblLayout w:type="fixed"/>
        <w:tblCellMar>
          <w:top w:w="28" w:type="dxa"/>
          <w:left w:w="28" w:type="dxa"/>
          <w:bottom w:w="28" w:type="dxa"/>
          <w:right w:w="28" w:type="dxa"/>
        </w:tblCellMar>
      </w:tblPr>
      <w:tblGrid>
        <w:gridCol w:w="3204"/>
        <w:gridCol w:w="2724"/>
        <w:gridCol w:w="2743"/>
        <w:gridCol w:w="109"/>
        <w:gridCol w:w="109"/>
        <w:gridCol w:w="109"/>
        <w:gridCol w:w="226"/>
        <w:gridCol w:w="826"/>
        <w:gridCol w:w="155"/>
      </w:tblGrid>
      <w:tr>
        <w:trPr/>
        <w:tc>
          <w:tcPr>
            <w:tcW w:w="3204"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For the year ending: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34,356 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43,956 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unamortized original issue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Current portion of long-term debt, net of unamortized original issue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Long-term debt, net of unamortized original issue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43,180 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June 30, 2023</w:t>
      </w:r>
      <w:r>
        <w:rPr>
          <w:rFonts w:ascii="Expensify Neue;sans-serif" w:hAnsi="Expensify Neue;sans-serif"/>
          <w:b w:val="false"/>
          <w:color w:val="000000"/>
          <w:sz w:val="20"/>
          <w:shd w:fill="FFFFFF" w:val="clear"/>
        </w:rPr>
        <w:t xml:space="preserve">, </w:t>
      </w:r>
      <w:r>
        <w:rPr>
          <w:rFonts w:ascii="Expensify Neue;sans-serif" w:hAnsi="Expensify Neue;sans-serif"/>
          <w:b w:val="false"/>
          <w:color w:val="000000"/>
          <w:sz w:val="20"/>
        </w:rPr>
        <w:t>the Company was not in compliance with all debt covenants, specifically the covenant restricting the amount of repurchases of common stock, which includes RSU net share settlements, and the covenant related to the requirement to maintain all deposit, operating and collateral accounts with CIBC with certain exceptions during the period. A waiver was obtained from CIBC. The Company does not believe non-compliance with these covenants had any material impact on the Company or its operations.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9440"/>
                <wp:effectExtent l="0" t="0" r="0" b="0"/>
                <wp:wrapNone/>
                <wp:docPr id="19" name="Frame1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shd w:fill="FFFFFF" w:val="clear"/>
        </w:rPr>
      </w:pPr>
      <w:r>
        <w:rPr>
          <w:rFonts w:ascii="Expensify Neue;sans-serif" w:hAnsi="Expensify Neue;sans-serif"/>
          <w:b/>
          <w:color w:val="000000"/>
          <w:sz w:val="20"/>
          <w:shd w:fill="FFFFFF" w:val="clear"/>
        </w:rPr>
        <w:t>Defined Contribution Plans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sponsors a U.S. 401(k) defined contribution plan for all eligible employees who elect to participate. The Company is permitted to make discretionary profit sharing and 401(k) matching contributions as defined in the plan and as approved by the Board of Directors. Effective January 1, 2018, the Company matches up to 4.50% of each participant’s eligible compensation. The Company’s actual contribution may be reduced by certain available forfeitures, if any, during the plan year. No discretionary profit-sharing contributions were made during the three and </w:t>
      </w:r>
      <w:r>
        <w:rPr>
          <w:rFonts w:ascii="Expensify Neue;sans-serif" w:hAnsi="Expensify Neue;sans-serif"/>
          <w:b w:val="false"/>
          <w:color w:val="000000"/>
          <w:sz w:val="20"/>
        </w:rPr>
        <w:t>six months ended June 30, 2023 and 2022</w:t>
      </w:r>
      <w:r>
        <w:rPr>
          <w:rFonts w:ascii="Expensify Neue;sans-serif" w:hAnsi="Expensify Neue;sans-serif"/>
          <w:b w:val="false"/>
          <w:color w:val="000000"/>
          <w:sz w:val="20"/>
          <w:shd w:fill="FFFFFF" w:val="clear"/>
        </w:rPr>
        <w:t>. The Company’s 401(k) matching contributions for the three</w:t>
      </w:r>
      <w:r>
        <w:rPr>
          <w:color w:val="000000"/>
        </w:rPr>
        <w:t xml:space="preserve"> </w:t>
      </w:r>
      <w:r>
        <w:rPr>
          <w:rFonts w:ascii="Expensify Neue;sans-serif" w:hAnsi="Expensify Neue;sans-serif"/>
          <w:b w:val="false"/>
          <w:color w:val="000000"/>
          <w:sz w:val="20"/>
        </w:rPr>
        <w:t>months ended</w:t>
      </w:r>
      <w:r>
        <w:rPr>
          <w:color w:val="000000"/>
          <w:shd w:fill="FFFFFF" w:val="clear"/>
        </w:rPr>
        <w:t xml:space="preserve"> </w:t>
      </w:r>
      <w:r>
        <w:rPr>
          <w:rFonts w:ascii="Expensify Neue;sans-serif" w:hAnsi="Expensify Neue;sans-serif"/>
          <w:b w:val="false"/>
          <w:color w:val="000000"/>
          <w:sz w:val="20"/>
        </w:rPr>
        <w:t>June 30, 2023 and 2022</w:t>
      </w:r>
      <w:r>
        <w:rPr>
          <w:color w:val="000000"/>
          <w:shd w:fill="FFFFFF" w:val="clear"/>
        </w:rPr>
        <w:t xml:space="preserve"> </w:t>
      </w:r>
      <w:r>
        <w:rPr>
          <w:rFonts w:ascii="Expensify Neue;sans-serif" w:hAnsi="Expensify Neue;sans-serif"/>
          <w:b w:val="false"/>
          <w:color w:val="000000"/>
          <w:sz w:val="20"/>
          <w:shd w:fill="FFFFFF" w:val="clear"/>
        </w:rPr>
        <w:t>were $</w:t>
      </w:r>
      <w:r>
        <w:rPr>
          <w:rFonts w:ascii="Expensify Neue;sans-serif" w:hAnsi="Expensify Neue;sans-serif"/>
          <w:b w:val="false"/>
          <w:color w:val="000000"/>
          <w:sz w:val="20"/>
        </w:rPr>
        <w:t>0.2 million</w:t>
      </w:r>
      <w:r>
        <w:rPr>
          <w:rFonts w:ascii="Expensify Neue;sans-serif" w:hAnsi="Expensify Neue;sans-serif"/>
          <w:b w:val="false"/>
          <w:color w:val="000000"/>
          <w:sz w:val="20"/>
          <w:shd w:fill="FFFFFF" w:val="clear"/>
        </w:rPr>
        <w:t xml:space="preserve">. The Company’s 401(k) matching contributions for the </w:t>
      </w:r>
      <w:r>
        <w:rPr>
          <w:rFonts w:ascii="Expensify Neue;sans-serif" w:hAnsi="Expensify Neue;sans-serif"/>
          <w:b w:val="false"/>
          <w:color w:val="000000"/>
          <w:sz w:val="20"/>
        </w:rPr>
        <w:t>six months ended June 30, 2023 and 2022</w:t>
      </w:r>
      <w:r>
        <w:rPr>
          <w:color w:val="000000"/>
          <w:shd w:fill="FFFFFF" w:val="clear"/>
        </w:rPr>
        <w:t xml:space="preserve"> </w:t>
      </w:r>
      <w:r>
        <w:rPr>
          <w:rFonts w:ascii="Expensify Neue;sans-serif" w:hAnsi="Expensify Neue;sans-serif"/>
          <w:b w:val="false"/>
          <w:color w:val="000000"/>
          <w:sz w:val="20"/>
          <w:shd w:fill="FFFFFF" w:val="clear"/>
        </w:rPr>
        <w:t xml:space="preserve">were </w:t>
      </w:r>
      <w:r>
        <w:rPr>
          <w:rFonts w:ascii="Expensify Neue;sans-serif" w:hAnsi="Expensify Neue;sans-serif"/>
          <w:b w:val="false"/>
          <w:color w:val="000000"/>
          <w:sz w:val="20"/>
        </w:rPr>
        <w:t>$0.5 million</w:t>
      </w:r>
      <w:r>
        <w:rPr>
          <w:color w:val="000000"/>
          <w:shd w:fill="FFFFFF" w:val="clear"/>
        </w:rPr>
        <w:t xml:space="preserve"> </w:t>
      </w:r>
      <w:r>
        <w:rPr>
          <w:rFonts w:ascii="Expensify Neue;sans-serif" w:hAnsi="Expensify Neue;sans-serif"/>
          <w:b w:val="false"/>
          <w:color w:val="000000"/>
          <w:sz w:val="20"/>
          <w:shd w:fill="FFFFFF" w:val="clear"/>
        </w:rPr>
        <w:t xml:space="preserve">and </w:t>
      </w:r>
      <w:r>
        <w:rPr>
          <w:rFonts w:ascii="Expensify Neue;sans-serif" w:hAnsi="Expensify Neue;sans-serif"/>
          <w:b w:val="false"/>
          <w:color w:val="000000"/>
          <w:sz w:val="20"/>
        </w:rPr>
        <w:t>$0.4 million</w:t>
      </w:r>
      <w:r>
        <w:rPr>
          <w:rFonts w:ascii="Expensify Neue;sans-serif" w:hAnsi="Expensify Neue;sans-serif"/>
          <w:b w:val="false"/>
          <w:color w:val="000000"/>
          <w:sz w:val="20"/>
          <w:shd w:fill="FFFFFF" w:val="clear"/>
        </w:rPr>
        <w:t>, respectively.</w:t>
      </w:r>
    </w:p>
    <w:p>
      <w:pPr>
        <w:pStyle w:val="TextBody"/>
        <w:bidi w:val="0"/>
        <w:spacing w:lineRule="auto" w:line="288" w:before="0" w:after="160"/>
        <w:jc w:val="left"/>
        <w:rPr>
          <w:rFonts w:ascii="Expensify Neue;sans-serif" w:hAnsi="Expensify Neue;sans-serif"/>
          <w:b/>
          <w:color w:val="000000"/>
          <w:sz w:val="20"/>
          <w:shd w:fill="FFFFFF" w:val="clear"/>
        </w:rPr>
      </w:pPr>
      <w:r>
        <w:rPr>
          <w:rFonts w:ascii="Expensify Neue;sans-serif" w:hAnsi="Expensify Neue;sans-serif"/>
          <w:b/>
          <w:color w:val="000000"/>
          <w:sz w:val="20"/>
          <w:shd w:fill="FFFFFF" w:val="clear"/>
        </w:rPr>
        <w:t>Legal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June 30, 2023, there were no legal contingency matters, either individually or in aggregate, that would have a material adverse effect on the Company’s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5 - STOCK INCENTIVE PLANS</w:t>
      </w:r>
    </w:p>
    <w:p>
      <w:pPr>
        <w:pStyle w:val="TextBody"/>
        <w:bidi w:val="0"/>
        <w:spacing w:lineRule="auto" w:line="288" w:before="0" w:after="160"/>
        <w:jc w:val="left"/>
        <w:rPr/>
      </w:pPr>
      <w:r>
        <w:rPr>
          <w:rFonts w:ascii="Expensify Neue;sans-serif" w:hAnsi="Expensify Neue;sans-serif"/>
          <w:b/>
          <w:color w:val="000000"/>
          <w:sz w:val="20"/>
        </w:rPr>
        <w:t>2009 and 2019 Stock Plans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from 16,495,150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the Board of Directors approved the grant of 8,679,380 restricted stock units under the 2019 Stock Plan, covering an aggregate of 4,339,690 shares of each of Class A and LT50 common stock effective immediately prior to the effectiveness of the Company's IPO Registration Statement on Form S-1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Following the completion of the initial public offering of the Company’s Class A common stock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99440"/>
                <wp:effectExtent l="0" t="0" r="0" b="0"/>
                <wp:wrapNone/>
                <wp:docPr id="20" name="Frame2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2021 Incentive Plans </w:t>
      </w:r>
    </w:p>
    <w:p>
      <w:pPr>
        <w:pStyle w:val="TextBody"/>
        <w:bidi w:val="0"/>
        <w:spacing w:lineRule="auto" w:line="288" w:before="0" w:after="160"/>
        <w:jc w:val="left"/>
        <w:rPr/>
      </w:pPr>
      <w:r>
        <w:rPr>
          <w:rFonts w:ascii="Expensify Neue;sans-serif" w:hAnsi="Expensify Neue;sans-serif"/>
          <w:b w:val="false"/>
          <w:color w:val="000000"/>
          <w:sz w:val="20"/>
        </w:rPr>
        <w:t xml:space="preserve">In November 2021, the Board of Directors adopted, and its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for issuance under the 2021 Incentive Plans as of June 30, 2023 and </w:t>
      </w:r>
      <w:r>
        <w:rPr>
          <w:rFonts w:ascii="Expensify Neue;sans-serif" w:hAnsi="Expensify Neue;sans-serif"/>
          <w:b w:val="false"/>
          <w:color w:val="000000"/>
          <w:sz w:val="20"/>
          <w:shd w:fill="FFFFFF" w:val="clear"/>
        </w:rPr>
        <w:t>December 31, 2022</w:t>
      </w:r>
      <w:r>
        <w:rPr>
          <w:color w:val="000000"/>
        </w:rPr>
        <w:t xml:space="preserve"> </w:t>
      </w:r>
      <w:r>
        <w:rPr>
          <w:rFonts w:ascii="Expensify Neue;sans-serif" w:hAnsi="Expensify Neue;sans-serif"/>
          <w:b w:val="false"/>
          <w:color w:val="000000"/>
          <w:sz w:val="20"/>
        </w:rPr>
        <w:t xml:space="preserve">was 22,282,735 shares and 17,336,973 shares, respectively. The number of shares will automatically increase each subsequent January 1 through January 1, 2031, by the lesser of (A) 6% of the aggregate number of shares of all classes of common stock outstanding on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Matching Plan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Matching Plan operates using consecutive three month offering periods that commenced on March 15, 2022. Employees, consultants and directors (collectively, "Service Providers") of the Company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Black-Scholes option-pricing model on the date of grant. The Company recognizes stock-based compensation expense related to the matched shares pursuant to its Matching Plan on a straight-line basis over the applicable three month offering period.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Service Providers who participated in the Matching Plan for the offering period ended June 14, 2023 purchased a total of 140,158 Class A common shares, based on a purchase price of $6.97, resulting in gross cash proceeds to the Company of $1.0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Service Providers who participated in the Matching Plan for the offering period ended June 14, 2022 purchased a total of 67,946 Class A common shares, based on a purchase price of $17.42, resulting in gross cash proceeds to the Company of $1.2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9440"/>
                <wp:effectExtent l="0" t="0" r="0" b="0"/>
                <wp:wrapNone/>
                <wp:docPr id="21" name="Frame2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the offering period ended June 14, 2023, the Company elected to match each share of Class A common stock purchased by or issued under the Matching Plan with 1/20 of a share of Class A common stock. During the three and six months ended June 30, 2023, the Company granted a total of 20,748 and 36,846 shares, respectively, of Class A common stock as a matching contribution under the Matching Plan, net of a total of 6,817 shares withheld for taxes during the three months ended June 30, 2023.</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the offering period ended June 14, 2022, the Company elected to match each share of Class A common stock purchased by or issued under the Matching Plan with 1/20 of a share of Class A common stock. During the three and six months ended June 14, 2022, the Company granted a total of 3,576 shares of Class A common stock as a matching contribution under the Matching Plan.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June 2023, the Company made a discretionary contribution under the Matching Plan to eligible Service Providers. During the three and six months ended June 30, 2023, the Company granted a total of 75,311 shares of Class A common stock as a discretionary contribution under the Matching Plan, net of a total of 35,391 shares withheld for taxes.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Restricted Stock Units </w:t>
      </w:r>
    </w:p>
    <w:p>
      <w:pPr>
        <w:pStyle w:val="TextBody"/>
        <w:bidi w:val="0"/>
        <w:spacing w:lineRule="auto" w:line="288" w:before="0" w:after="160"/>
        <w:jc w:val="left"/>
        <w:rPr/>
      </w:pPr>
      <w:r>
        <w:rPr>
          <w:rFonts w:ascii="Expensify Neue;sans-serif" w:hAnsi="Expensify Neue;sans-serif"/>
          <w:b w:val="false"/>
          <w:color w:val="000000"/>
          <w:sz w:val="20"/>
        </w:rPr>
        <w:t>On September 24, 2021, under the 2019 Stock Plan, the Company approved the grant of Class A and LT50 common stock RSUs to Service Providers effective November 9, 2021, the date the Company amended its Certificate of Incorporation, to include, among other things, LT50 common stock. RSUs granted to Service Providers on November 9, 2021 that were approved in September 2021 vest upon the satisfaction of both a performance and service condition. The performance condition was satisfied immediately prior to the effectiveness of the IPO Registration Statement. The service condition is satisfied over eight years with 1/8 of the grant vesting on September 15, 2022 and quarterly vesting of 1/32 of the grant every December 15, March 15, June 15 and September 15 (each, a "Specified Quarterly Date") thereafter until fully vested, in each case subject to continued service to the Company. All RSUs granted to Service Providers after the IPO, under the 2021 Plan, have a service condition only, which is satisfied over eight years from the vesting commencement date corresponding to one of the Specified Quarterly Dates nearest the date of grant, with 1/8</w:t>
      </w:r>
      <w:r>
        <w:rPr>
          <w:color w:val="000000"/>
        </w:rPr>
        <w:t xml:space="preserve"> </w:t>
      </w:r>
      <w:r>
        <w:rPr>
          <w:rFonts w:ascii="Expensify Neue;sans-serif" w:hAnsi="Expensify Neue;sans-serif"/>
          <w:b w:val="false"/>
          <w:color w:val="000000"/>
          <w:sz w:val="20"/>
        </w:rPr>
        <w:t>of each grant vesting on the first anniversary of the vesting commencement date and 1/32 of each grant vesting in equal quarterly installments thereafter until fully vested, in each case, subject to continued service to the Company.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Company's Non-Employee Director Compensation Program, which was adopted under the 2021 Incentive Plans, the Company granted 55,731 Class A common stock RSUs for the six months ended June 30, 2023. A total of 24,792 Class A common RSUs vested during the six months ended June 30, 2023 related to previously granted RSU awards as the quarterly service conditions were satisfied.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six months ended June 30, 2023, RSU activity for Service Providers and non-employee directors was as follows:</w:t>
      </w:r>
    </w:p>
    <w:tbl>
      <w:tblPr>
        <w:tblW w:w="10205" w:type="dxa"/>
        <w:jc w:val="left"/>
        <w:tblInd w:w="0" w:type="dxa"/>
        <w:tblLayout w:type="fixed"/>
        <w:tblCellMar>
          <w:top w:w="28" w:type="dxa"/>
          <w:left w:w="28" w:type="dxa"/>
          <w:bottom w:w="28" w:type="dxa"/>
          <w:right w:w="28" w:type="dxa"/>
        </w:tblCellMar>
      </w:tblPr>
      <w:tblGrid>
        <w:gridCol w:w="968"/>
        <w:gridCol w:w="851"/>
        <w:gridCol w:w="855"/>
        <w:gridCol w:w="749"/>
        <w:gridCol w:w="593"/>
        <w:gridCol w:w="565"/>
        <w:gridCol w:w="109"/>
        <w:gridCol w:w="109"/>
        <w:gridCol w:w="109"/>
        <w:gridCol w:w="674"/>
        <w:gridCol w:w="581"/>
        <w:gridCol w:w="521"/>
        <w:gridCol w:w="109"/>
        <w:gridCol w:w="109"/>
        <w:gridCol w:w="109"/>
        <w:gridCol w:w="663"/>
        <w:gridCol w:w="2074"/>
        <w:gridCol w:w="457"/>
      </w:tblGrid>
      <w:tr>
        <w:trPr/>
        <w:tc>
          <w:tcPr>
            <w:tcW w:w="9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6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grant date fair value per share</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2022</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3,379,657 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3,304,643 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33.88 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granted</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55,731 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vested</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(266,381)</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(238,898)</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32.65 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cancelled/forfeited/expired</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(100,709)</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(100,709)</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40.92 </w:t>
            </w:r>
          </w:p>
        </w:tc>
        <w:tc>
          <w:tcPr>
            <w:tcW w:w="4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June 30, 2023</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3,068,298 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2,965,036 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33.71 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99440"/>
                <wp:effectExtent l="0" t="0" r="0" b="0"/>
                <wp:wrapNone/>
                <wp:docPr id="22" name="Frame2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pPr>
      <w:r>
        <w:rPr>
          <w:rFonts w:ascii="Expensify Neue;sans-serif" w:hAnsi="Expensify Neue;sans-serif"/>
          <w:b w:val="false"/>
          <w:color w:val="000000"/>
          <w:sz w:val="20"/>
        </w:rPr>
        <w:t>As of June 30, 2023</w:t>
      </w:r>
      <w:r>
        <w:rPr>
          <w:rFonts w:ascii="Expensify Neue;sans-serif" w:hAnsi="Expensify Neue;sans-serif"/>
          <w:b w:val="false"/>
          <w:color w:val="000000"/>
          <w:sz w:val="20"/>
          <w:shd w:fill="FFFFFF" w:val="clear"/>
        </w:rPr>
        <w:t xml:space="preserve">, there was $177.8 million of unamortized stock-based compensation cost related to unvested RSUs, which is expected to be recognized over the remaining weighted average life of 5.80 years. </w:t>
      </w:r>
      <w:r>
        <w:rPr>
          <w:rFonts w:ascii="Expensify Neue;sans-serif" w:hAnsi="Expensify Neue;sans-serif"/>
          <w:b w:val="false"/>
          <w:color w:val="000000"/>
          <w:sz w:val="20"/>
        </w:rPr>
        <w:t xml:space="preserve">As of </w:t>
      </w:r>
      <w:r>
        <w:rPr>
          <w:rFonts w:ascii="Expensify Neue;sans-serif" w:hAnsi="Expensify Neue;sans-serif"/>
          <w:b w:val="false"/>
          <w:color w:val="000000"/>
          <w:sz w:val="20"/>
          <w:shd w:fill="FFFFFF" w:val="clear"/>
        </w:rPr>
        <w:t>December 31, 2022</w:t>
      </w:r>
      <w:r>
        <w:rPr>
          <w:rFonts w:ascii="Expensify Neue;sans-serif" w:hAnsi="Expensify Neue;sans-serif"/>
          <w:b w:val="false"/>
          <w:color w:val="000000"/>
          <w:sz w:val="20"/>
        </w:rPr>
        <w:t xml:space="preserve">, there was $204.2 million of unamortized stock-based compensation cost related to unvested RSUs, which was expected to be recognized over the remaining weighted average life of </w:t>
      </w:r>
      <w:r>
        <w:rPr>
          <w:rFonts w:ascii="Expensify Neue;sans-serif" w:hAnsi="Expensify Neue;sans-serif"/>
          <w:b w:val="false"/>
          <w:color w:val="000000"/>
          <w:sz w:val="20"/>
          <w:shd w:fill="FFFFFF" w:val="clear"/>
        </w:rPr>
        <w:t>6.23 years</w:t>
      </w:r>
      <w:r>
        <w:rPr>
          <w:rFonts w:ascii="Expensify Neue;sans-serif" w:hAnsi="Expensify Neue;sans-serif"/>
          <w:b w:val="false"/>
          <w:color w:val="000000"/>
          <w:sz w:val="20"/>
        </w:rPr>
        <w:t xml:space="preserve">.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Options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Stock Plans and the 2021 Plan provide for the grant of incentive and nonstatutory stock options to employees, non-employee directors and consultants of the Company.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 </w:t>
      </w:r>
    </w:p>
    <w:p>
      <w:pPr>
        <w:pStyle w:val="TextBody"/>
        <w:bidi w:val="0"/>
        <w:spacing w:lineRule="auto" w:line="288" w:before="0" w:after="160"/>
        <w:jc w:val="left"/>
        <w:rPr/>
      </w:pPr>
      <w:r>
        <w:rPr>
          <w:rFonts w:ascii="Expensify Neue;sans-serif" w:hAnsi="Expensify Neue;sans-serif"/>
          <w:b w:val="false"/>
          <w:color w:val="000000"/>
          <w:sz w:val="20"/>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w:t>
      </w:r>
      <w:r>
        <w:rPr>
          <w:rFonts w:ascii="Expensify Neue;sans-serif" w:hAnsi="Expensify Neue;sans-serif"/>
          <w:b w:val="false"/>
          <w:color w:val="000000"/>
          <w:sz w:val="20"/>
          <w:shd w:fill="FFFFFF" w:val="clear"/>
        </w:rPr>
        <w:t xml:space="preserve">.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There was an immaterial amount of exercised restricted common stock repurchased during the </w:t>
      </w:r>
      <w:r>
        <w:rPr>
          <w:rFonts w:ascii="Expensify Neue;sans-serif" w:hAnsi="Expensify Neue;sans-serif"/>
          <w:b w:val="false"/>
          <w:color w:val="000000"/>
          <w:sz w:val="20"/>
        </w:rPr>
        <w:t>six months ended June 30, 2023 and 2022</w:t>
      </w:r>
      <w:r>
        <w:rPr>
          <w:rFonts w:ascii="Expensify Neue;sans-serif" w:hAnsi="Expensify Neue;sans-serif"/>
          <w:b w:val="false"/>
          <w:color w:val="000000"/>
          <w:sz w:val="2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June 30, 2023</w:t>
      </w:r>
      <w:r>
        <w:rPr>
          <w:color w:val="000000"/>
          <w:shd w:fill="FFFFFF" w:val="clear"/>
        </w:rPr>
        <w:t xml:space="preserve"> </w:t>
      </w:r>
      <w:r>
        <w:rPr>
          <w:rFonts w:ascii="Expensify Neue;sans-serif" w:hAnsi="Expensify Neue;sans-serif"/>
          <w:b w:val="false"/>
          <w:color w:val="000000"/>
          <w:sz w:val="20"/>
          <w:shd w:fill="FFFFFF" w:val="clear"/>
        </w:rPr>
        <w:t>and December 31, 2022, there were 584,037 and</w:t>
      </w:r>
      <w:r>
        <w:rPr>
          <w:color w:val="000000"/>
        </w:rPr>
        <w:t xml:space="preserve"> </w:t>
      </w:r>
      <w:r>
        <w:rPr>
          <w:rFonts w:ascii="Expensify Neue;sans-serif" w:hAnsi="Expensify Neue;sans-serif"/>
          <w:b w:val="false"/>
          <w:color w:val="000000"/>
          <w:sz w:val="20"/>
        </w:rPr>
        <w:t xml:space="preserve">813,311 </w:t>
      </w:r>
      <w:r>
        <w:rPr>
          <w:rFonts w:ascii="Expensify Neue;sans-serif" w:hAnsi="Expensify Neue;sans-serif"/>
          <w:b w:val="false"/>
          <w:color w:val="000000"/>
          <w:sz w:val="20"/>
          <w:shd w:fill="FFFFFF" w:val="clear"/>
        </w:rPr>
        <w:t>shares subject to repurchase, respectively, related to unvested stock options that had been early exercised</w:t>
      </w:r>
      <w:r>
        <w:rPr>
          <w:rFonts w:ascii="Expensify Neue;sans-serif" w:hAnsi="Expensify Neue;sans-serif"/>
          <w:b w:val="false"/>
          <w:color w:val="000000"/>
          <w:sz w:val="20"/>
        </w:rPr>
        <w:t>. As of June 30, 2023</w:t>
      </w:r>
      <w:r>
        <w:rPr>
          <w:color w:val="000000"/>
          <w:shd w:fill="FFFFFF" w:val="clear"/>
        </w:rPr>
        <w:t xml:space="preserve"> </w:t>
      </w:r>
      <w:r>
        <w:rPr>
          <w:rFonts w:ascii="Expensify Neue;sans-serif" w:hAnsi="Expensify Neue;sans-serif"/>
          <w:b w:val="false"/>
          <w:color w:val="000000"/>
          <w:sz w:val="20"/>
          <w:shd w:fill="FFFFFF" w:val="clear"/>
        </w:rPr>
        <w:t xml:space="preserve">and December 31, 2022, the Company recorded a liability related to shares subject to repurchase of $0.9 million and </w:t>
      </w:r>
      <w:r>
        <w:rPr>
          <w:rFonts w:ascii="Expensify Neue;sans-serif" w:hAnsi="Expensify Neue;sans-serif"/>
          <w:b w:val="false"/>
          <w:color w:val="000000"/>
          <w:sz w:val="20"/>
        </w:rPr>
        <w:t>$1.3 million, respectively</w:t>
      </w:r>
      <w:r>
        <w:rPr>
          <w:rFonts w:ascii="Expensify Neue;sans-serif" w:hAnsi="Expensify Neue;sans-serif"/>
          <w:b w:val="false"/>
          <w:color w:val="000000"/>
          <w:sz w:val="20"/>
          <w:shd w:fill="FFFFFF" w:val="clear"/>
        </w:rPr>
        <w:t>, which is included within Accrued expenses and other liabilities in the accompanying Condensed Consolidated Balance Sheets</w:t>
      </w:r>
      <w:r>
        <w:rPr>
          <w:rFonts w:ascii="Expensify Neue;sans-serif" w:hAnsi="Expensify Neue;sans-serif"/>
          <w:b w:val="false"/>
          <w:color w:val="000000"/>
          <w:sz w:val="20"/>
        </w:rPr>
        <w:t>. These amounts are reclassified to Common stock and Additional paid-in capital as the underlying shares vest.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summary of the Company's stock option activity was as follows:</w:t>
      </w:r>
    </w:p>
    <w:tbl>
      <w:tblPr>
        <w:tblW w:w="10205" w:type="dxa"/>
        <w:jc w:val="left"/>
        <w:tblInd w:w="0" w:type="dxa"/>
        <w:tblLayout w:type="fixed"/>
        <w:tblCellMar>
          <w:top w:w="28" w:type="dxa"/>
          <w:left w:w="28" w:type="dxa"/>
          <w:bottom w:w="28" w:type="dxa"/>
          <w:right w:w="28" w:type="dxa"/>
        </w:tblCellMar>
      </w:tblPr>
      <w:tblGrid>
        <w:gridCol w:w="1046"/>
        <w:gridCol w:w="917"/>
        <w:gridCol w:w="921"/>
        <w:gridCol w:w="563"/>
        <w:gridCol w:w="563"/>
        <w:gridCol w:w="246"/>
        <w:gridCol w:w="109"/>
        <w:gridCol w:w="109"/>
        <w:gridCol w:w="109"/>
        <w:gridCol w:w="761"/>
        <w:gridCol w:w="1973"/>
        <w:gridCol w:w="369"/>
        <w:gridCol w:w="109"/>
        <w:gridCol w:w="109"/>
        <w:gridCol w:w="109"/>
        <w:gridCol w:w="640"/>
        <w:gridCol w:w="640"/>
        <w:gridCol w:w="912"/>
      </w:tblGrid>
      <w:tr>
        <w:trPr/>
        <w:tc>
          <w:tcPr>
            <w:tcW w:w="10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Weighted average </w:t>
              <w:br/>
              <w:t xml:space="preserve">remaining contractual life </w:t>
              <w:br/>
              <w:t>(in years)</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December 31, 2022</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6,301,650 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1.67 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5.20</w:t>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Options exercised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(102,865)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Options cancelled/forfeited/expired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(44,789)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June 30, 2023</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6,153,996 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4.63</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Exercisable at June 30, 2023</w:t>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6,024,296 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4.59</w:t>
            </w:r>
          </w:p>
        </w:tc>
      </w:tr>
      <w:tr>
        <w:trPr/>
        <w:tc>
          <w:tcPr>
            <w:tcW w:w="28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total pretax intrinsic value of options exercised during the six months ended June 30, 2023 and 2022 was $0.7 million and $7.8 million, respectively. The total pretax intrinsic value of options outstanding at June 30, 2023 and December 31, 2022 was $39.9 million and $46.0 million, respectively. The intrinsic value is the difference between the estimated fair market value of the Company’s common stock at the date of exercise and the exercise price for in-the-money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9440"/>
                <wp:effectExtent l="0" t="0" r="0" b="0"/>
                <wp:wrapNone/>
                <wp:docPr id="23" name="Frame2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June 30, 2023</w:t>
      </w:r>
      <w:r>
        <w:rPr>
          <w:rFonts w:ascii="Expensify Neue;sans-serif" w:hAnsi="Expensify Neue;sans-serif"/>
          <w:b w:val="false"/>
          <w:color w:val="000000"/>
          <w:sz w:val="20"/>
          <w:shd w:fill="FFFFFF" w:val="clear"/>
        </w:rPr>
        <w:t xml:space="preserve">, there was $6.0 million of unrecognized stock-based compensation cost related to unvested stock options, which is expected to be recognized over a weighted average period of 0.98 years. </w:t>
      </w:r>
      <w:r>
        <w:rPr>
          <w:rFonts w:ascii="Expensify Neue;sans-serif" w:hAnsi="Expensify Neue;sans-serif"/>
          <w:b w:val="false"/>
          <w:color w:val="000000"/>
          <w:sz w:val="20"/>
        </w:rPr>
        <w:t xml:space="preserve">As of </w:t>
      </w:r>
      <w:r>
        <w:rPr>
          <w:rFonts w:ascii="Expensify Neue;sans-serif" w:hAnsi="Expensify Neue;sans-serif"/>
          <w:b w:val="false"/>
          <w:color w:val="000000"/>
          <w:sz w:val="20"/>
          <w:shd w:fill="FFFFFF" w:val="clear"/>
        </w:rPr>
        <w:t>December 31, 2022</w:t>
      </w:r>
      <w:r>
        <w:rPr>
          <w:rFonts w:ascii="Expensify Neue;sans-serif" w:hAnsi="Expensify Neue;sans-serif"/>
          <w:b w:val="false"/>
          <w:color w:val="000000"/>
          <w:sz w:val="20"/>
        </w:rPr>
        <w:t>, there was $8.1 million of unrecognized stock-based compensation cost related to unvested stock options, which was expected to be recognized over a weighted average period of 1.21 years.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Cash received from option exercises and purchases of shares under the Stock Plans for the </w:t>
      </w:r>
      <w:r>
        <w:rPr>
          <w:rFonts w:ascii="Expensify Neue;sans-serif" w:hAnsi="Expensify Neue;sans-serif"/>
          <w:b w:val="false"/>
          <w:color w:val="000000"/>
          <w:sz w:val="20"/>
        </w:rPr>
        <w:t>six months ended June 30, 2023</w:t>
      </w:r>
      <w:r>
        <w:rPr>
          <w:color w:val="000000"/>
          <w:shd w:fill="FFFFFF" w:val="clear"/>
        </w:rPr>
        <w:t xml:space="preserve"> </w:t>
      </w:r>
      <w:r>
        <w:rPr>
          <w:rFonts w:ascii="Expensify Neue;sans-serif" w:hAnsi="Expensify Neue;sans-serif"/>
          <w:b w:val="false"/>
          <w:color w:val="000000"/>
          <w:sz w:val="20"/>
          <w:shd w:fill="FFFFFF" w:val="clear"/>
        </w:rPr>
        <w:t xml:space="preserve">and </w:t>
      </w:r>
      <w:r>
        <w:rPr>
          <w:rFonts w:ascii="Expensify Neue;sans-serif" w:hAnsi="Expensify Neue;sans-serif"/>
          <w:b w:val="false"/>
          <w:color w:val="000000"/>
          <w:sz w:val="20"/>
        </w:rPr>
        <w:t>2022</w:t>
      </w:r>
      <w:r>
        <w:rPr>
          <w:color w:val="000000"/>
          <w:shd w:fill="FFFFFF" w:val="clear"/>
        </w:rPr>
        <w:t xml:space="preserve"> </w:t>
      </w:r>
      <w:r>
        <w:rPr>
          <w:rFonts w:ascii="Expensify Neue;sans-serif" w:hAnsi="Expensify Neue;sans-serif"/>
          <w:b w:val="false"/>
          <w:color w:val="000000"/>
          <w:sz w:val="20"/>
          <w:shd w:fill="FFFFFF" w:val="clear"/>
        </w:rPr>
        <w:t>was $0.1 million and $0.5 million, re</w:t>
      </w:r>
      <w:r>
        <w:rPr>
          <w:rFonts w:ascii="Expensify Neue;sans-serif" w:hAnsi="Expensify Neue;sans-serif"/>
          <w:b w:val="false"/>
          <w:color w:val="000000"/>
          <w:sz w:val="20"/>
        </w:rPr>
        <w:t xml:space="preserve">spectively.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Stock-Based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the stock-based compensation recognized for options granted under the 2009 Stock Plan, options and RSUs granted under the 2019 Stock Plan, RSUs granted under the 2021 Plan and matching and discretionary shares issued under the Matching Plan (in thousands):</w:t>
      </w:r>
    </w:p>
    <w:tbl>
      <w:tblPr>
        <w:tblW w:w="8749" w:type="dxa"/>
        <w:jc w:val="left"/>
        <w:tblInd w:w="0" w:type="dxa"/>
        <w:tblLayout w:type="fixed"/>
        <w:tblCellMar>
          <w:top w:w="28" w:type="dxa"/>
          <w:left w:w="28" w:type="dxa"/>
          <w:bottom w:w="28" w:type="dxa"/>
          <w:right w:w="28" w:type="dxa"/>
        </w:tblCellMar>
      </w:tblPr>
      <w:tblGrid>
        <w:gridCol w:w="999"/>
        <w:gridCol w:w="877"/>
        <w:gridCol w:w="884"/>
        <w:gridCol w:w="244"/>
        <w:gridCol w:w="893"/>
        <w:gridCol w:w="117"/>
        <w:gridCol w:w="117"/>
        <w:gridCol w:w="117"/>
        <w:gridCol w:w="117"/>
        <w:gridCol w:w="244"/>
        <w:gridCol w:w="893"/>
        <w:gridCol w:w="117"/>
        <w:gridCol w:w="109"/>
        <w:gridCol w:w="109"/>
        <w:gridCol w:w="109"/>
        <w:gridCol w:w="226"/>
        <w:gridCol w:w="826"/>
        <w:gridCol w:w="109"/>
        <w:gridCol w:w="109"/>
        <w:gridCol w:w="109"/>
        <w:gridCol w:w="109"/>
        <w:gridCol w:w="226"/>
        <w:gridCol w:w="826"/>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 options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Restricted stock units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11,083 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14,048 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28,428 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 is allocated based on the cost center to which the award holder spent time during the reported periods. Stock-based compensation expense is included in the following components of expenses on the accompanying Condensed Consolidated Statements of Operations (in thousands):</w:t>
      </w:r>
    </w:p>
    <w:tbl>
      <w:tblPr>
        <w:tblW w:w="9524" w:type="dxa"/>
        <w:jc w:val="left"/>
        <w:tblInd w:w="0" w:type="dxa"/>
        <w:tblLayout w:type="fixed"/>
        <w:tblCellMar>
          <w:top w:w="28" w:type="dxa"/>
          <w:left w:w="28" w:type="dxa"/>
          <w:bottom w:w="28" w:type="dxa"/>
          <w:right w:w="28" w:type="dxa"/>
        </w:tblCellMar>
      </w:tblPr>
      <w:tblGrid>
        <w:gridCol w:w="1318"/>
        <w:gridCol w:w="1161"/>
        <w:gridCol w:w="1165"/>
        <w:gridCol w:w="244"/>
        <w:gridCol w:w="893"/>
        <w:gridCol w:w="117"/>
        <w:gridCol w:w="117"/>
        <w:gridCol w:w="117"/>
        <w:gridCol w:w="117"/>
        <w:gridCol w:w="244"/>
        <w:gridCol w:w="893"/>
        <w:gridCol w:w="117"/>
        <w:gridCol w:w="109"/>
        <w:gridCol w:w="109"/>
        <w:gridCol w:w="109"/>
        <w:gridCol w:w="226"/>
        <w:gridCol w:w="826"/>
        <w:gridCol w:w="109"/>
        <w:gridCol w:w="109"/>
        <w:gridCol w:w="109"/>
        <w:gridCol w:w="109"/>
        <w:gridCol w:w="226"/>
        <w:gridCol w:w="826"/>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4,704 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Stock-based compensation capitalized as internally developed software costs was $0.7 million and $0.3 million for the three months ended June 30, 2023</w:t>
      </w:r>
      <w:r>
        <w:rPr>
          <w:color w:val="000000"/>
          <w:shd w:fill="FFFFFF" w:val="clear"/>
        </w:rPr>
        <w:t xml:space="preserve"> </w:t>
      </w:r>
      <w:r>
        <w:rPr>
          <w:rFonts w:ascii="Expensify Neue;sans-serif" w:hAnsi="Expensify Neue;sans-serif"/>
          <w:b w:val="false"/>
          <w:color w:val="000000"/>
          <w:sz w:val="20"/>
          <w:shd w:fill="FFFFFF" w:val="clear"/>
        </w:rPr>
        <w:t xml:space="preserve">and </w:t>
      </w:r>
      <w:r>
        <w:rPr>
          <w:rFonts w:ascii="Expensify Neue;sans-serif" w:hAnsi="Expensify Neue;sans-serif"/>
          <w:b w:val="false"/>
          <w:color w:val="000000"/>
          <w:sz w:val="20"/>
        </w:rPr>
        <w:t>2022, respectively. Stock-based compensation capitalized as internally developed software costs was $1.4 million and $0.6 million for the six months ended June 30, 2023</w:t>
      </w:r>
      <w:r>
        <w:rPr>
          <w:color w:val="000000"/>
          <w:shd w:fill="FFFFFF" w:val="clear"/>
        </w:rPr>
        <w:t xml:space="preserve"> </w:t>
      </w:r>
      <w:r>
        <w:rPr>
          <w:rFonts w:ascii="Expensify Neue;sans-serif" w:hAnsi="Expensify Neue;sans-serif"/>
          <w:b w:val="false"/>
          <w:color w:val="000000"/>
          <w:sz w:val="20"/>
          <w:shd w:fill="FFFFFF" w:val="clear"/>
        </w:rPr>
        <w:t xml:space="preserve">and </w:t>
      </w:r>
      <w:r>
        <w:rPr>
          <w:rFonts w:ascii="Expensify Neue;sans-serif" w:hAnsi="Expensify Neue;sans-serif"/>
          <w:b w:val="false"/>
          <w:color w:val="000000"/>
          <w:sz w:val="20"/>
        </w:rPr>
        <w:t xml:space="preserve">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6 -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the three and six months ended June 30, 2023, the Company prepared its interim tax provision by applying a year-to-date effective tax rate, which the Company believes results in the best estimate of the annual effective tax rate.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the three months ended June 30, 2023 and 2022, the Company recorded a provision for income taxes of $0.4 million and $2.1 million, respectively, which resulted in effective tax rates of (3.4)% and (34.8)%,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99440"/>
                <wp:effectExtent l="0" t="0" r="0" b="0"/>
                <wp:wrapNone/>
                <wp:docPr id="24" name="Frame2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the six months ended June 30, 2023 and 2022, the Company recorded a provision for income taxes of $2.2 million and $3.7 million, respectively, which resulted in effective tax rates of (14.6)% and (31.7)%,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principal reasons for the difference between the statutory rate and the effective rate for 2023 were primarily due to non-deductible stock-based compensation, Section 162(m) of the Internal Revenue Code ("IRC") compensation limitations, and the change in the valuation allowance. The principal reasons for the difference between the statutory rate and the effective rate for 2022 was due to the change in valuation allowance. </w:t>
      </w:r>
    </w:p>
    <w:p>
      <w:pPr>
        <w:pStyle w:val="TextBody"/>
        <w:bidi w:val="0"/>
        <w:spacing w:lineRule="auto" w:line="288" w:before="0" w:after="160"/>
        <w:jc w:val="left"/>
        <w:rPr/>
      </w:pPr>
      <w:r>
        <w:rPr>
          <w:rFonts w:ascii="Expensify Neue;sans-serif" w:hAnsi="Expensify Neue;sans-serif"/>
          <w:b w:val="false"/>
          <w:color w:val="000000"/>
          <w:sz w:val="20"/>
        </w:rPr>
        <w:t xml:space="preserve">The Company follows the provisions of ASC 740-10, </w:t>
      </w:r>
      <w:r>
        <w:rPr>
          <w:rFonts w:ascii="Expensify Neue;sans-serif" w:hAnsi="Expensify Neue;sans-serif"/>
          <w:b w:val="false"/>
          <w:i/>
          <w:color w:val="000000"/>
          <w:sz w:val="20"/>
        </w:rPr>
        <w:t>Accounting for Uncertainty in Income Taxes</w:t>
      </w:r>
      <w:r>
        <w:rPr>
          <w:rFonts w:ascii="Expensify Neue;sans-serif" w:hAnsi="Expensify Neue;sans-serif"/>
          <w:b w:val="false"/>
          <w:color w:val="000000"/>
          <w:sz w:val="20"/>
        </w:rPr>
        <w:t>. ASC 740-10 prescribes a comprehensive model for the recognition, measurement, presentation and disclosure in financial statements of uncertain tax positions that have been taken or expected to be taken on a tax return. As of June 30, 2023 and December 31, 2022, the Company recorded an uncertain tax position liability, inclusive of interest and penalties, of $1.3 million and $1.2 million respectively, within Other liabilities on the Condensed Consolidated Balance Sheets. This liability includes an immaterial amount of interest and penalties as of June 30, 2023 and no interest and penalties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7 - NET LOSS PER SHARE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460"/>
        <w:gridCol w:w="1143"/>
        <w:gridCol w:w="1146"/>
        <w:gridCol w:w="263"/>
        <w:gridCol w:w="983"/>
        <w:gridCol w:w="110"/>
        <w:gridCol w:w="110"/>
        <w:gridCol w:w="110"/>
        <w:gridCol w:w="110"/>
        <w:gridCol w:w="297"/>
        <w:gridCol w:w="949"/>
        <w:gridCol w:w="110"/>
        <w:gridCol w:w="109"/>
        <w:gridCol w:w="109"/>
        <w:gridCol w:w="109"/>
        <w:gridCol w:w="263"/>
        <w:gridCol w:w="983"/>
        <w:gridCol w:w="109"/>
        <w:gridCol w:w="109"/>
        <w:gridCol w:w="109"/>
        <w:gridCol w:w="109"/>
        <w:gridCol w:w="263"/>
        <w:gridCol w:w="983"/>
        <w:gridCol w:w="159"/>
      </w:tblGrid>
      <w:tr>
        <w:trPr/>
        <w:tc>
          <w:tcPr>
            <w:tcW w:w="146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82,011,477 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80,473,097 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81,890,624 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80,311,053 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10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10-month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attributable to common stockholders will be the same for the Class A, LT10 and LT50 common stock on an individual or combined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9440"/>
                <wp:effectExtent l="0" t="0" r="0" b="0"/>
                <wp:wrapNone/>
                <wp:docPr id="25" name="Frame25"/>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potentially dilutive shares were not included in the calculation of diluted shares outstanding as the effect would have been anti-dilutive:</w:t>
      </w:r>
    </w:p>
    <w:tbl>
      <w:tblPr>
        <w:tblW w:w="10205" w:type="dxa"/>
        <w:jc w:val="center"/>
        <w:tblInd w:w="0" w:type="dxa"/>
        <w:tblLayout w:type="fixed"/>
        <w:tblCellMar>
          <w:top w:w="28" w:type="dxa"/>
          <w:left w:w="28" w:type="dxa"/>
          <w:bottom w:w="28" w:type="dxa"/>
          <w:right w:w="28" w:type="dxa"/>
        </w:tblCellMar>
      </w:tblPr>
      <w:tblGrid>
        <w:gridCol w:w="1037"/>
        <w:gridCol w:w="912"/>
        <w:gridCol w:w="913"/>
        <w:gridCol w:w="750"/>
        <w:gridCol w:w="376"/>
        <w:gridCol w:w="253"/>
        <w:gridCol w:w="253"/>
        <w:gridCol w:w="253"/>
        <w:gridCol w:w="253"/>
        <w:gridCol w:w="750"/>
        <w:gridCol w:w="376"/>
        <w:gridCol w:w="253"/>
        <w:gridCol w:w="109"/>
        <w:gridCol w:w="109"/>
        <w:gridCol w:w="109"/>
        <w:gridCol w:w="668"/>
        <w:gridCol w:w="458"/>
        <w:gridCol w:w="229"/>
        <w:gridCol w:w="229"/>
        <w:gridCol w:w="229"/>
        <w:gridCol w:w="229"/>
        <w:gridCol w:w="668"/>
        <w:gridCol w:w="458"/>
        <w:gridCol w:w="331"/>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4,061,602 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5,418,741 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4,213,114 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6,065,482 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6,220 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6,748 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4,061,849 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5,424,961 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4,213,466 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6,072,230 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8 - EQUITY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May 10, 2022, the Executive Committee of the Board of Directors approved a share repurchase program with authorization to purchase up to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its discretion without prior notice.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the three and six months ended June 30, 2023, the Company repurchased 504,493 shares of Class A common stock under the 2022 Share Repurchase Program, at a total cost to the Company of $3.0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9 - RELATED PARTY TRANSACTIONS</w:t>
      </w:r>
    </w:p>
    <w:p>
      <w:pPr>
        <w:pStyle w:val="TextBody"/>
        <w:bidi w:val="0"/>
        <w:spacing w:lineRule="auto" w:line="288" w:before="0" w:after="160"/>
        <w:jc w:val="left"/>
        <w:rPr/>
      </w:pPr>
      <w:r>
        <w:rPr>
          <w:rFonts w:ascii="Expensify Neue;sans-serif" w:hAnsi="Expensify Neue;sans-serif"/>
          <w:b w:val="false"/>
          <w:color w:val="000000"/>
          <w:sz w:val="20"/>
        </w:rPr>
        <w:t xml:space="preserve">During the six months ended June 30, 2023 and 2022, Expensify, Inc. contributed $0.2 million and $1.9 million, respectively, to its wholly-owned subsidiary, Expensify.org, a nonprofit benefit organization established by the Company. There was an immaterial amount of commitments from Expensify, Inc. that remained open for contribution as of June 30, 2023 and </w:t>
      </w:r>
      <w:r>
        <w:rPr>
          <w:rFonts w:ascii="Expensify Neue;sans-serif" w:hAnsi="Expensify Neue;sans-serif"/>
          <w:b w:val="false"/>
          <w:color w:val="000000"/>
          <w:sz w:val="20"/>
          <w:shd w:fill="FFFFFF" w:val="clear"/>
        </w:rPr>
        <w:t>December 31, 2022</w:t>
      </w:r>
      <w:r>
        <w:rPr>
          <w:rFonts w:ascii="Expensify Neue;sans-serif" w:hAnsi="Expensify Neue;sans-serif"/>
          <w:b w:val="false"/>
          <w:color w:val="000000"/>
          <w:sz w:val="2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There are no other significant related party transactions for the Company as of June 30, 2023, except as noted elsewhere in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99440"/>
                <wp:effectExtent l="0" t="0" r="0" b="0"/>
                <wp:wrapNone/>
                <wp:docPr id="26" name="Frame2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2. Management's Discussion and Analysis of Financial Condition and Results of Operations</w:t>
      </w:r>
    </w:p>
    <w:p>
      <w:pPr>
        <w:pStyle w:val="TextBody"/>
        <w:bidi w:val="0"/>
        <w:spacing w:lineRule="auto" w:line="288" w:before="0" w:after="160"/>
        <w:jc w:val="left"/>
        <w:rPr/>
      </w:pPr>
      <w:r>
        <w:rPr>
          <w:rFonts w:ascii="Expensify Neue;sans-serif" w:hAnsi="Expensify Neue;sans-serif"/>
          <w:b w:val="false"/>
          <w:i/>
          <w:color w:val="000000"/>
          <w:sz w:val="20"/>
        </w:rPr>
        <w:t xml:space="preserve">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w:t>
      </w:r>
      <w:r>
        <w:rPr>
          <w:rFonts w:ascii="Expensify Neue;sans-serif" w:hAnsi="Expensify Neue;sans-serif"/>
          <w:b w:val="false"/>
          <w:color w:val="000000"/>
          <w:sz w:val="20"/>
        </w:rPr>
        <w:t>December 31, 2022</w:t>
      </w:r>
      <w:r>
        <w:rPr>
          <w:color w:val="000000"/>
        </w:rPr>
        <w:t xml:space="preserve"> </w:t>
      </w:r>
      <w:r>
        <w:rPr>
          <w:rFonts w:ascii="Expensify Neue;sans-serif" w:hAnsi="Expensify Neue;sans-serif"/>
          <w:b w:val="false"/>
          <w:i/>
          <w:color w:val="000000"/>
          <w:sz w:val="20"/>
        </w:rPr>
        <w:t>("2022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2022 Annual Report and included elsewhere in this Quarterly Report on Form 10-Q. See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12 million members to our community and processed and automated 1.5 billion expense transactions on our platform as of June 30, 2023, freeing people to spend less time managing expenses and more time doing the things they love. For the quarter ended June 30, 2023, an average of 742,000 paid members across 45,300 companies and over 200 countries and territories used Expensify to make money easy.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Components of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generate revenue from subscription fees based on the usage of our cloud-based expense management software platform under arrangements paid monthly in arrears that are either (i) month-to-month and can be terminated by either party without penalty at any time or (ii) 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9440"/>
                <wp:effectExtent l="0" t="0" r="0" b="0"/>
                <wp:wrapNone/>
                <wp:docPr id="27" name="Frame2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offer a cashback rewards program to all customers based on volume of Expensify Card transactions and software as a service ("SaaS") subscription tier. Cashback rewards are earned on a monthly basis and are paid out the following month. We consider our cashback payments to customers as consideration payable to a customer, and the payments are recorded as contra revenue within Revenue on the Condensed Consolidated Statements of Operations. We also record a cashback rewards liability that represents the consideration payable to customers for earned cashback rewards. The cashback rewards fluctuate over time as customers meet eligibility requirements in conjunction with the applicable SaaS subscription tier of each customer and the timing of payments made to customers. Additional details pertaining to the Company's cashback program can be found in Part I, Item 1A. "Risk Factors" in our 2022 Annual Report. Subsequent to the date the 2022 Annual Report was filed with the SEC and effective as of March 2023, the Company removed a $25,000 monthly threshold for companies to qualify for 1% cash back and now offers a minimum of 1% cash back for all purchases.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primarily consists of expenses related to hosting our service, including the costs of data center capacity, credit card processing fees, third-party software license fees, outsourcing costs to support customer service and outsourcing costs to support and process our patented scanning technology SmartScan,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less the amount retained by the vendor (our remainder portion, "Expensify interchange amount"). The vendor also charges us fees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net," a contra expense in Cost of revenue, net. The following summarizes these various amounts for the periods presented:</w:t>
      </w:r>
    </w:p>
    <w:tbl>
      <w:tblPr>
        <w:tblW w:w="9196" w:type="dxa"/>
        <w:jc w:val="left"/>
        <w:tblInd w:w="0" w:type="dxa"/>
        <w:tblLayout w:type="fixed"/>
        <w:tblCellMar>
          <w:top w:w="28" w:type="dxa"/>
          <w:left w:w="28" w:type="dxa"/>
          <w:bottom w:w="28" w:type="dxa"/>
          <w:right w:w="28" w:type="dxa"/>
        </w:tblCellMar>
      </w:tblPr>
      <w:tblGrid>
        <w:gridCol w:w="1211"/>
        <w:gridCol w:w="1064"/>
        <w:gridCol w:w="1070"/>
        <w:gridCol w:w="268"/>
        <w:gridCol w:w="839"/>
        <w:gridCol w:w="129"/>
        <w:gridCol w:w="129"/>
        <w:gridCol w:w="129"/>
        <w:gridCol w:w="129"/>
        <w:gridCol w:w="268"/>
        <w:gridCol w:w="839"/>
        <w:gridCol w:w="129"/>
        <w:gridCol w:w="109"/>
        <w:gridCol w:w="109"/>
        <w:gridCol w:w="109"/>
        <w:gridCol w:w="245"/>
        <w:gridCol w:w="768"/>
        <w:gridCol w:w="118"/>
        <w:gridCol w:w="118"/>
        <w:gridCol w:w="118"/>
        <w:gridCol w:w="118"/>
        <w:gridCol w:w="245"/>
        <w:gridCol w:w="768"/>
        <w:gridCol w:w="167"/>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interchange amount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Vendor fees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Consideration from a vendor, net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2,403 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OPERATING EXPENSES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Research and Development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99440"/>
                <wp:effectExtent l="0" t="0" r="0" b="0"/>
                <wp:wrapNone/>
                <wp:docPr id="28" name="Frame2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 of operating right-of-use assets and external professional services, including accounting, audit, tax, finance, legal and compliance, human resources and information technology. We expect that general and administrative expenses will continue to increase as we scale our business and as we incur additional costs associated with being a publicly traded company, including legal, audit, business insurance and consulting fees.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Interest and Other Expenses,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 consist primarily of interest paid under our credit facilities with Canadian Imperial Bank of Commerce ("CIBC"). It also includes realized gains and losses on foreign currency transactions and foreign currency remeasurement.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Provision for Income Taxes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Income taxes primarily consist of income taxes in the United States, United Kingdom, Australia, Netherlands and Canada, as well as states in the United States in which we do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9440"/>
                <wp:effectExtent l="0" t="0" r="0" b="0"/>
                <wp:wrapNone/>
                <wp:docPr id="29" name="Frame2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results of operations presented below should be reviewed in conjunction with the condensed consolidated financial statements and notes included elsewhere in this Quarterly Report on Form 10-Q.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229"/>
        <w:gridCol w:w="909"/>
        <w:gridCol w:w="912"/>
        <w:gridCol w:w="263"/>
        <w:gridCol w:w="983"/>
        <w:gridCol w:w="286"/>
        <w:gridCol w:w="109"/>
        <w:gridCol w:w="109"/>
        <w:gridCol w:w="109"/>
        <w:gridCol w:w="267"/>
        <w:gridCol w:w="979"/>
        <w:gridCol w:w="286"/>
        <w:gridCol w:w="109"/>
        <w:gridCol w:w="109"/>
        <w:gridCol w:w="109"/>
        <w:gridCol w:w="263"/>
        <w:gridCol w:w="983"/>
        <w:gridCol w:w="286"/>
        <w:gridCol w:w="109"/>
        <w:gridCol w:w="109"/>
        <w:gridCol w:w="109"/>
        <w:gridCol w:w="263"/>
        <w:gridCol w:w="983"/>
        <w:gridCol w:w="332"/>
      </w:tblGrid>
      <w:tr>
        <w:trPr/>
        <w:tc>
          <w:tcPr>
            <w:tcW w:w="122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 share and per share data)</w:t>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38,884 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43,162 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78,985 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83,532 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Cost of revenue, net</w:t>
            </w:r>
            <w:r>
              <w:rPr>
                <w:rFonts w:ascii="Expensify Neue;sans-serif" w:hAnsi="Expensify Neue;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16,925 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15,876 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32,700 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30,010 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27,286 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46,285 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53,522 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Research and development</w:t>
            </w:r>
            <w:r>
              <w:rPr>
                <w:rFonts w:ascii="Expensify Neue;sans-serif" w:hAnsi="Expensify Neue;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7,285 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General and administrative</w:t>
            </w:r>
            <w:r>
              <w:rPr>
                <w:rFonts w:ascii="Expensify Neue;sans-serif" w:hAnsi="Expensify Neue;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24,141 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29,438 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Sales and marketing</w:t>
            </w:r>
            <w:r>
              <w:rPr>
                <w:rFonts w:ascii="Expensify Neue;sans-serif" w:hAnsi="Expensify Neue;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14,714 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23,897 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25,616 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31,520 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31,260 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58,550 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62,339 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(9,561)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(3,974)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(12,265)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(8,817)</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(2,856)</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(10,928)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(5,929)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(15,048)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(11,673)</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(3,697)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(11,304)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(7,994)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(17,249)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(15,370)</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(0.19)</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82,011,477 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80,473,097 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81,890,624 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80,311,053 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0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(1)Includes stock-based compensation expense as follows:</w:t>
      </w:r>
    </w:p>
    <w:tbl>
      <w:tblPr>
        <w:tblW w:w="8619" w:type="dxa"/>
        <w:jc w:val="left"/>
        <w:tblInd w:w="0" w:type="dxa"/>
        <w:tblLayout w:type="fixed"/>
        <w:tblCellMar>
          <w:top w:w="28" w:type="dxa"/>
          <w:left w:w="28" w:type="dxa"/>
          <w:bottom w:w="28" w:type="dxa"/>
          <w:right w:w="28" w:type="dxa"/>
        </w:tblCellMar>
      </w:tblPr>
      <w:tblGrid>
        <w:gridCol w:w="998"/>
        <w:gridCol w:w="879"/>
        <w:gridCol w:w="883"/>
        <w:gridCol w:w="252"/>
        <w:gridCol w:w="830"/>
        <w:gridCol w:w="140"/>
        <w:gridCol w:w="140"/>
        <w:gridCol w:w="140"/>
        <w:gridCol w:w="140"/>
        <w:gridCol w:w="252"/>
        <w:gridCol w:w="830"/>
        <w:gridCol w:w="140"/>
        <w:gridCol w:w="109"/>
        <w:gridCol w:w="109"/>
        <w:gridCol w:w="109"/>
        <w:gridCol w:w="230"/>
        <w:gridCol w:w="758"/>
        <w:gridCol w:w="128"/>
        <w:gridCol w:w="128"/>
        <w:gridCol w:w="128"/>
        <w:gridCol w:w="128"/>
        <w:gridCol w:w="230"/>
        <w:gridCol w:w="758"/>
        <w:gridCol w:w="180"/>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Cost of revenue, net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3,600 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4,704 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6,906 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9,611 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Research and development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2,455 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1,877 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4,661 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4,298 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General and administrative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2,376 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5,463 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5,020 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10,439 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Sales and marketing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1,910 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3,758 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4,080 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Stock-based compensation expense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10,341 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14,048 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20,345 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28,428 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99440"/>
                <wp:effectExtent l="0" t="0" r="0" b="0"/>
                <wp:wrapNone/>
                <wp:docPr id="30" name="Frame3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COMPARISON OF THE THREE MONTHS ENDED JUNE 30, 2023 AND 2022</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tbl>
      <w:tblPr>
        <w:tblW w:w="6446" w:type="dxa"/>
        <w:jc w:val="left"/>
        <w:tblInd w:w="0" w:type="dxa"/>
        <w:tblLayout w:type="fixed"/>
        <w:tblCellMar>
          <w:top w:w="28" w:type="dxa"/>
          <w:left w:w="28" w:type="dxa"/>
          <w:bottom w:w="28" w:type="dxa"/>
          <w:right w:w="28" w:type="dxa"/>
        </w:tblCellMar>
      </w:tblPr>
      <w:tblGrid>
        <w:gridCol w:w="353"/>
        <w:gridCol w:w="311"/>
        <w:gridCol w:w="312"/>
        <w:gridCol w:w="244"/>
        <w:gridCol w:w="893"/>
        <w:gridCol w:w="117"/>
        <w:gridCol w:w="117"/>
        <w:gridCol w:w="117"/>
        <w:gridCol w:w="117"/>
        <w:gridCol w:w="244"/>
        <w:gridCol w:w="893"/>
        <w:gridCol w:w="117"/>
        <w:gridCol w:w="109"/>
        <w:gridCol w:w="109"/>
        <w:gridCol w:w="109"/>
        <w:gridCol w:w="226"/>
        <w:gridCol w:w="796"/>
        <w:gridCol w:w="109"/>
        <w:gridCol w:w="109"/>
        <w:gridCol w:w="109"/>
        <w:gridCol w:w="109"/>
        <w:gridCol w:w="247"/>
        <w:gridCol w:w="248"/>
        <w:gridCol w:w="33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38,884 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43,162 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9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decreased by $4.3 million, or 10%, for the three months ended June 30, 2023 compared to the same period in 2022, primarily due to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713" w:type="dxa"/>
        <w:jc w:val="center"/>
        <w:tblInd w:w="0" w:type="dxa"/>
        <w:tblLayout w:type="fixed"/>
        <w:tblCellMar>
          <w:top w:w="28" w:type="dxa"/>
          <w:left w:w="28" w:type="dxa"/>
          <w:bottom w:w="28" w:type="dxa"/>
          <w:right w:w="28" w:type="dxa"/>
        </w:tblCellMar>
      </w:tblPr>
      <w:tblGrid>
        <w:gridCol w:w="759"/>
        <w:gridCol w:w="669"/>
        <w:gridCol w:w="671"/>
        <w:gridCol w:w="226"/>
        <w:gridCol w:w="826"/>
        <w:gridCol w:w="286"/>
        <w:gridCol w:w="109"/>
        <w:gridCol w:w="109"/>
        <w:gridCol w:w="109"/>
        <w:gridCol w:w="226"/>
        <w:gridCol w:w="826"/>
        <w:gridCol w:w="286"/>
        <w:gridCol w:w="109"/>
        <w:gridCol w:w="109"/>
        <w:gridCol w:w="109"/>
        <w:gridCol w:w="226"/>
        <w:gridCol w:w="796"/>
        <w:gridCol w:w="109"/>
        <w:gridCol w:w="109"/>
        <w:gridCol w:w="109"/>
        <w:gridCol w:w="109"/>
        <w:gridCol w:w="247"/>
        <w:gridCol w:w="248"/>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16,925 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15,876 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27,286 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increased by $1.0 million, or 7%, for the three months ended June 30, 2023 compared to the same period in 2022. Cost of revenue, net increased primarily due to increased outsourcing activities related to maintaining our platform. These increases were partially offset by an increase in Consideration from a vendor, net, driven primarily by the increased adoption and spend captured from members using the Expensify Card, which reduced Cost of revenue, net by $2.4 million and $1.5 million for the three months ended June 30, 2023 and 2022,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Gross margin decreased to 56% for the three months ended June 30, 2023 compared to 63% in the same period in 2022 primarily due to the decrease in Revenue due to the factors described in the preceding section.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OPERATING EXPENSES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8081" w:type="dxa"/>
        <w:jc w:val="left"/>
        <w:tblInd w:w="0" w:type="dxa"/>
        <w:tblLayout w:type="fixed"/>
        <w:tblCellMar>
          <w:top w:w="28" w:type="dxa"/>
          <w:left w:w="28" w:type="dxa"/>
          <w:bottom w:w="28" w:type="dxa"/>
          <w:right w:w="28" w:type="dxa"/>
        </w:tblCellMar>
      </w:tblPr>
      <w:tblGrid>
        <w:gridCol w:w="1010"/>
        <w:gridCol w:w="888"/>
        <w:gridCol w:w="892"/>
        <w:gridCol w:w="268"/>
        <w:gridCol w:w="839"/>
        <w:gridCol w:w="129"/>
        <w:gridCol w:w="129"/>
        <w:gridCol w:w="129"/>
        <w:gridCol w:w="129"/>
        <w:gridCol w:w="268"/>
        <w:gridCol w:w="839"/>
        <w:gridCol w:w="129"/>
        <w:gridCol w:w="109"/>
        <w:gridCol w:w="109"/>
        <w:gridCol w:w="109"/>
        <w:gridCol w:w="226"/>
        <w:gridCol w:w="706"/>
        <w:gridCol w:w="109"/>
        <w:gridCol w:w="109"/>
        <w:gridCol w:w="109"/>
        <w:gridCol w:w="109"/>
        <w:gridCol w:w="203"/>
        <w:gridCol w:w="203"/>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expenses increased by $1.5 million, or 42%, for the three months ended June 30, 2023 compared to the same period in 2022, primarily due to an increase in employee and external contributor time spent on project initiatives and new product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99440"/>
                <wp:effectExtent l="0" t="0" r="0" b="0"/>
                <wp:wrapNone/>
                <wp:docPr id="31" name="Frame3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8259" w:type="dxa"/>
        <w:jc w:val="center"/>
        <w:tblInd w:w="0" w:type="dxa"/>
        <w:tblLayout w:type="fixed"/>
        <w:tblCellMar>
          <w:top w:w="28" w:type="dxa"/>
          <w:left w:w="28" w:type="dxa"/>
          <w:bottom w:w="28" w:type="dxa"/>
          <w:right w:w="28" w:type="dxa"/>
        </w:tblCellMar>
      </w:tblPr>
      <w:tblGrid>
        <w:gridCol w:w="1010"/>
        <w:gridCol w:w="888"/>
        <w:gridCol w:w="891"/>
        <w:gridCol w:w="244"/>
        <w:gridCol w:w="893"/>
        <w:gridCol w:w="117"/>
        <w:gridCol w:w="117"/>
        <w:gridCol w:w="117"/>
        <w:gridCol w:w="117"/>
        <w:gridCol w:w="244"/>
        <w:gridCol w:w="893"/>
        <w:gridCol w:w="117"/>
        <w:gridCol w:w="109"/>
        <w:gridCol w:w="109"/>
        <w:gridCol w:w="109"/>
        <w:gridCol w:w="226"/>
        <w:gridCol w:w="796"/>
        <w:gridCol w:w="109"/>
        <w:gridCol w:w="109"/>
        <w:gridCol w:w="109"/>
        <w:gridCol w:w="109"/>
        <w:gridCol w:w="247"/>
        <w:gridCol w:w="24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decreased by $3.7 million, or 24%, for the three months ended June 30, 2023 compared to the same period in 2022, primarily due to a decrease in employee time allocated to administrative functions resulting from one-time planning and implementation activities incurred in 2022 for first year compliance with Section 404 of the Sarbanes-Oxley Act and other new public company requirements.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7421" w:type="dxa"/>
        <w:jc w:val="center"/>
        <w:tblInd w:w="0" w:type="dxa"/>
        <w:tblLayout w:type="fixed"/>
        <w:tblCellMar>
          <w:top w:w="28" w:type="dxa"/>
          <w:left w:w="28" w:type="dxa"/>
          <w:bottom w:w="28" w:type="dxa"/>
          <w:right w:w="28" w:type="dxa"/>
        </w:tblCellMar>
      </w:tblPr>
      <w:tblGrid>
        <w:gridCol w:w="772"/>
        <w:gridCol w:w="677"/>
        <w:gridCol w:w="681"/>
        <w:gridCol w:w="244"/>
        <w:gridCol w:w="893"/>
        <w:gridCol w:w="117"/>
        <w:gridCol w:w="117"/>
        <w:gridCol w:w="117"/>
        <w:gridCol w:w="117"/>
        <w:gridCol w:w="244"/>
        <w:gridCol w:w="893"/>
        <w:gridCol w:w="117"/>
        <w:gridCol w:w="109"/>
        <w:gridCol w:w="109"/>
        <w:gridCol w:w="109"/>
        <w:gridCol w:w="226"/>
        <w:gridCol w:w="706"/>
        <w:gridCol w:w="109"/>
        <w:gridCol w:w="109"/>
        <w:gridCol w:w="109"/>
        <w:gridCol w:w="109"/>
        <w:gridCol w:w="203"/>
        <w:gridCol w:w="203"/>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14,714 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increased by $2.5 million, or 20%, for the three months ended June 30, 2023 compared to the same period in 2022, primarily due to (i) an increase in outsourcing activities related to sales and product demos, and (ii) an increase in marketing event spend to gain further brand awareness. These increases were partially offset by a decrease in advertising spend.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Interest and Other Expenses, Net</w:t>
      </w:r>
    </w:p>
    <w:tbl>
      <w:tblPr>
        <w:tblW w:w="9795" w:type="dxa"/>
        <w:jc w:val="left"/>
        <w:tblInd w:w="0" w:type="dxa"/>
        <w:tblLayout w:type="fixed"/>
        <w:tblCellMar>
          <w:top w:w="28" w:type="dxa"/>
          <w:left w:w="28" w:type="dxa"/>
          <w:bottom w:w="28" w:type="dxa"/>
          <w:right w:w="28" w:type="dxa"/>
        </w:tblCellMar>
      </w:tblPr>
      <w:tblGrid>
        <w:gridCol w:w="1188"/>
        <w:gridCol w:w="1047"/>
        <w:gridCol w:w="1049"/>
        <w:gridCol w:w="250"/>
        <w:gridCol w:w="881"/>
        <w:gridCol w:w="120"/>
        <w:gridCol w:w="120"/>
        <w:gridCol w:w="120"/>
        <w:gridCol w:w="120"/>
        <w:gridCol w:w="250"/>
        <w:gridCol w:w="881"/>
        <w:gridCol w:w="120"/>
        <w:gridCol w:w="109"/>
        <w:gridCol w:w="109"/>
        <w:gridCol w:w="109"/>
        <w:gridCol w:w="226"/>
        <w:gridCol w:w="526"/>
        <w:gridCol w:w="109"/>
        <w:gridCol w:w="109"/>
        <w:gridCol w:w="109"/>
        <w:gridCol w:w="109"/>
        <w:gridCol w:w="247"/>
        <w:gridCol w:w="248"/>
        <w:gridCol w:w="286"/>
        <w:gridCol w:w="109"/>
        <w:gridCol w:w="109"/>
        <w:gridCol w:w="109"/>
        <w:gridCol w:w="109"/>
        <w:gridCol w:w="109"/>
        <w:gridCol w:w="109"/>
        <w:gridCol w:w="109"/>
        <w:gridCol w:w="109"/>
        <w:gridCol w:w="109"/>
        <w:gridCol w:w="109"/>
        <w:gridCol w:w="109"/>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Interest and other expenses, net decreased by $0.6 million, or 30%, for the three months ended June 30, 2023 compared to the same period in 2022, primarily due to a reduction in foreign currency losses, partially offset by an increase in interest expense incurred under the 2021 Amended Term Loan (as defined below) and revolving line of credit facility due to increases in CIBC's reference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99440"/>
                <wp:effectExtent l="0" t="0" r="0" b="0"/>
                <wp:wrapNone/>
                <wp:docPr id="32" name="Frame3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Income Taxes</w:t>
      </w:r>
    </w:p>
    <w:tbl>
      <w:tblPr>
        <w:tblW w:w="8110" w:type="dxa"/>
        <w:jc w:val="left"/>
        <w:tblInd w:w="0" w:type="dxa"/>
        <w:tblLayout w:type="fixed"/>
        <w:tblCellMar>
          <w:top w:w="28" w:type="dxa"/>
          <w:left w:w="28" w:type="dxa"/>
          <w:bottom w:w="28" w:type="dxa"/>
          <w:right w:w="28" w:type="dxa"/>
        </w:tblCellMar>
      </w:tblPr>
      <w:tblGrid>
        <w:gridCol w:w="989"/>
        <w:gridCol w:w="869"/>
        <w:gridCol w:w="871"/>
        <w:gridCol w:w="268"/>
        <w:gridCol w:w="732"/>
        <w:gridCol w:w="129"/>
        <w:gridCol w:w="129"/>
        <w:gridCol w:w="129"/>
        <w:gridCol w:w="129"/>
        <w:gridCol w:w="268"/>
        <w:gridCol w:w="947"/>
        <w:gridCol w:w="129"/>
        <w:gridCol w:w="109"/>
        <w:gridCol w:w="109"/>
        <w:gridCol w:w="109"/>
        <w:gridCol w:w="226"/>
        <w:gridCol w:w="706"/>
        <w:gridCol w:w="109"/>
        <w:gridCol w:w="109"/>
        <w:gridCol w:w="109"/>
        <w:gridCol w:w="109"/>
        <w:gridCol w:w="247"/>
        <w:gridCol w:w="248"/>
        <w:gridCol w:w="3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recorded a provision for income taxes of $0.4 million during the three months ended June 30, 2023 compared to a provision for income taxes of $2.1 million for the same period in 2022.</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June 30, 2023 and 2022, our effective income tax rate was (3.4)% and (34.8)%, respectively. The effective income tax rate differs from the statutory rate in 2023 primarily due to non-deductible stock-based compensation, Section 162(m) of the Internal Revenue Code ("IRC") compensation limitations, and the change in valuation allowance. The effective income tax rate differs from the statutory rate in 2022 primarily due to the change in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COMPARISON OF THE SIX MONTHS ENDED JUNE 30, 2023 and 2022</w:t>
      </w:r>
    </w:p>
    <w:tbl>
      <w:tblPr>
        <w:tblW w:w="6116" w:type="dxa"/>
        <w:jc w:val="left"/>
        <w:tblInd w:w="0" w:type="dxa"/>
        <w:tblLayout w:type="fixed"/>
        <w:tblCellMar>
          <w:top w:w="28" w:type="dxa"/>
          <w:left w:w="28" w:type="dxa"/>
          <w:bottom w:w="28" w:type="dxa"/>
          <w:right w:w="28" w:type="dxa"/>
        </w:tblCellMar>
      </w:tblPr>
      <w:tblGrid>
        <w:gridCol w:w="353"/>
        <w:gridCol w:w="311"/>
        <w:gridCol w:w="312"/>
        <w:gridCol w:w="226"/>
        <w:gridCol w:w="826"/>
        <w:gridCol w:w="109"/>
        <w:gridCol w:w="109"/>
        <w:gridCol w:w="109"/>
        <w:gridCol w:w="109"/>
        <w:gridCol w:w="226"/>
        <w:gridCol w:w="826"/>
        <w:gridCol w:w="109"/>
        <w:gridCol w:w="109"/>
        <w:gridCol w:w="109"/>
        <w:gridCol w:w="109"/>
        <w:gridCol w:w="226"/>
        <w:gridCol w:w="796"/>
        <w:gridCol w:w="109"/>
        <w:gridCol w:w="109"/>
        <w:gridCol w:w="109"/>
        <w:gridCol w:w="109"/>
        <w:gridCol w:w="187"/>
        <w:gridCol w:w="188"/>
        <w:gridCol w:w="33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9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decreased by $4.5 million, or 5%, for the six months ended June 30, 2023 compared to the same period in 2022, primarily due to (i)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713" w:type="dxa"/>
        <w:jc w:val="center"/>
        <w:tblInd w:w="0" w:type="dxa"/>
        <w:tblLayout w:type="fixed"/>
        <w:tblCellMar>
          <w:top w:w="28" w:type="dxa"/>
          <w:left w:w="28" w:type="dxa"/>
          <w:bottom w:w="28" w:type="dxa"/>
          <w:right w:w="28" w:type="dxa"/>
        </w:tblCellMar>
      </w:tblPr>
      <w:tblGrid>
        <w:gridCol w:w="759"/>
        <w:gridCol w:w="669"/>
        <w:gridCol w:w="671"/>
        <w:gridCol w:w="226"/>
        <w:gridCol w:w="826"/>
        <w:gridCol w:w="286"/>
        <w:gridCol w:w="109"/>
        <w:gridCol w:w="109"/>
        <w:gridCol w:w="109"/>
        <w:gridCol w:w="226"/>
        <w:gridCol w:w="826"/>
        <w:gridCol w:w="286"/>
        <w:gridCol w:w="109"/>
        <w:gridCol w:w="109"/>
        <w:gridCol w:w="109"/>
        <w:gridCol w:w="226"/>
        <w:gridCol w:w="796"/>
        <w:gridCol w:w="109"/>
        <w:gridCol w:w="109"/>
        <w:gridCol w:w="109"/>
        <w:gridCol w:w="109"/>
        <w:gridCol w:w="247"/>
        <w:gridCol w:w="248"/>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32,700 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30,010 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46,285 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53,522 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increased by $2.7 million, or 9%, for the six months ended June 30, 2023 compared to the same period in 2022. Cost of revenue, net increased primarily due to increased outsourcing activities related to maintaining our platform. These increases were partially offset by an increase in Consideration from a vendor, net, driven primarily by the increased adoption and spend captured from members using the Expensify Card, which reduced Cost of revenue, net by $4.5 million and $2.7 million for the six months ended June 30, 2023 and 2022,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Gross margin decreased to 59% for the six months ended June 30, 2023 compared to 64% in the same period in 2022. Although revenue decreased by 5% for the same period, Cost of revenue, net, increased at a higher rate due to the factors described in the preceding paragraph.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99440"/>
                <wp:effectExtent l="0" t="0" r="0" b="0"/>
                <wp:wrapNone/>
                <wp:docPr id="33" name="Frame3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7845" w:type="dxa"/>
        <w:jc w:val="left"/>
        <w:tblInd w:w="0" w:type="dxa"/>
        <w:tblLayout w:type="fixed"/>
        <w:tblCellMar>
          <w:top w:w="28" w:type="dxa"/>
          <w:left w:w="28" w:type="dxa"/>
          <w:bottom w:w="28" w:type="dxa"/>
          <w:right w:w="28" w:type="dxa"/>
        </w:tblCellMar>
      </w:tblPr>
      <w:tblGrid>
        <w:gridCol w:w="1010"/>
        <w:gridCol w:w="888"/>
        <w:gridCol w:w="892"/>
        <w:gridCol w:w="234"/>
        <w:gridCol w:w="857"/>
        <w:gridCol w:w="113"/>
        <w:gridCol w:w="113"/>
        <w:gridCol w:w="113"/>
        <w:gridCol w:w="113"/>
        <w:gridCol w:w="234"/>
        <w:gridCol w:w="733"/>
        <w:gridCol w:w="113"/>
        <w:gridCol w:w="109"/>
        <w:gridCol w:w="109"/>
        <w:gridCol w:w="109"/>
        <w:gridCol w:w="226"/>
        <w:gridCol w:w="706"/>
        <w:gridCol w:w="109"/>
        <w:gridCol w:w="109"/>
        <w:gridCol w:w="109"/>
        <w:gridCol w:w="109"/>
        <w:gridCol w:w="203"/>
        <w:gridCol w:w="203"/>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expenses increased by $3.2 million, or 44%, for the six months ended June 30, 2023 compared to the same period in 2022, primarily due to an increase in employee and external contributor time spent on project initiatives and new product features.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8049" w:type="dxa"/>
        <w:jc w:val="center"/>
        <w:tblInd w:w="0" w:type="dxa"/>
        <w:tblLayout w:type="fixed"/>
        <w:tblCellMar>
          <w:top w:w="28" w:type="dxa"/>
          <w:left w:w="28" w:type="dxa"/>
          <w:bottom w:w="28" w:type="dxa"/>
          <w:right w:w="28" w:type="dxa"/>
        </w:tblCellMar>
      </w:tblPr>
      <w:tblGrid>
        <w:gridCol w:w="1010"/>
        <w:gridCol w:w="888"/>
        <w:gridCol w:w="891"/>
        <w:gridCol w:w="226"/>
        <w:gridCol w:w="826"/>
        <w:gridCol w:w="109"/>
        <w:gridCol w:w="109"/>
        <w:gridCol w:w="109"/>
        <w:gridCol w:w="109"/>
        <w:gridCol w:w="226"/>
        <w:gridCol w:w="826"/>
        <w:gridCol w:w="109"/>
        <w:gridCol w:w="109"/>
        <w:gridCol w:w="109"/>
        <w:gridCol w:w="109"/>
        <w:gridCol w:w="226"/>
        <w:gridCol w:w="796"/>
        <w:gridCol w:w="109"/>
        <w:gridCol w:w="109"/>
        <w:gridCol w:w="109"/>
        <w:gridCol w:w="109"/>
        <w:gridCol w:w="247"/>
        <w:gridCol w:w="24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decreased by $5.3 million, or 18%, for the six months ended June 30, 2023 compared to the same period in 2022, primarily due to a decrease in employee time allocated to administrative functions resulting from one-time planning and implementation activities incurred in 2022 for first year compliance with Section 404 of the Sarbanes-Oxley Act and other new public company requirements.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7270" w:type="dxa"/>
        <w:jc w:val="center"/>
        <w:tblInd w:w="0" w:type="dxa"/>
        <w:tblLayout w:type="fixed"/>
        <w:tblCellMar>
          <w:top w:w="28" w:type="dxa"/>
          <w:left w:w="28" w:type="dxa"/>
          <w:bottom w:w="28" w:type="dxa"/>
          <w:right w:w="28" w:type="dxa"/>
        </w:tblCellMar>
      </w:tblPr>
      <w:tblGrid>
        <w:gridCol w:w="772"/>
        <w:gridCol w:w="677"/>
        <w:gridCol w:w="681"/>
        <w:gridCol w:w="226"/>
        <w:gridCol w:w="826"/>
        <w:gridCol w:w="109"/>
        <w:gridCol w:w="109"/>
        <w:gridCol w:w="109"/>
        <w:gridCol w:w="109"/>
        <w:gridCol w:w="226"/>
        <w:gridCol w:w="826"/>
        <w:gridCol w:w="109"/>
        <w:gridCol w:w="109"/>
        <w:gridCol w:w="109"/>
        <w:gridCol w:w="109"/>
        <w:gridCol w:w="226"/>
        <w:gridCol w:w="796"/>
        <w:gridCol w:w="109"/>
        <w:gridCol w:w="109"/>
        <w:gridCol w:w="109"/>
        <w:gridCol w:w="109"/>
        <w:gridCol w:w="187"/>
        <w:gridCol w:w="188"/>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Sales and marketing expenses decreased by $1.7 million, or 7%, for the six months ended June 30, 2023 compared to the same period in 2022, primarily due to a decrease in advertising spend partially offset by (i) an increase in outsourcing activities related to sales and product demos, and (ii) marketing event spend to gain further brand awareness.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Interest and Other Expenses, Net</w:t>
      </w:r>
    </w:p>
    <w:tbl>
      <w:tblPr>
        <w:tblW w:w="8107" w:type="dxa"/>
        <w:jc w:val="left"/>
        <w:tblInd w:w="0" w:type="dxa"/>
        <w:tblLayout w:type="fixed"/>
        <w:tblCellMar>
          <w:top w:w="28" w:type="dxa"/>
          <w:left w:w="28" w:type="dxa"/>
          <w:bottom w:w="28" w:type="dxa"/>
          <w:right w:w="28" w:type="dxa"/>
        </w:tblCellMar>
      </w:tblPr>
      <w:tblGrid>
        <w:gridCol w:w="1188"/>
        <w:gridCol w:w="1047"/>
        <w:gridCol w:w="1049"/>
        <w:gridCol w:w="229"/>
        <w:gridCol w:w="807"/>
        <w:gridCol w:w="110"/>
        <w:gridCol w:w="110"/>
        <w:gridCol w:w="110"/>
        <w:gridCol w:w="110"/>
        <w:gridCol w:w="229"/>
        <w:gridCol w:w="807"/>
        <w:gridCol w:w="110"/>
        <w:gridCol w:w="109"/>
        <w:gridCol w:w="109"/>
        <w:gridCol w:w="109"/>
        <w:gridCol w:w="256"/>
        <w:gridCol w:w="460"/>
        <w:gridCol w:w="125"/>
        <w:gridCol w:w="109"/>
        <w:gridCol w:w="109"/>
        <w:gridCol w:w="109"/>
        <w:gridCol w:w="187"/>
        <w:gridCol w:w="188"/>
        <w:gridCol w:w="331"/>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2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Interest and other expenses, net decreased by $0.1 million, or 3%, for the six months ended June 30, 2023 compared to the same period in 2022, primarily due to a reduction in foreign currency losses partially offset by an increase in interest expense incurred under the 2021 Amended Term Loan (as defined below) and revolving line of credit facility due to increases in CIBC's reference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99440"/>
                <wp:effectExtent l="0" t="0" r="0" b="0"/>
                <wp:wrapNone/>
                <wp:docPr id="34" name="Frame3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Income Taxes</w:t>
      </w:r>
    </w:p>
    <w:tbl>
      <w:tblPr>
        <w:tblW w:w="7872" w:type="dxa"/>
        <w:jc w:val="left"/>
        <w:tblInd w:w="0" w:type="dxa"/>
        <w:tblLayout w:type="fixed"/>
        <w:tblCellMar>
          <w:top w:w="28" w:type="dxa"/>
          <w:left w:w="28" w:type="dxa"/>
          <w:bottom w:w="28" w:type="dxa"/>
          <w:right w:w="28" w:type="dxa"/>
        </w:tblCellMar>
      </w:tblPr>
      <w:tblGrid>
        <w:gridCol w:w="989"/>
        <w:gridCol w:w="869"/>
        <w:gridCol w:w="871"/>
        <w:gridCol w:w="229"/>
        <w:gridCol w:w="807"/>
        <w:gridCol w:w="110"/>
        <w:gridCol w:w="110"/>
        <w:gridCol w:w="110"/>
        <w:gridCol w:w="110"/>
        <w:gridCol w:w="229"/>
        <w:gridCol w:w="807"/>
        <w:gridCol w:w="110"/>
        <w:gridCol w:w="109"/>
        <w:gridCol w:w="109"/>
        <w:gridCol w:w="109"/>
        <w:gridCol w:w="226"/>
        <w:gridCol w:w="706"/>
        <w:gridCol w:w="109"/>
        <w:gridCol w:w="109"/>
        <w:gridCol w:w="109"/>
        <w:gridCol w:w="109"/>
        <w:gridCol w:w="247"/>
        <w:gridCol w:w="248"/>
        <w:gridCol w:w="3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(3,697)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recorded a provision for income taxes of $2.2 million during the six months ended June 30, 2023 compared to a provision for income taxes of $3.7 million for the same period in 2022.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six months ended June 30, 2023 and 2022, our effective income tax rate was (14.6)% and (31.7)%, respectively. The effective income tax rate differs from the statutory rate in 2023 primarily due to non-deductible stock-based compensation, Section 162(m) of the IRC compensation limitations, and the change in valuation allowance. The effective income tax rate differs from the statutory rate in 2022 primarily due to the change in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Key Business Metrics and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KEY BUSINESS METRICS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Paid Members</w:t>
      </w:r>
    </w:p>
    <w:p>
      <w:pPr>
        <w:pStyle w:val="TextBody"/>
        <w:bidi w:val="0"/>
        <w:spacing w:lineRule="auto" w:line="288" w:before="0" w:after="160"/>
        <w:jc w:val="left"/>
        <w:rPr/>
      </w:pPr>
      <w:r>
        <w:rPr>
          <w:rFonts w:ascii="Expensify Neue;sans-serif" w:hAnsi="Expensify Neue;sans-serif"/>
          <w:b w:val="false"/>
          <w:color w:val="000000"/>
          <w:sz w:val="20"/>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or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plans during any particular quarter. For small and medium businesses ("SMBs") or sole proprietors with only one employee, the business owner may also be the only paid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average number of paid members (in thousands):</w:t>
      </w:r>
    </w:p>
    <w:tbl>
      <w:tblPr>
        <w:tblW w:w="3837" w:type="dxa"/>
        <w:jc w:val="left"/>
        <w:tblInd w:w="0" w:type="dxa"/>
        <w:tblLayout w:type="fixed"/>
        <w:tblCellMar>
          <w:top w:w="28" w:type="dxa"/>
          <w:left w:w="28" w:type="dxa"/>
          <w:bottom w:w="28" w:type="dxa"/>
          <w:right w:w="28" w:type="dxa"/>
        </w:tblCellMar>
      </w:tblPr>
      <w:tblGrid>
        <w:gridCol w:w="744"/>
        <w:gridCol w:w="654"/>
        <w:gridCol w:w="657"/>
        <w:gridCol w:w="109"/>
        <w:gridCol w:w="109"/>
        <w:gridCol w:w="109"/>
        <w:gridCol w:w="426"/>
        <w:gridCol w:w="426"/>
        <w:gridCol w:w="603"/>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Paid members</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742</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754</w:t>
            </w:r>
          </w:p>
        </w:tc>
      </w:tr>
      <w:tr>
        <w:trPr/>
        <w:tc>
          <w:tcPr>
            <w:tcW w:w="20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99440"/>
                <wp:effectExtent l="0" t="0" r="0" b="0"/>
                <wp:wrapNone/>
                <wp:docPr id="35" name="Frame35"/>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NON-GAAP FINANCIAL MEASURES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Limitations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Adjusted EBITDA and Adjusted EBITDA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adjusted EBITDA as net loss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tbl>
      <w:tblPr>
        <w:tblW w:w="8763" w:type="dxa"/>
        <w:jc w:val="left"/>
        <w:tblInd w:w="0" w:type="dxa"/>
        <w:tblLayout w:type="fixed"/>
        <w:tblCellMar>
          <w:top w:w="28" w:type="dxa"/>
          <w:left w:w="28" w:type="dxa"/>
          <w:bottom w:w="28" w:type="dxa"/>
          <w:right w:w="28" w:type="dxa"/>
        </w:tblCellMar>
      </w:tblPr>
      <w:tblGrid>
        <w:gridCol w:w="906"/>
        <w:gridCol w:w="798"/>
        <w:gridCol w:w="801"/>
        <w:gridCol w:w="226"/>
        <w:gridCol w:w="706"/>
        <w:gridCol w:w="286"/>
        <w:gridCol w:w="109"/>
        <w:gridCol w:w="109"/>
        <w:gridCol w:w="109"/>
        <w:gridCol w:w="226"/>
        <w:gridCol w:w="826"/>
        <w:gridCol w:w="286"/>
        <w:gridCol w:w="109"/>
        <w:gridCol w:w="109"/>
        <w:gridCol w:w="109"/>
        <w:gridCol w:w="226"/>
        <w:gridCol w:w="826"/>
        <w:gridCol w:w="286"/>
        <w:gridCol w:w="109"/>
        <w:gridCol w:w="109"/>
        <w:gridCol w:w="109"/>
        <w:gridCol w:w="226"/>
        <w:gridCol w:w="826"/>
        <w:gridCol w:w="331"/>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10,869 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22,346 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5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Non-GAAP Net Income and Non-GAAP Net Income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non-GAAP net income as net loss from operations in accordance with GAAP excluding stock-based compensation.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tbl>
      <w:tblPr>
        <w:tblW w:w="9744" w:type="dxa"/>
        <w:jc w:val="left"/>
        <w:tblInd w:w="0" w:type="dxa"/>
        <w:tblLayout w:type="fixed"/>
        <w:tblCellMar>
          <w:top w:w="28" w:type="dxa"/>
          <w:left w:w="28" w:type="dxa"/>
          <w:bottom w:w="28" w:type="dxa"/>
          <w:right w:w="28" w:type="dxa"/>
        </w:tblCellMar>
      </w:tblPr>
      <w:tblGrid>
        <w:gridCol w:w="1315"/>
        <w:gridCol w:w="1153"/>
        <w:gridCol w:w="1161"/>
        <w:gridCol w:w="242"/>
        <w:gridCol w:w="660"/>
        <w:gridCol w:w="306"/>
        <w:gridCol w:w="116"/>
        <w:gridCol w:w="116"/>
        <w:gridCol w:w="116"/>
        <w:gridCol w:w="242"/>
        <w:gridCol w:w="756"/>
        <w:gridCol w:w="306"/>
        <w:gridCol w:w="109"/>
        <w:gridCol w:w="109"/>
        <w:gridCol w:w="109"/>
        <w:gridCol w:w="226"/>
        <w:gridCol w:w="706"/>
        <w:gridCol w:w="286"/>
        <w:gridCol w:w="109"/>
        <w:gridCol w:w="109"/>
        <w:gridCol w:w="109"/>
        <w:gridCol w:w="226"/>
        <w:gridCol w:w="826"/>
        <w:gridCol w:w="331"/>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(loss) income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6,054 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13,058 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(loss) income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99440"/>
                <wp:effectExtent l="0" t="0" r="0" b="0"/>
                <wp:wrapNone/>
                <wp:docPr id="36" name="Frame3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Reconciliations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tables reconcile the most directly comparable GAAP financial measure to each of these non-GAAP financial measures.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Adjusted EBITDA and Adjusted EBITDA Margin</w:t>
      </w:r>
    </w:p>
    <w:tbl>
      <w:tblPr>
        <w:tblW w:w="10205" w:type="dxa"/>
        <w:jc w:val="left"/>
        <w:tblInd w:w="0" w:type="dxa"/>
        <w:tblLayout w:type="fixed"/>
        <w:tblCellMar>
          <w:top w:w="28" w:type="dxa"/>
          <w:left w:w="28" w:type="dxa"/>
          <w:bottom w:w="28" w:type="dxa"/>
          <w:right w:w="28" w:type="dxa"/>
        </w:tblCellMar>
      </w:tblPr>
      <w:tblGrid>
        <w:gridCol w:w="1309"/>
        <w:gridCol w:w="1124"/>
        <w:gridCol w:w="1132"/>
        <w:gridCol w:w="226"/>
        <w:gridCol w:w="913"/>
        <w:gridCol w:w="286"/>
        <w:gridCol w:w="109"/>
        <w:gridCol w:w="109"/>
        <w:gridCol w:w="109"/>
        <w:gridCol w:w="226"/>
        <w:gridCol w:w="826"/>
        <w:gridCol w:w="286"/>
        <w:gridCol w:w="109"/>
        <w:gridCol w:w="109"/>
        <w:gridCol w:w="109"/>
        <w:gridCol w:w="226"/>
        <w:gridCol w:w="913"/>
        <w:gridCol w:w="286"/>
        <w:gridCol w:w="109"/>
        <w:gridCol w:w="109"/>
        <w:gridCol w:w="109"/>
        <w:gridCol w:w="226"/>
        <w:gridCol w:w="913"/>
        <w:gridCol w:w="332"/>
      </w:tblGrid>
      <w:tr>
        <w:trPr/>
        <w:tc>
          <w:tcPr>
            <w:tcW w:w="13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5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(11,304)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(7,994)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(17,249)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(15,370)</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3,697 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2,856 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Depreciation and amortization</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2,735 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20,345 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28,428 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11,656 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10,869 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22,346 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Non-GAAP Net Income and Non-GAAP Net Income Margin</w:t>
      </w:r>
    </w:p>
    <w:tbl>
      <w:tblPr>
        <w:tblW w:w="10205" w:type="dxa"/>
        <w:jc w:val="left"/>
        <w:tblInd w:w="0" w:type="dxa"/>
        <w:tblLayout w:type="fixed"/>
        <w:tblCellMar>
          <w:top w:w="28" w:type="dxa"/>
          <w:left w:w="28" w:type="dxa"/>
          <w:bottom w:w="28" w:type="dxa"/>
          <w:right w:w="28" w:type="dxa"/>
        </w:tblCellMar>
      </w:tblPr>
      <w:tblGrid>
        <w:gridCol w:w="1302"/>
        <w:gridCol w:w="1141"/>
        <w:gridCol w:w="1150"/>
        <w:gridCol w:w="226"/>
        <w:gridCol w:w="914"/>
        <w:gridCol w:w="286"/>
        <w:gridCol w:w="109"/>
        <w:gridCol w:w="109"/>
        <w:gridCol w:w="109"/>
        <w:gridCol w:w="226"/>
        <w:gridCol w:w="794"/>
        <w:gridCol w:w="286"/>
        <w:gridCol w:w="109"/>
        <w:gridCol w:w="109"/>
        <w:gridCol w:w="109"/>
        <w:gridCol w:w="226"/>
        <w:gridCol w:w="914"/>
        <w:gridCol w:w="286"/>
        <w:gridCol w:w="109"/>
        <w:gridCol w:w="109"/>
        <w:gridCol w:w="109"/>
        <w:gridCol w:w="226"/>
        <w:gridCol w:w="914"/>
        <w:gridCol w:w="333"/>
      </w:tblGrid>
      <w:tr>
        <w:trP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r>
      <w:tr>
        <w:trPr/>
        <w:tc>
          <w:tcPr>
            <w:tcW w:w="3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(11,304)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(7,994)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(17,249)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(15,370)</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20,345 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28,428 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(loss)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13,058 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(loss) income margin</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5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Liquidity and Capital Resources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June 30, 2023, we had $97.8 million in cash and cash equivalents. As of June 30, 2023, we had $59.0 million in outstanding indebtedness.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99440"/>
                <wp:effectExtent l="0" t="0" r="0" b="0"/>
                <wp:wrapNone/>
                <wp:docPr id="37" name="Frame3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our cash flows for the periods indicated:</w:t>
      </w:r>
    </w:p>
    <w:tbl>
      <w:tblPr>
        <w:tblW w:w="10205" w:type="dxa"/>
        <w:jc w:val="left"/>
        <w:tblInd w:w="0" w:type="dxa"/>
        <w:tblLayout w:type="fixed"/>
        <w:tblCellMar>
          <w:top w:w="28" w:type="dxa"/>
          <w:left w:w="28" w:type="dxa"/>
          <w:bottom w:w="28" w:type="dxa"/>
          <w:right w:w="28" w:type="dxa"/>
        </w:tblCellMar>
      </w:tblPr>
      <w:tblGrid>
        <w:gridCol w:w="2615"/>
        <w:gridCol w:w="2290"/>
        <w:gridCol w:w="2303"/>
        <w:gridCol w:w="226"/>
        <w:gridCol w:w="797"/>
        <w:gridCol w:w="109"/>
        <w:gridCol w:w="109"/>
        <w:gridCol w:w="109"/>
        <w:gridCol w:w="109"/>
        <w:gridCol w:w="226"/>
        <w:gridCol w:w="827"/>
        <w:gridCol w:w="109"/>
        <w:gridCol w:w="109"/>
        <w:gridCol w:w="109"/>
        <w:gridCol w:w="158"/>
      </w:tblGrid>
      <w:tr>
        <w:trPr/>
        <w:tc>
          <w:tcPr>
            <w:tcW w:w="261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Six Months Ended June 30,</w:t>
            </w:r>
          </w:p>
        </w:tc>
        <w:tc>
          <w:tcPr>
            <w:tcW w:w="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provided by financing activities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(decrease) increase in cash and cash equivalents and restricted cash</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 FROM OPERATING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 was $7.2 million for the six months ended June 30, 2023 compared to $27.2 million for the same period in 2022. The decrease was primarily due to a reduction in funds held for customers due to the timing of expense reimbursement activity, a decrease in revenue, increased outsourcing activities related to maintaining our platform, increased outsourcing activities related to sales and product demos, increased marketing event spend to gain further brand awareness, and a higher volume of payment processing fees directly related to an increase in reimbursement activity, partially offset by a decrease in advertising spend.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 FROM INVESTING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six months ended June 30, 2023, net cash used in investing activities was $2.5 million, primarily consisting of software development costs and the purchase of property and equipment.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Net cash used in investing activities increased for the six months ended June 30, 2023 compared to the same period in 2022, primarily due to an increase in employee and external contributor software development costs.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 FROM FINANCING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the six months ended June 30, 2023, net cash used in financing activities was $11.0 million, primarily consisting of principal payments on the term loan, the repurchase and retirement of common stock, and payments for employees taxes withheld from stock-based awards, which was partially offset by proceeds from common stock purchased under the Company's 2021 Stock Purchase and Matching Plan ("Matching Plan").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six months ended June 30, 2022 net cash provided by financing activities primarily consisted of proceeds from common stock purchased under the Matching Plan and proceeds from the issuance of common stock on exercises of stock options, which was partially offset by principal payments on our term loan and finance leases.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Amortizing Term Mortgage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August 2019, we entered into an $8.3 million amortizing term mortgage agreement with CIBC for our commercial building in Portland, Oregon. The agreement requires interest and principal payments be made each month over a 30-year period. Interest accrues at a fixed rate of 5.00% per year until August 2024, at which point the interest rate changes to the Wall Street Journal Prime Rate less 0.25% for the remaining term of the mortgage. The borrowings are secured by the building. The outstanding balance of the amortizing term mortgage was $7.8 million as of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99440"/>
                <wp:effectExtent l="0" t="0" r="0" b="0"/>
                <wp:wrapNone/>
                <wp:docPr id="38" name="Frame3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Loan and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September 2021, we amended and restated our loan and security agreement with CIBC ("2021 Amended Term Loan") to refinance the existing non-amortizing and amortizing term loans, establish a single term loan of up to $75.0 million, consisting of a $45.0 million initial term loan effective immediately with an option to enter into an additional $30.0 million delayed term loan, and increase the monthly revolving line of credit to $25.0 million. The option for the delayed term loan expired in March 2023.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our normal business operations.</w:t>
      </w:r>
    </w:p>
    <w:p>
      <w:pPr>
        <w:pStyle w:val="TextBody"/>
        <w:bidi w:val="0"/>
        <w:spacing w:lineRule="auto" w:line="288" w:before="0" w:after="160"/>
        <w:jc w:val="left"/>
        <w:rPr/>
      </w:pPr>
      <w:r>
        <w:rPr>
          <w:rFonts w:ascii="Expensify Neue;sans-serif" w:hAnsi="Expensify Neue;sans-serif"/>
          <w:b w:val="false"/>
          <w:color w:val="000000"/>
          <w:sz w:val="20"/>
        </w:rPr>
        <w:t>Under the 2021 Amended Term Loan, the initial term loan of $45.0 million is payable over a 60 month period with principal and accrued interest payments due each quarter thereafter, which commenced with the first payment due on September 30, 2021. Quarterly principal payments are fixed and escalate throughout the term. The amounts borrowed bear interest at the bank’s reference rate plus 2.25% (10.50%</w:t>
      </w:r>
      <w:r>
        <w:rPr>
          <w:color w:val="000000"/>
          <w:shd w:fill="FFFFFF" w:val="clear"/>
        </w:rPr>
        <w:t xml:space="preserve"> </w:t>
      </w:r>
      <w:r>
        <w:rPr>
          <w:rFonts w:ascii="Expensify Neue;sans-serif" w:hAnsi="Expensify Neue;sans-serif"/>
          <w:b w:val="false"/>
          <w:color w:val="000000"/>
          <w:sz w:val="20"/>
        </w:rPr>
        <w:t xml:space="preserve">as of June 30, 2023) and continue on a quarterly basis through the maturity of the term loan. The borrowings are secured by substantially all our assets. The outstanding balances of the 2021 Amended Term Loan and revolving line of credit were $36.2 million and $15.0 million, respectively, as of June 30, 2023.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See Note 4 to our condensed consolidated financial statements included elsewhere in this Quarterly Report on Form 10-Q for further information.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Certain Covenants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are subject to customary covenants under the 2021 Amended Term Loan,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EBITDA net leverage ratio, as defined in the 2021 Amended Term Loan,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1.00, tested on the last day of each calendar quarter.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June 30, 2023, the Company was not in compliance with all debt covenants, specifically the covenant restricting the amount of repurchases of common stock, which includes RSU net share settlements, and the covenant related to the requirement to maintain all deposit, operating and collateral accounts with CIBC with certain exceptions during the period. A waiver was obtained from CIBC. The Company does not believe non-compliance with this covenant had any material impact on the Company or its operations. The Company expects to be in compliance with all debt covenants, or to have received waivers for any non-compliance, by the end of the fiscal quarter ending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Contractual Obligations and Commitments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June 30, 2023, there have been no material changes in our contractual obligations and commitments as disclosed in our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99440"/>
                <wp:effectExtent l="0" t="0" r="0" b="0"/>
                <wp:wrapNone/>
                <wp:docPr id="39" name="Frame3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 xml:space="preserve">Indemnification Agreements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Off-Balance Sheet Arrangements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Critical Accounting Policies and Estimates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to our critical accounting policies and estimates as compared to those described in Part II, Item 7. “Management’s Discussion and Analysis of Financial Condition and Results of Operations” included in our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Expensify Neue;sans-serif" w:hAnsi="Expensify Neue;sans-serif"/>
          <w:b/>
          <w:color w:val="000000"/>
          <w:sz w:val="32"/>
        </w:rPr>
        <w:t>Recent Accounting Pronouncements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Note 1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Emerging Growth Company Status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Upon the completion of our IPO, we elected to be an emerging growth company ("EGC"), as defined in the Jumpstart Our Business Startups Act of 2012, which, among other things, allowed us to take advantage of reduced disclosure requirements and an extended transition period for the implementation of new or revised accounting pronouncements. </w:t>
      </w:r>
    </w:p>
    <w:p>
      <w:pPr>
        <w:pStyle w:val="TextBody"/>
        <w:bidi w:val="0"/>
        <w:spacing w:lineRule="auto" w:line="288" w:before="0" w:after="160"/>
        <w:jc w:val="left"/>
        <w:rPr/>
      </w:pPr>
      <w:r>
        <w:rPr>
          <w:rFonts w:ascii="Expensify Neue;sans-serif" w:hAnsi="Expensify Neue;sans-serif"/>
          <w:b w:val="false"/>
          <w:color w:val="000000"/>
          <w:sz w:val="20"/>
        </w:rPr>
        <w:t xml:space="preserve">Effective December 31, 2022, based on the market value of our common stock held by non-affiliates as of June 30, 2022, we were deemed to be a large accelerated filer and no longer qualified as an EGC. As a result, we must now comply with all financial disclosure and governance requirements applicable to large accelerated filers. </w:t>
      </w:r>
      <w:r>
        <w:rPr>
          <w:rFonts w:ascii="Expensify Neue;sans-serif" w:hAnsi="Expensify Neue;sans-serif"/>
          <w:b w:val="false"/>
          <w:color w:val="000000"/>
          <w:sz w:val="20"/>
          <w:shd w:fill="FFFFFF" w:val="clear"/>
        </w:rPr>
        <w:t xml:space="preserve">The effect of the loss of EGC status and the impact on the adoption of new accounting pronouncements is discussed further in </w:t>
      </w:r>
      <w:r>
        <w:rPr>
          <w:rFonts w:ascii="Expensify Neue;sans-serif" w:hAnsi="Expensify Neue;sans-serif"/>
          <w:b w:val="false"/>
          <w:color w:val="000000"/>
          <w:sz w:val="20"/>
        </w:rPr>
        <w:t>Note 2 to our consolidated financial statements in our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99440"/>
                <wp:effectExtent l="0" t="0" r="0" b="0"/>
                <wp:wrapNone/>
                <wp:docPr id="40" name="Frame4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3. Quantitative and Qualitative Disclosures About Market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in our market risk from the disclosure included under Part II, Item 7A. “Quantitative and Qualitative Disclosures About Market Risk” in our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4. Controls and Procedures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EVALUATION OF DISCLOSURE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Based on such evaluation, our chief executive officer and chief financial officer have concluded that as of June 30, 2023, our disclosure controls and procedures were effective at a reasonable assurance level.</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CHANGES IN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LIMITATIONS OF EFFECTIVENESS OF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99440"/>
                <wp:effectExtent l="0" t="0" r="0" b="0"/>
                <wp:wrapNone/>
                <wp:docPr id="41" name="Frame4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 Legal Proceedings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1A. Risk Factors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to the risk factors set forth in Part I, Item IA. "Risk Factors" of our 2022 Annual Report. You should carefully read and consider the risks and uncertainties, together with all of the other information included in the 2022 Annual Report and this Quarterly Report on Form 10-Q, including the section titled “Management’s Discussion and Analysis of Financial Condition and Results of Operations” and our condensed consolidated financial statements and related notes, and other documents that we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2. Unregistered Sales of Equity Securities and Use of Proceeds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ISSUER PURCHASE OF EQUITY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information regarding our purchases of shares of Class A common stock during the three months ended June 30, 2023.</w:t>
      </w:r>
    </w:p>
    <w:tbl>
      <w:tblPr>
        <w:tblW w:w="10205" w:type="dxa"/>
        <w:jc w:val="left"/>
        <w:tblInd w:w="0" w:type="dxa"/>
        <w:tblLayout w:type="fixed"/>
        <w:tblCellMar>
          <w:top w:w="28" w:type="dxa"/>
          <w:left w:w="28" w:type="dxa"/>
          <w:bottom w:w="28" w:type="dxa"/>
          <w:right w:w="28" w:type="dxa"/>
        </w:tblCellMar>
      </w:tblPr>
      <w:tblGrid>
        <w:gridCol w:w="707"/>
        <w:gridCol w:w="272"/>
        <w:gridCol w:w="266"/>
        <w:gridCol w:w="482"/>
        <w:gridCol w:w="482"/>
        <w:gridCol w:w="483"/>
        <w:gridCol w:w="109"/>
        <w:gridCol w:w="109"/>
        <w:gridCol w:w="109"/>
        <w:gridCol w:w="557"/>
        <w:gridCol w:w="1446"/>
        <w:gridCol w:w="270"/>
        <w:gridCol w:w="109"/>
        <w:gridCol w:w="109"/>
        <w:gridCol w:w="109"/>
        <w:gridCol w:w="613"/>
        <w:gridCol w:w="613"/>
        <w:gridCol w:w="615"/>
        <w:gridCol w:w="109"/>
        <w:gridCol w:w="109"/>
        <w:gridCol w:w="109"/>
        <w:gridCol w:w="335"/>
        <w:gridCol w:w="1847"/>
        <w:gridCol w:w="236"/>
      </w:tblGrid>
      <w:tr>
        <w:trPr/>
        <w:tc>
          <w:tcPr>
            <w:tcW w:w="7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Weighted-average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Maximum number (or approximate dollar value) of shares that may yet be purchased under the program</w:t>
            </w:r>
            <w:r>
              <w:rPr>
                <w:rFonts w:ascii="Expensify Neue;sans-serif" w:hAnsi="Expensify Neue;sans-serif"/>
                <w:b/>
                <w:color w:val="000000"/>
                <w:sz w:val="13"/>
              </w:rPr>
              <w:t>(1)</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April 1 - 30, 2023</w:t>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44,000,000 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May 1 - 31, 2023</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504,493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504,493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41,000,003 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June 1 - 30, 2023</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41,000,003 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Three months ended June 30, 2023</w:t>
            </w:r>
          </w:p>
        </w:tc>
        <w:tc>
          <w:tcPr>
            <w:tcW w:w="14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504,493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504,493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(1)On May 12, 2022, we announced the approval of a share repurchase program with authorization to purchase up to $50.0 million of our Class A common stock at management’s discretion. The repurchase program does not have an expiration date, does not obligate us to repurchase any specific number of shares and may be modified, suspended or terminated at any time at our discretion. At June 30, 2023, we had approximately $41.0 million remaining under the share repurchase authorization, not including amounts used for net share settlement of vested equity incentive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9440"/>
                <wp:effectExtent l="0" t="0" r="0" b="0"/>
                <wp:wrapNone/>
                <wp:docPr id="42" name="Frame4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3. Defaults Upon Senior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4. Mine Safety Disclosures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5. Other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9440"/>
                <wp:effectExtent l="0" t="0" r="0" b="0"/>
                <wp:wrapNone/>
                <wp:docPr id="43" name="Frame4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0"/>
        <w:jc w:val="left"/>
        <w:rPr>
          <w:rFonts w:ascii="Expensify Neue;sans-serif" w:hAnsi="Expensify Neue;sans-serif"/>
          <w:b/>
          <w:color w:val="000000"/>
          <w:sz w:val="32"/>
        </w:rPr>
      </w:pPr>
      <w:r>
        <w:rPr>
          <w:rFonts w:ascii="Expensify Neue;sans-serif" w:hAnsi="Expensify Neue;sans-serif"/>
          <w:b/>
          <w:color w:val="000000"/>
          <w:sz w:val="32"/>
        </w:rPr>
        <w:t>Item 6.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850"/>
        <w:gridCol w:w="1706"/>
        <w:gridCol w:w="1722"/>
        <w:gridCol w:w="109"/>
        <w:gridCol w:w="109"/>
        <w:gridCol w:w="109"/>
        <w:gridCol w:w="210"/>
        <w:gridCol w:w="210"/>
        <w:gridCol w:w="174"/>
        <w:gridCol w:w="295"/>
        <w:gridCol w:w="295"/>
        <w:gridCol w:w="200"/>
        <w:gridCol w:w="255"/>
        <w:gridCol w:w="255"/>
        <w:gridCol w:w="256"/>
        <w:gridCol w:w="390"/>
        <w:gridCol w:w="390"/>
        <w:gridCol w:w="487"/>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Incorporated by Reference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Form</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File No.</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Exhibit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Filing Date</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3.1</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31-10xqq22023.htm">
              <w:r>
                <w:rPr>
                  <w:rStyle w:val="InternetLink"/>
                  <w:rFonts w:ascii="Expensify Neue;sans-serif" w:hAnsi="Expensify Neue;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Expensify Neue;sans-serif" w:hAnsi="Expensify Neue;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15, 2021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31.1</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xqq22023.htm">
              <w:r>
                <w:rPr>
                  <w:rStyle w:val="InternetLink"/>
                  <w:rFonts w:ascii="Expensify Neue;sans-serif" w:hAnsi="Expensify Neue;sans-serif"/>
                  <w:b w:val="false"/>
                  <w:color w:val="0000FF"/>
                  <w:sz w:val="18"/>
                  <w:u w:val="single"/>
                </w:rPr>
                <w:t>Certification of the Principal Executive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31.2</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xqq22023.htm">
              <w:r>
                <w:rPr>
                  <w:rStyle w:val="InternetLink"/>
                  <w:rFonts w:ascii="Expensify Neue;sans-serif" w:hAnsi="Expensify Neue;sans-serif"/>
                  <w:b w:val="false"/>
                  <w:color w:val="0000FF"/>
                  <w:sz w:val="18"/>
                  <w:u w:val="single"/>
                </w:rPr>
                <w:t>Certification of the Principal Financial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32.1</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xqq22023.htm">
              <w:r>
                <w:rPr>
                  <w:rStyle w:val="InternetLink"/>
                  <w:rFonts w:ascii="Expensify Neue;sans-serif" w:hAnsi="Expensify Neue;sans-serif"/>
                  <w:b w:val="false"/>
                  <w:color w:val="0000FF"/>
                  <w:sz w:val="18"/>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32.2</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xqq22023.htm">
              <w:r>
                <w:rPr>
                  <w:rStyle w:val="InternetLink"/>
                  <w:rFonts w:ascii="Expensify Neue;sans-serif" w:hAnsi="Expensify Neue;sans-serif"/>
                  <w:b w:val="false"/>
                  <w:color w:val="0000FF"/>
                  <w:sz w:val="18"/>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101.INS</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101.SCH</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101.CAL</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101.DEF</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101.PRE</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Presentation Linkable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104</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99440"/>
                <wp:effectExtent l="0" t="0" r="0" b="0"/>
                <wp:wrapNone/>
                <wp:docPr id="44" name="Frame4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b8e4df9e7ff4bc08602e492b8b42e60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Signatures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requirements of the Securities Exchange Act of 1934, the registrant has duly caused this report to be signed on its behalf by the undersigned thereunto duly authorized.</w:t>
      </w:r>
    </w:p>
    <w:tbl>
      <w:tblPr>
        <w:tblW w:w="6861" w:type="dxa"/>
        <w:jc w:val="left"/>
        <w:tblInd w:w="0" w:type="dxa"/>
        <w:tblLayout w:type="fixed"/>
        <w:tblCellMar>
          <w:top w:w="28" w:type="dxa"/>
          <w:left w:w="28" w:type="dxa"/>
          <w:bottom w:w="28" w:type="dxa"/>
          <w:right w:w="28" w:type="dxa"/>
        </w:tblCellMar>
      </w:tblPr>
      <w:tblGrid>
        <w:gridCol w:w="400"/>
        <w:gridCol w:w="352"/>
        <w:gridCol w:w="352"/>
        <w:gridCol w:w="352"/>
        <w:gridCol w:w="352"/>
        <w:gridCol w:w="352"/>
        <w:gridCol w:w="307"/>
        <w:gridCol w:w="307"/>
        <w:gridCol w:w="307"/>
        <w:gridCol w:w="1100"/>
        <w:gridCol w:w="1100"/>
        <w:gridCol w:w="1580"/>
      </w:tblGrid>
      <w:tr>
        <w:trPr/>
        <w:tc>
          <w:tcPr>
            <w:tcW w:w="40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EXPENSIFY, INC.</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August 9, 2023</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 David Barrett</w:t>
            </w:r>
          </w:p>
        </w:tc>
      </w:tr>
      <w:tr>
        <w:trPr/>
        <w:tc>
          <w:tcPr>
            <w:tcW w:w="21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President and Chief Executive Officer</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Executive Officer)</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August 9, 2023</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 Ryan Schaffer</w:t>
            </w:r>
          </w:p>
        </w:tc>
      </w:tr>
      <w:tr>
        <w:trPr/>
        <w:tc>
          <w:tcPr>
            <w:tcW w:w="21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CERTIFICATE OF INCORPORATION OF</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76" w:before="0" w:after="240"/>
        <w:jc w:val="center"/>
        <w:rPr/>
      </w:pPr>
      <w:r>
        <w:rPr>
          <w:rFonts w:ascii="Times New Roman;sans-serif" w:hAnsi="Times New Roman;sans-serif"/>
          <w:b w:val="false"/>
          <w:color w:val="000000"/>
          <w:sz w:val="24"/>
        </w:rPr>
        <w:t>Expensify, Inc., a corporation organized and existing under the General Corporation Law of the State of Delaware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 hereby certifies as follows:</w:t>
      </w:r>
    </w:p>
    <w:p>
      <w:pPr>
        <w:pStyle w:val="TextBody"/>
        <w:bidi w:val="0"/>
        <w:spacing w:lineRule="auto" w:line="276"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 The name of the corporation is Expensify, Inc. The date of the filing of its original certificate of incorporation with the Secretary of State of the State of Delaware was April 29, 2009.</w:t>
      </w:r>
    </w:p>
    <w:p>
      <w:pPr>
        <w:pStyle w:val="TextBody"/>
        <w:bidi w:val="0"/>
        <w:spacing w:lineRule="auto" w:line="276" w:before="0" w:after="240"/>
        <w:jc w:val="center"/>
        <w:rPr/>
      </w:pPr>
      <w:r>
        <w:rPr>
          <w:rFonts w:ascii="Times New Roman;sans-serif" w:hAnsi="Times New Roman;sans-serif"/>
          <w:b w:val="false"/>
          <w:color w:val="000000"/>
          <w:sz w:val="24"/>
        </w:rPr>
        <w:t>2. This Amended and Restated Certificate of Incorporation (this “</w:t>
      </w:r>
      <w:r>
        <w:rPr>
          <w:rFonts w:ascii="Times New Roman;sans-serif" w:hAnsi="Times New Roman;sans-serif"/>
          <w:b w:val="false"/>
          <w:color w:val="000000"/>
          <w:sz w:val="24"/>
          <w:u w:val="single"/>
        </w:rPr>
        <w:t>Certificate of Incorporation</w:t>
      </w:r>
      <w:r>
        <w:rPr>
          <w:color w:val="000000"/>
        </w:rPr>
        <w:t>”</w:t>
      </w:r>
      <w:r>
        <w:rPr>
          <w:rFonts w:ascii="Times New Roman;sans-serif" w:hAnsi="Times New Roman;sans-serif"/>
          <w:b w:val="false"/>
          <w:color w:val="000000"/>
          <w:sz w:val="24"/>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 with Section 228 of the DGCL.</w:t>
      </w:r>
    </w:p>
    <w:p>
      <w:pPr>
        <w:pStyle w:val="TextBody"/>
        <w:bidi w:val="0"/>
        <w:spacing w:lineRule="auto" w:line="276"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 The certificate of incorporation of this corporation is hereby amended and restated in its entirety to read as follows: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NAME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The name of the corporation is “Expensify, Inc.” (hereinafter called the “</w:t>
      </w:r>
      <w:r>
        <w:rPr>
          <w:rFonts w:ascii="Times New Roman;sans-serif" w:hAnsi="Times New Roman;sans-serif"/>
          <w:b w:val="false"/>
          <w:color w:val="000000"/>
          <w:sz w:val="24"/>
          <w:u w:val="single"/>
        </w:rPr>
        <w:t>Corporation</w:t>
      </w:r>
      <w:r>
        <w:rPr>
          <w:color w:val="000000"/>
        </w:rPr>
        <w:t>”</w:t>
      </w:r>
      <w:r>
        <w:rPr>
          <w:rFonts w:ascii="Times New Roman;sans-serif" w:hAnsi="Times New Roman;sans-serif"/>
          <w:b w:val="false"/>
          <w:color w:val="000000"/>
          <w:sz w:val="24"/>
        </w:rPr>
        <w:t>).</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REGISTERED OFFICE AND AGENT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address of the Corporation’s registered office in the State of Delaware is 3500 South DuPont Highway, Dover, Delaware, County of Kent, 19901. The name of its registered agent at such address is Incorporating Services, Ltd.</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PURPOSE</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purpose of the Corporation is to engage in any lawful act or activity for which corporations may be organized under the DGCL.</w:t>
      </w:r>
    </w:p>
    <w:p>
      <w:pPr>
        <w:pStyle w:val="TextBody"/>
        <w:bidi w:val="0"/>
        <w:spacing w:before="0" w:after="20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CAPITAL STOCK</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1.    </w:t>
      </w:r>
      <w:r>
        <w:rPr>
          <w:rFonts w:ascii="Times New Roman;sans-serif" w:hAnsi="Times New Roman;sans-serif"/>
          <w:b w:val="false"/>
          <w:color w:val="000000"/>
          <w:sz w:val="24"/>
          <w:u w:val="single"/>
        </w:rPr>
        <w:t>Authorized Shares</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The total number of shares of all classes of capital stock which the Corporation shall have authority to issue is 1,060,000,000 shares, consisting of one billion (1,000,000,000) shares of Class A Common Stock, par value $0.0001 per share (“</w:t>
      </w:r>
      <w:r>
        <w:rPr>
          <w:rFonts w:ascii="Times New Roman;sans-serif" w:hAnsi="Times New Roman;sans-serif"/>
          <w:b w:val="false"/>
          <w:color w:val="000000"/>
          <w:sz w:val="24"/>
          <w:u w:val="single"/>
        </w:rPr>
        <w:t>Class A Common Stock</w:t>
      </w:r>
      <w:r>
        <w:rPr>
          <w:color w:val="000000"/>
        </w:rPr>
        <w:t>”</w:t>
      </w:r>
      <w:r>
        <w:rPr>
          <w:rFonts w:ascii="Times New Roman;sans-serif" w:hAnsi="Times New Roman;sans-serif"/>
          <w:b w:val="false"/>
          <w:color w:val="000000"/>
          <w:sz w:val="24"/>
        </w:rPr>
        <w:t>), 25 million (25,000,000) shares of LT10 Common Stock, par value $0.0001 per share (“</w:t>
      </w:r>
      <w:r>
        <w:rPr>
          <w:rFonts w:ascii="Times New Roman;sans-serif" w:hAnsi="Times New Roman;sans-serif"/>
          <w:b w:val="false"/>
          <w:color w:val="000000"/>
          <w:sz w:val="24"/>
          <w:u w:val="single"/>
        </w:rPr>
        <w:t>LT10 Common Stock</w:t>
      </w:r>
      <w:r>
        <w:rPr>
          <w:color w:val="000000"/>
        </w:rPr>
        <w:t>”</w:t>
      </w:r>
      <w:r>
        <w:rPr>
          <w:rFonts w:ascii="Times New Roman;sans-serif" w:hAnsi="Times New Roman;sans-serif"/>
          <w:b w:val="false"/>
          <w:color w:val="000000"/>
          <w:sz w:val="24"/>
        </w:rPr>
        <w:t>), 25 million (25,000,000) shares of LT50 Common Stock, par value $0.0001 per share (“</w:t>
      </w:r>
      <w:r>
        <w:rPr>
          <w:rFonts w:ascii="Times New Roman;sans-serif" w:hAnsi="Times New Roman;sans-serif"/>
          <w:b w:val="false"/>
          <w:color w:val="000000"/>
          <w:sz w:val="24"/>
          <w:u w:val="single"/>
        </w:rPr>
        <w:t>LT50 Common Stock</w:t>
      </w:r>
      <w:r>
        <w:rPr>
          <w:rFonts w:ascii="Times New Roman;sans-serif" w:hAnsi="Times New Roman;sans-serif"/>
          <w:b w:val="false"/>
          <w:color w:val="000000"/>
          <w:sz w:val="24"/>
        </w:rPr>
        <w:t>,” and together with the LT10 Common Stock, the “</w:t>
      </w:r>
      <w:r>
        <w:rPr>
          <w:rFonts w:ascii="Times New Roman;sans-serif" w:hAnsi="Times New Roman;sans-serif"/>
          <w:b w:val="false"/>
          <w:color w:val="000000"/>
          <w:sz w:val="24"/>
          <w:u w:val="single"/>
        </w:rPr>
        <w:t>LT Common Stock</w:t>
      </w:r>
      <w:r>
        <w:rPr>
          <w:rFonts w:ascii="Times New Roman;sans-serif" w:hAnsi="Times New Roman;sans-serif"/>
          <w:b w:val="false"/>
          <w:color w:val="000000"/>
          <w:sz w:val="24"/>
        </w:rPr>
        <w:t>,” and together with the Class A Common Stock, the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and ten million (10,000,000) shares of Preferred Stock, par value $0.0001 per share (“</w:t>
      </w:r>
      <w:r>
        <w:rPr>
          <w:rFonts w:ascii="Times New Roman;sans-serif" w:hAnsi="Times New Roman;sans-serif"/>
          <w:b w:val="false"/>
          <w:color w:val="000000"/>
          <w:sz w:val="24"/>
          <w:u w:val="single"/>
        </w:rPr>
        <w:t>Preferred Stock</w:t>
      </w:r>
      <w:r>
        <w:rPr>
          <w:color w:val="000000"/>
        </w:rPr>
        <w:t>”</w:t>
      </w:r>
      <w:r>
        <w:rPr>
          <w:rFonts w:ascii="Times New Roman;sans-serif" w:hAnsi="Times New Roman;sans-serif"/>
          <w:b w:val="false"/>
          <w:color w:val="000000"/>
          <w:sz w:val="24"/>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2.    </w:t>
      </w:r>
      <w:r>
        <w:rPr>
          <w:rFonts w:ascii="Times New Roman;sans-serif" w:hAnsi="Times New Roman;sans-serif"/>
          <w:b w:val="false"/>
          <w:color w:val="000000"/>
          <w:sz w:val="24"/>
          <w:u w:val="single"/>
        </w:rPr>
        <w:t>Preferred Stock</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pStyle w:val="TextBody"/>
        <w:bidi w:val="0"/>
        <w:spacing w:before="0" w:after="20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3.    </w:t>
      </w:r>
      <w:r>
        <w:rPr>
          <w:rFonts w:ascii="Times New Roman;sans-serif" w:hAnsi="Times New Roman;sans-serif"/>
          <w:b w:val="false"/>
          <w:color w:val="000000"/>
          <w:sz w:val="24"/>
          <w:u w:val="single"/>
        </w:rPr>
        <w:t>Common Stock</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Equal Status</w:t>
      </w:r>
      <w:r>
        <w:rPr>
          <w:rFonts w:ascii="Times New Roman;sans-serif" w:hAnsi="Times New Roman;sans-serif"/>
          <w:b w:val="false"/>
          <w:color w:val="000000"/>
          <w:sz w:val="24"/>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Voting</w:t>
      </w:r>
      <w:r>
        <w:rPr>
          <w:rFonts w:ascii="Times New Roman;sans-serif" w:hAnsi="Times New Roman;sans-serif"/>
          <w:b w:val="false"/>
          <w:color w:val="000000"/>
          <w:sz w:val="24"/>
        </w:rPr>
        <w:t>. Except as otherwise required by applicable law, at all meetings of stockholders and on all matters submitted to a vote of stockholders of the Corporation generally, each holder of Class A Common Stock, as such, shall have the right to one (1) 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Times New Roman;sans-serif" w:hAnsi="Times New Roman;sans-serif"/>
          <w:b w:val="false"/>
          <w:color w:val="000000"/>
          <w:sz w:val="24"/>
          <w:u w:val="single"/>
        </w:rPr>
        <w:t>Bylaws</w:t>
      </w:r>
      <w:r>
        <w:rPr>
          <w:color w:val="000000"/>
        </w:rPr>
        <w:t>”</w:t>
      </w:r>
      <w:r>
        <w:rPr>
          <w:rFonts w:ascii="Times New Roman;sans-serif" w:hAnsi="Times New Roman;sans-serif"/>
          <w:b w:val="false"/>
          <w:color w:val="000000"/>
          <w:sz w:val="24"/>
        </w:rPr>
        <w:t xml:space="preserve">), and (iii) be entitled to vote upon such matters and in such manner as may be provided by applicable law;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Dividend Rights</w:t>
      </w:r>
      <w:r>
        <w:rPr>
          <w:rFonts w:ascii="Times New Roman;sans-serif" w:hAnsi="Times New Roman;sans-serif"/>
          <w:b w:val="false"/>
          <w:color w:val="000000"/>
          <w:sz w:val="24"/>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 </w:t>
      </w:r>
    </w:p>
    <w:p>
      <w:pPr>
        <w:pStyle w:val="TextBody"/>
        <w:bidi w:val="0"/>
        <w:spacing w:before="0" w:after="20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Subdivisions, Combinations or Reclassifications</w:t>
      </w:r>
      <w:r>
        <w:rPr>
          <w:rFonts w:ascii="Times New Roman;sans-serif" w:hAnsi="Times New Roman;sans-serif"/>
          <w:b w:val="false"/>
          <w:color w:val="000000"/>
          <w:sz w:val="24"/>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Liquidation, Dissolution or Winding Up</w:t>
      </w:r>
      <w:r>
        <w:rPr>
          <w:rFonts w:ascii="Times New Roman;sans-serif" w:hAnsi="Times New Roman;sans-serif"/>
          <w:b w:val="false"/>
          <w:color w:val="000000"/>
          <w:sz w:val="24"/>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Restrictions on Transfers of Shares of LT Common Stock</w:t>
      </w:r>
      <w:r>
        <w:rPr>
          <w:rFonts w:ascii="Times New Roman;sans-serif" w:hAnsi="Times New Roman;sans-serif"/>
          <w:b w:val="false"/>
          <w:color w:val="000000"/>
          <w:sz w:val="24"/>
        </w:rPr>
        <w:t>.</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 </w:t>
      </w:r>
    </w:p>
    <w:p>
      <w:pPr>
        <w:pStyle w:val="TextBody"/>
        <w:bidi w:val="0"/>
        <w:spacing w:before="0" w:after="20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240"/>
        <w:jc w:val="both"/>
        <w:rPr/>
      </w:pPr>
      <w:r>
        <w:rPr>
          <w:rFonts w:ascii="Times New Roman;sans-serif" w:hAnsi="Times New Roman;sans-serif"/>
          <w:b w:val="false"/>
          <w:color w:val="000000"/>
          <w:sz w:val="24"/>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that a “Transfer” shall not include: (1) the grant of a proxy to officers or directors of the Corporation at the request of the Board in connection with actions to be taken at an annual or special meeting of stockholders; (2) any Transfer to or by the trust (the “</w:t>
      </w:r>
      <w:r>
        <w:rPr>
          <w:rFonts w:ascii="Times New Roman;sans-serif" w:hAnsi="Times New Roman;sans-serif"/>
          <w:b w:val="false"/>
          <w:color w:val="000000"/>
          <w:sz w:val="24"/>
          <w:u w:val="single"/>
        </w:rPr>
        <w:t>Expensify Voting Trust</w:t>
      </w:r>
      <w:r>
        <w:rPr>
          <w:color w:val="000000"/>
        </w:rPr>
        <w:t>”</w:t>
      </w:r>
      <w:r>
        <w:rPr>
          <w:rFonts w:ascii="Times New Roman;sans-serif" w:hAnsi="Times New Roman;sans-serif"/>
          <w:b w:val="false"/>
          <w:color w:val="000000"/>
          <w:sz w:val="24"/>
        </w:rPr>
        <w:t>) established under that certain Voting Trust Agreement, dated as of November 9, 2021, by and between the Company and the holders named therein (as it may be amended and/or restated from time to time in accordance with its terms, the “</w:t>
      </w:r>
      <w:r>
        <w:rPr>
          <w:rFonts w:ascii="Times New Roman;sans-serif" w:hAnsi="Times New Roman;sans-serif"/>
          <w:b w:val="false"/>
          <w:color w:val="000000"/>
          <w:sz w:val="24"/>
          <w:u w:val="single"/>
        </w:rPr>
        <w:t>Voting Trust Agreement</w:t>
      </w:r>
      <w:r>
        <w:rPr>
          <w:color w:val="000000"/>
        </w:rPr>
        <w:t>”</w:t>
      </w:r>
      <w:r>
        <w:rPr>
          <w:rFonts w:ascii="Times New Roman;sans-serif" w:hAnsi="Times New Roman;sans-serif"/>
          <w:b w:val="false"/>
          <w:color w:val="000000"/>
          <w:sz w:val="24"/>
        </w:rPr>
        <w:t xml:space="preserve">);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 </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Notwithstanding the foregoing, the Board shall be able to waive, upon the affirmative vote of a majority of the members of the Board, any or all of the requirements of Section 3(H) of this Article IV with respect to the Transfer of any shares of LT Common Stock.</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 xml:space="preserve">(iii)    Any Transfer of shares of LT Common Stock not made in accordance with this Section 3(F) and Section 3(H), or pursuant to Section 3(G), of this Article IV shall be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 xml:space="preserve">, and the Corporation shall not treat the transferee in such transaction as a holder of such shares for any purpose.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Conversion of LT Common Stock</w:t>
      </w:r>
      <w:r>
        <w:rPr>
          <w:rFonts w:ascii="Times New Roman;sans-serif" w:hAnsi="Times New Roman;sans-serif"/>
          <w:b w:val="false"/>
          <w:color w:val="000000"/>
          <w:sz w:val="24"/>
        </w:rPr>
        <w:t>.</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Optional Conversion by Holder of LT Common Stock</w:t>
      </w:r>
      <w:r>
        <w:rPr>
          <w:rFonts w:ascii="Times New Roman;sans-serif" w:hAnsi="Times New Roman;sans-serif"/>
          <w:b w:val="false"/>
          <w:color w:val="000000"/>
          <w:sz w:val="24"/>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Automatic Conversion Upon Certain Transfers</w:t>
      </w:r>
      <w:r>
        <w:rPr>
          <w:rFonts w:ascii="Times New Roman;sans-serif" w:hAnsi="Times New Roman;sans-serif"/>
          <w:b w:val="false"/>
          <w:color w:val="000000"/>
          <w:sz w:val="24"/>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Times New Roman;sans-serif" w:hAnsi="Times New Roman;sans-serif"/>
          <w:b w:val="false"/>
          <w:color w:val="000000"/>
          <w:sz w:val="24"/>
          <w:u w:val="single"/>
        </w:rPr>
        <w:t>Non-Converting Transfer</w:t>
      </w:r>
      <w:r>
        <w:rPr>
          <w:color w:val="000000"/>
        </w:rPr>
        <w:t xml:space="preserve">” </w:t>
      </w:r>
      <w:r>
        <w:rPr>
          <w:rFonts w:ascii="Times New Roman;sans-serif" w:hAnsi="Times New Roman;sans-serif"/>
          <w:b w:val="false"/>
          <w:color w:val="000000"/>
          <w:sz w:val="24"/>
        </w:rPr>
        <w:t xml:space="preserve">means a Transfer of shares of LT Common Stock (i) to be held in trust by the Trustees of the Expensify Voting Trust; (ii) in an Exchange as defined in </w:t>
      </w:r>
    </w:p>
    <w:p>
      <w:pPr>
        <w:pStyle w:val="TextBody"/>
        <w:bidi w:val="0"/>
        <w:spacing w:before="0" w:after="20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pursuant to Section 3(H)(iii) of this Article IV; (iii) to the estate of a decedent holder of LT Common Stock, upon such holder’s death; or (iv) approved in advance by the affirmative vote of a majority of the members of the Board.</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Automatic Conversion Upon Reduction in Outstanding Shares</w:t>
      </w:r>
      <w:r>
        <w:rPr>
          <w:rFonts w:ascii="Times New Roman;sans-serif" w:hAnsi="Times New Roman;sans-serif"/>
          <w:b w:val="false"/>
          <w:color w:val="000000"/>
          <w:sz w:val="24"/>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Policies and Procedures</w:t>
      </w:r>
      <w:r>
        <w:rPr>
          <w:rFonts w:ascii="Times New Roman;sans-serif" w:hAnsi="Times New Roman;sans-serif"/>
          <w:b w:val="false"/>
          <w:color w:val="000000"/>
          <w:sz w:val="24"/>
        </w:rPr>
        <w:t xml:space="preserve">.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 </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Status of Converted Stock</w:t>
      </w:r>
      <w:r>
        <w:rPr>
          <w:rFonts w:ascii="Times New Roman;sans-serif" w:hAnsi="Times New Roman;sans-serif"/>
          <w:b w:val="false"/>
          <w:color w:val="000000"/>
          <w:sz w:val="24"/>
        </w:rPr>
        <w:t xml:space="preserve">. In the event any shares of LT Common Stock are converted into shares of Class A Common Stock pursuant to this Section 3, the shares of LT Common Stock so converted shall be retired and shall not be reissued by the Corporation. </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Effect of Conversion on Payment of Dividends</w:t>
      </w:r>
      <w:r>
        <w:rPr>
          <w:rFonts w:ascii="Times New Roman;sans-serif" w:hAnsi="Times New Roman;sans-serif"/>
          <w:b w:val="false"/>
          <w:color w:val="000000"/>
          <w:sz w:val="24"/>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Shares Reserved for Issuance</w:t>
      </w:r>
      <w:r>
        <w:rPr>
          <w:rFonts w:ascii="Times New Roman;sans-serif" w:hAnsi="Times New Roman;sans-serif"/>
          <w:b w:val="false"/>
          <w:color w:val="000000"/>
          <w:sz w:val="24"/>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pStyle w:val="TextBody"/>
        <w:bidi w:val="0"/>
        <w:spacing w:before="0" w:after="20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LT Common Stock Transfer and Conversion Requirements</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Notice Requirement</w:t>
      </w:r>
      <w:r>
        <w:rPr>
          <w:rFonts w:ascii="Times New Roman;sans-serif" w:hAnsi="Times New Roman;sans-serif"/>
          <w:b w:val="false"/>
          <w:color w:val="000000"/>
          <w:sz w:val="24"/>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Notice Period</w:t>
      </w:r>
      <w:r>
        <w:rPr>
          <w:rFonts w:ascii="Times New Roman;sans-serif" w:hAnsi="Times New Roman;sans-serif"/>
          <w:b w:val="false"/>
          <w:color w:val="000000"/>
          <w:sz w:val="24"/>
        </w:rPr>
        <w:t xml:space="preserve">. The “Notice Period” for each share of LT10 Common Stock shall be ten (10) months, and for each share of LT50 Common Stock shall be fifty (50) months, following the receipt of notice as set forth in Section 3(H)(i) of this Article IV. </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Exchange</w:t>
      </w:r>
      <w:r>
        <w:rPr>
          <w:rFonts w:ascii="Times New Roman;sans-serif" w:hAnsi="Times New Roman;sans-serif"/>
          <w:b w:val="false"/>
          <w:color w:val="000000"/>
          <w:sz w:val="24"/>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Times New Roman;sans-serif" w:hAnsi="Times New Roman;sans-serif"/>
          <w:b w:val="false"/>
          <w:color w:val="000000"/>
          <w:sz w:val="24"/>
          <w:u w:val="single"/>
        </w:rPr>
        <w:t>Class A Transferor</w:t>
      </w:r>
      <w:r>
        <w:rPr>
          <w:color w:val="000000"/>
        </w:rPr>
        <w:t>”</w:t>
      </w:r>
      <w:r>
        <w:rPr>
          <w:rFonts w:ascii="Times New Roman;sans-serif" w:hAnsi="Times New Roman;sans-serif"/>
          <w:b w:val="false"/>
          <w:color w:val="000000"/>
          <w:sz w:val="24"/>
        </w:rPr>
        <w:t>) for the shares of LT Common Stock subject to the notice, on a one-for-one basis (an “</w:t>
      </w:r>
      <w:r>
        <w:rPr>
          <w:rFonts w:ascii="Times New Roman;sans-serif" w:hAnsi="Times New Roman;sans-serif"/>
          <w:b w:val="false"/>
          <w:color w:val="000000"/>
          <w:sz w:val="24"/>
          <w:u w:val="single"/>
        </w:rPr>
        <w:t>Exchange</w:t>
      </w:r>
      <w:r>
        <w:rPr>
          <w:color w:val="000000"/>
        </w:rPr>
        <w:t>”</w:t>
      </w:r>
      <w:r>
        <w:rPr>
          <w:rFonts w:ascii="Times New Roman;sans-serif" w:hAnsi="Times New Roman;sans-serif"/>
          <w:b w:val="false"/>
          <w:color w:val="000000"/>
          <w:sz w:val="24"/>
        </w:rPr>
        <w:t>). If a Class A Transferor is identified, the Trustees shall provide written notice to the holder of shares of LT Common Stock seeking to convert or Transfer shares of LT Common Stock pursuant to this Section 3(H) (the “</w:t>
      </w:r>
      <w:r>
        <w:rPr>
          <w:rFonts w:ascii="Times New Roman;sans-serif" w:hAnsi="Times New Roman;sans-serif"/>
          <w:b w:val="false"/>
          <w:color w:val="000000"/>
          <w:sz w:val="24"/>
          <w:u w:val="single"/>
        </w:rPr>
        <w:t>LT Holder</w:t>
      </w:r>
      <w:r>
        <w:rPr>
          <w:color w:val="000000"/>
        </w:rPr>
        <w:t>”</w:t>
      </w:r>
      <w:r>
        <w:rPr>
          <w:rFonts w:ascii="Times New Roman;sans-serif" w:hAnsi="Times New Roman;sans-serif"/>
          <w:b w:val="false"/>
          <w:color w:val="000000"/>
          <w:sz w:val="24"/>
        </w:rPr>
        <w:t>), the Class A Transferor and the Corporation, at its principal corporate office, stating the names of such LT Holder and Class A Transferor, the date on which the applicable notice period expires (the “</w:t>
      </w:r>
      <w:r>
        <w:rPr>
          <w:rFonts w:ascii="Times New Roman;sans-serif" w:hAnsi="Times New Roman;sans-serif"/>
          <w:b w:val="false"/>
          <w:color w:val="000000"/>
          <w:sz w:val="24"/>
          <w:u w:val="single"/>
        </w:rPr>
        <w:t>Notice Expiration Date</w:t>
      </w:r>
      <w:r>
        <w:rPr>
          <w:color w:val="000000"/>
        </w:rPr>
        <w:t>”</w:t>
      </w:r>
      <w:r>
        <w:rPr>
          <w:rFonts w:ascii="Times New Roman;sans-serif" w:hAnsi="Times New Roman;sans-serif"/>
          <w:b w:val="false"/>
          <w:color w:val="000000"/>
          <w:sz w:val="24"/>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the Corporation may extend such effective date by up to five (5) days if necessary to effectuate the Exchange (such date,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xml:space="preserve">). The Corporation shall, as soon as practicable after the Effective Date, issue and deliver to such LT Holder a certificate or certificates representing the number of shares of Class A Common Stock to which such holder is entitled upon the Exchange (if such shares of </w:t>
      </w:r>
    </w:p>
    <w:p>
      <w:pPr>
        <w:pStyle w:val="TextBody"/>
        <w:bidi w:val="0"/>
        <w:spacing w:before="0" w:after="20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Conversion of LT Common Stock if No Exchange</w:t>
      </w:r>
      <w:r>
        <w:rPr>
          <w:rFonts w:ascii="Times New Roman;sans-serif" w:hAnsi="Times New Roman;sans-serif"/>
          <w:b w:val="false"/>
          <w:color w:val="000000"/>
          <w:sz w:val="24"/>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Times New Roman;sans-serif" w:hAnsi="Times New Roman;sans-serif"/>
          <w:b w:val="false"/>
          <w:color w:val="000000"/>
          <w:sz w:val="24"/>
          <w:u w:val="single"/>
        </w:rPr>
        <w:t>Conversion Notice</w:t>
      </w:r>
      <w:r>
        <w:rPr>
          <w:color w:val="000000"/>
        </w:rPr>
        <w:t>”</w:t>
      </w:r>
      <w:r>
        <w:rPr>
          <w:rFonts w:ascii="Times New Roman;sans-serif" w:hAnsi="Times New Roman;sans-serif"/>
          <w:b w:val="false"/>
          <w:color w:val="000000"/>
          <w:sz w:val="24"/>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Times New Roman;sans-serif" w:hAnsi="Times New Roman;sans-serif"/>
          <w:b w:val="false"/>
          <w:color w:val="000000"/>
          <w:sz w:val="24"/>
          <w:u w:val="single"/>
        </w:rPr>
        <w:t>Conversion Effective Time</w:t>
      </w:r>
      <w:r>
        <w:rPr>
          <w:color w:val="000000"/>
        </w:rPr>
        <w:t>”</w:t>
      </w:r>
      <w:r>
        <w:rPr>
          <w:rFonts w:ascii="Times New Roman;sans-serif" w:hAnsi="Times New Roman;sans-serif"/>
          <w:b w:val="false"/>
          <w:color w:val="000000"/>
          <w:sz w:val="24"/>
        </w:rPr>
        <w:t xml:space="preserve">),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 </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bidi w:val="0"/>
        <w:spacing w:lineRule="auto" w:line="319"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AMENDMENT OF THE CERTIFICATE OF INCORPORATION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 xml:space="preserve">that notwithstanding any other provision of this Certificate of Incorporation or any provision of law that might otherwise permit a lesser vote or no vote, but in addition to </w:t>
      </w:r>
    </w:p>
    <w:p>
      <w:pPr>
        <w:pStyle w:val="TextBody"/>
        <w:bidi w:val="0"/>
        <w:spacing w:before="0" w:after="20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vote of the holders of shares of any class or series of capital stock of the Corporation required by law or by this Certificate of Incorporation:</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 </w:t>
      </w:r>
    </w:p>
    <w:p>
      <w:pPr>
        <w:pStyle w:val="TextBody"/>
        <w:bidi w:val="0"/>
        <w:spacing w:before="0" w:after="20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LT50 Common Stock voting together as a single class, other than as provided by this Certificate of Incorporation or required by the DGCL.</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AMENDMENT OF BYLAWS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BOARD OF DIRECTORS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1.    </w:t>
      </w:r>
      <w:r>
        <w:rPr>
          <w:rFonts w:ascii="Times New Roman;sans-serif" w:hAnsi="Times New Roman;sans-serif"/>
          <w:b w:val="false"/>
          <w:color w:val="000000"/>
          <w:sz w:val="24"/>
          <w:u w:val="single"/>
        </w:rPr>
        <w:t>Number of Directors</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business and affairs of the Corporation shall be managed by or under the direction of the Board, except as otherwise provided by law.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2.    </w:t>
      </w:r>
      <w:r>
        <w:rPr>
          <w:rFonts w:ascii="Times New Roman;sans-serif" w:hAnsi="Times New Roman;sans-serif"/>
          <w:b w:val="false"/>
          <w:color w:val="000000"/>
          <w:sz w:val="24"/>
          <w:u w:val="single"/>
        </w:rPr>
        <w:t>Terms of Office</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that the term of each director shall continue until the election and qualification of his or her successor and be subject to his or her earlier death, disqualification, resignation or removal.</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3.    </w:t>
      </w:r>
      <w:r>
        <w:rPr>
          <w:rFonts w:ascii="Times New Roman;sans-serif" w:hAnsi="Times New Roman;sans-serif"/>
          <w:b w:val="false"/>
          <w:color w:val="000000"/>
          <w:sz w:val="24"/>
          <w:u w:val="single"/>
        </w:rPr>
        <w:t>Vacancies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pStyle w:val="TextBody"/>
        <w:bidi w:val="0"/>
        <w:spacing w:before="0" w:after="20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4.    </w:t>
      </w:r>
      <w:r>
        <w:rPr>
          <w:rFonts w:ascii="Times New Roman;sans-serif" w:hAnsi="Times New Roman;sans-serif"/>
          <w:b w:val="false"/>
          <w:color w:val="000000"/>
          <w:sz w:val="24"/>
          <w:u w:val="single"/>
        </w:rPr>
        <w:t>Removal</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5.    </w:t>
      </w:r>
      <w:r>
        <w:rPr>
          <w:rFonts w:ascii="Times New Roman;sans-serif" w:hAnsi="Times New Roman;sans-serif"/>
          <w:b w:val="false"/>
          <w:color w:val="000000"/>
          <w:sz w:val="24"/>
          <w:u w:val="single"/>
        </w:rPr>
        <w:t>Committees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6.    </w:t>
      </w:r>
      <w:r>
        <w:rPr>
          <w:rFonts w:ascii="Times New Roman;sans-serif" w:hAnsi="Times New Roman;sans-serif"/>
          <w:b w:val="false"/>
          <w:color w:val="000000"/>
          <w:sz w:val="24"/>
          <w:u w:val="single"/>
        </w:rPr>
        <w:t>Stockholder Nominations and Introduction of Business</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Advance notice of stockholder nominations for election of directors and other business to be brought by stockholders before a meeting of stockholders shall be given in the manner provided by the Bylaws.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7.    </w:t>
      </w:r>
      <w:r>
        <w:rPr>
          <w:rFonts w:ascii="Times New Roman;sans-serif" w:hAnsi="Times New Roman;sans-serif"/>
          <w:b w:val="false"/>
          <w:color w:val="000000"/>
          <w:sz w:val="24"/>
          <w:u w:val="single"/>
        </w:rPr>
        <w:t>Preferred Stock Directors</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 </w:t>
      </w:r>
    </w:p>
    <w:p>
      <w:pPr>
        <w:pStyle w:val="TextBody"/>
        <w:bidi w:val="0"/>
        <w:spacing w:before="0" w:after="20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terms of office of all such directors shall forthwith terminate and the total authorized number of directors of the Corporation shall be reduced accordingly.</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ARTICLE VIII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LIMITATION OF DIRECTOR LIABILITY</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nothing contained in this Article VIII shall eliminate or limit the liability of a director (i) 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 </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ARTICLE IX</w:t>
      </w:r>
    </w:p>
    <w:p>
      <w:pPr>
        <w:pStyle w:val="TextBody"/>
        <w:bidi w:val="0"/>
        <w:spacing w:lineRule="auto" w:line="319"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INDEMNIFICATION</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ARTICLE X</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CONSENT OF STOCKHOLDERS IN LIEU OF MEETING</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pStyle w:val="TextBody"/>
        <w:bidi w:val="0"/>
        <w:spacing w:before="0" w:after="20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XI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SPECIAL MEETING OF STOCKHOLDERS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XII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FORUM SELECTION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Unless the Corporation consents in writing to the selection of an alternative forum, (a) the Court of Chancery (the “</w:t>
      </w:r>
      <w:r>
        <w:rPr>
          <w:rFonts w:ascii="Times New Roman;sans-serif" w:hAnsi="Times New Roman;sans-serif"/>
          <w:b w:val="false"/>
          <w:color w:val="000000"/>
          <w:sz w:val="24"/>
          <w:u w:val="single"/>
        </w:rPr>
        <w:t>Chancery Court</w:t>
      </w:r>
      <w:r>
        <w:rPr>
          <w:color w:val="000000"/>
        </w:rPr>
        <w:t>”</w:t>
      </w:r>
      <w:r>
        <w:rPr>
          <w:rFonts w:ascii="Times New Roman;sans-serif" w:hAnsi="Times New Roman;sans-serif"/>
          <w:b w:val="false"/>
          <w:color w:val="000000"/>
          <w:sz w:val="24"/>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w:t>
      </w:r>
      <w:r>
        <w:rPr>
          <w:color w:val="000000"/>
        </w:rPr>
        <w:t xml:space="preserve"> </w:t>
      </w:r>
      <w:r>
        <w:rPr>
          <w:rFonts w:ascii="Times New Roman;sans-serif" w:hAnsi="Times New Roman;sans-serif"/>
          <w:b w:val="false"/>
          <w:color w:val="000000"/>
          <w:sz w:val="24"/>
        </w:rPr>
        <w:t>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sans-serif" w:hAnsi="Times New Roman;sans-serif"/>
          <w:b w:val="false"/>
          <w:color w:val="000000"/>
          <w:sz w:val="24"/>
          <w:u w:val="single"/>
        </w:rPr>
        <w:t>Foreign Action</w:t>
      </w:r>
      <w:r>
        <w:rPr>
          <w:color w:val="000000"/>
        </w:rPr>
        <w:t>”</w:t>
      </w:r>
      <w:r>
        <w:rPr>
          <w:rFonts w:ascii="Times New Roman;sans-serif" w:hAnsi="Times New Roman;sans-serif"/>
          <w:b w:val="false"/>
          <w:color w:val="000000"/>
          <w:sz w:val="24"/>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pStyle w:val="TextBody"/>
        <w:bidi w:val="0"/>
        <w:spacing w:before="0" w:after="20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8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spacing w:lineRule="auto" w:line="319"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19" w:before="0" w:after="108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this Amended and Restated Certificate of Incorporation has been executed this 15th day of November, 2021.</w:t>
      </w:r>
    </w:p>
    <w:tbl>
      <w:tblPr>
        <w:tblW w:w="4276" w:type="dxa"/>
        <w:jc w:val="right"/>
        <w:tblInd w:w="0" w:type="dxa"/>
        <w:tblLayout w:type="fixed"/>
        <w:tblCellMar>
          <w:top w:w="28" w:type="dxa"/>
          <w:left w:w="28" w:type="dxa"/>
          <w:bottom w:w="28" w:type="dxa"/>
          <w:right w:w="28" w:type="dxa"/>
        </w:tblCellMar>
      </w:tblPr>
      <w:tblGrid>
        <w:gridCol w:w="197"/>
        <w:gridCol w:w="174"/>
        <w:gridCol w:w="174"/>
        <w:gridCol w:w="174"/>
        <w:gridCol w:w="174"/>
        <w:gridCol w:w="174"/>
        <w:gridCol w:w="265"/>
        <w:gridCol w:w="265"/>
        <w:gridCol w:w="265"/>
        <w:gridCol w:w="702"/>
        <w:gridCol w:w="702"/>
        <w:gridCol w:w="1010"/>
      </w:tblGrid>
      <w:tr>
        <w:trPr/>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27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EXPENSIFY, INC.</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David Barrett</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David Barrett</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670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1.670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670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670 shares of LT10 Common Stock that converted into 670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26th day of April,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830 SHARES OF LT50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1.830 outstanding shares of LT50 Common Stock, par value $0.0001 per share (“</w:t>
      </w:r>
      <w:r>
        <w:rPr>
          <w:rFonts w:ascii="Times New Roman;sans-serif" w:hAnsi="Times New Roman;sans-serif"/>
          <w:b w:val="false"/>
          <w:color w:val="000000"/>
          <w:sz w:val="20"/>
          <w:u w:val="single"/>
        </w:rPr>
        <w:t>LT50 Common Stock”</w:t>
      </w:r>
      <w:r>
        <w:rPr>
          <w:rFonts w:ascii="Times New Roman;sans-serif" w:hAnsi="Times New Roman;sans-serif"/>
          <w:b w:val="false"/>
          <w:color w:val="000000"/>
          <w:sz w:val="20"/>
        </w:rPr>
        <w:t>), of the Corporation have been converted into 830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830 shares of LT50 Common Stock that converted into 830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830 shares, such that the total number of authorized shares of the Corporation shall be 1,059,998,500, such shares consisting of 1,000,000,000 shares designated Class A Common Stock, 24,999,330 shares designated LT10 Common Stock, 24,999,170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27th day of May,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1,769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1.1,769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1,769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1,769 shares of LT10 Common Stock that converted into 1,769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1,769 shares, such that the total number of authorized shares of the Corporation shall be 1,059,996,731, such shares consisting of 1,000,000,000 shares designated Class A Common Stock, 24,997,561 shares designated LT10 Common Stock, 24,999,170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4th day of August,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150 SHARES OF LT50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1.150 outstanding shares of LT50 Common Stock, par value $0.0001 per share (“</w:t>
      </w:r>
      <w:r>
        <w:rPr>
          <w:rFonts w:ascii="Times New Roman;sans-serif" w:hAnsi="Times New Roman;sans-serif"/>
          <w:b w:val="false"/>
          <w:color w:val="000000"/>
          <w:sz w:val="20"/>
          <w:u w:val="single"/>
        </w:rPr>
        <w:t>LT50 Common Stock”</w:t>
      </w:r>
      <w:r>
        <w:rPr>
          <w:rFonts w:ascii="Times New Roman;sans-serif" w:hAnsi="Times New Roman;sans-serif"/>
          <w:b w:val="false"/>
          <w:color w:val="000000"/>
          <w:sz w:val="20"/>
        </w:rPr>
        <w:t>), of the Corporation have been converted into 150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150 shares of LT50 Common Stock that converted into 150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150 shares, such that the total number of authorized shares of the Corporation shall be 1,059,996,581, such shares consisting of 1,000,000,000 shares designated Class A Common Stock, 24,997,561 shares designated LT10 Common Stock, 24,999,020 shares designated LT50 Common Stock,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22nd day of November,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735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1.735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735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735 shares of LT10 Common Stock that converted into 735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735 shares, such that the total number of authorized shares of the Corporation shall be 1,059,995,846, such shares consisting of 1,000,000,000 shares designated Class A Common Stock, 24,996,826 shares designated LT10 Common Stock, 24,999,020 shares designated LT50 Common Stock,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8th day of February,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588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1.588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588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588 shares of LT10 Common Stock that converted into 588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588 shares, such that the total number of authorized shares of the Corporation shall be 1,059,995,258, such shares consisting of 1,000,000,000 shares designated Class A Common Stock, 24,996,238 shares designated LT10 Common Stock, 24,999,020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23rd day of June,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1,249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79 SHARES OF LT50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1.1,249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1,249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2.79 outstanding shares of LT50 Common Stock, par value $0.0001 per share (“</w:t>
      </w:r>
      <w:r>
        <w:rPr>
          <w:rFonts w:ascii="Times New Roman;sans-serif" w:hAnsi="Times New Roman;sans-serif"/>
          <w:b w:val="false"/>
          <w:color w:val="000000"/>
          <w:sz w:val="20"/>
          <w:u w:val="single"/>
        </w:rPr>
        <w:t>LT50 Common Stock”</w:t>
      </w:r>
      <w:r>
        <w:rPr>
          <w:rFonts w:ascii="Times New Roman;sans-serif" w:hAnsi="Times New Roman;sans-serif"/>
          <w:b w:val="false"/>
          <w:color w:val="000000"/>
          <w:sz w:val="20"/>
        </w:rPr>
        <w:t>), of the Corporation have been converted into 79 shares of Class A Common Stock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Board of Directors of the Corporation has adopted resolutions retiring the 1,249 shares of LT10 Common Stock and the 79 shares of LT50 Common Stock that converted into 1,249 and 79 shares of Class A Common Stock, respectively, for a total of 1,328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1,328 shares, such that the total number of authorized shares of the Corporation shall be 1,059,993,930, such shares consisting of 1,000,000,000 shares designated Class A Common Stock, 24,994,989 shares designated LT10 Common Stock, 24,998,941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3rd day of August,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 David Barrett, certify that: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213" w:type="dxa"/>
        <w:jc w:val="left"/>
        <w:tblInd w:w="0" w:type="dxa"/>
        <w:tblLayout w:type="fixed"/>
        <w:tblCellMar>
          <w:top w:w="28" w:type="dxa"/>
          <w:left w:w="28" w:type="dxa"/>
          <w:bottom w:w="28" w:type="dxa"/>
          <w:right w:w="28" w:type="dxa"/>
        </w:tblCellMar>
      </w:tblPr>
      <w:tblGrid>
        <w:gridCol w:w="364"/>
        <w:gridCol w:w="320"/>
        <w:gridCol w:w="320"/>
        <w:gridCol w:w="320"/>
        <w:gridCol w:w="320"/>
        <w:gridCol w:w="320"/>
        <w:gridCol w:w="109"/>
        <w:gridCol w:w="109"/>
        <w:gridCol w:w="109"/>
        <w:gridCol w:w="109"/>
        <w:gridCol w:w="109"/>
        <w:gridCol w:w="109"/>
        <w:gridCol w:w="758"/>
        <w:gridCol w:w="758"/>
        <w:gridCol w:w="1079"/>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6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Ryan Schaffer, certify that:</w:t>
      </w:r>
    </w:p>
    <w:p>
      <w:pPr>
        <w:pStyle w:val="TextBody"/>
        <w:bidi w:val="0"/>
        <w:spacing w:before="0" w:after="0"/>
        <w:jc w:val="left"/>
        <w:rPr/>
      </w:pPr>
      <w:r>
        <w:rPr/>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123" w:type="dxa"/>
        <w:jc w:val="left"/>
        <w:tblInd w:w="0" w:type="dxa"/>
        <w:tblLayout w:type="fixed"/>
        <w:tblCellMar>
          <w:top w:w="28" w:type="dxa"/>
          <w:left w:w="28" w:type="dxa"/>
          <w:bottom w:w="28" w:type="dxa"/>
          <w:right w:w="28" w:type="dxa"/>
        </w:tblCellMar>
      </w:tblPr>
      <w:tblGrid>
        <w:gridCol w:w="364"/>
        <w:gridCol w:w="320"/>
        <w:gridCol w:w="320"/>
        <w:gridCol w:w="320"/>
        <w:gridCol w:w="320"/>
        <w:gridCol w:w="320"/>
        <w:gridCol w:w="109"/>
        <w:gridCol w:w="109"/>
        <w:gridCol w:w="109"/>
        <w:gridCol w:w="109"/>
        <w:gridCol w:w="109"/>
        <w:gridCol w:w="109"/>
        <w:gridCol w:w="732"/>
        <w:gridCol w:w="732"/>
        <w:gridCol w:w="1041"/>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Quarterly Report on Form 10-Q of the Company for the quarterly period ended June 30, 2023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213" w:type="dxa"/>
        <w:jc w:val="left"/>
        <w:tblInd w:w="0" w:type="dxa"/>
        <w:tblLayout w:type="fixed"/>
        <w:tblCellMar>
          <w:top w:w="28" w:type="dxa"/>
          <w:left w:w="28" w:type="dxa"/>
          <w:bottom w:w="28" w:type="dxa"/>
          <w:right w:w="28" w:type="dxa"/>
        </w:tblCellMar>
      </w:tblPr>
      <w:tblGrid>
        <w:gridCol w:w="364"/>
        <w:gridCol w:w="320"/>
        <w:gridCol w:w="320"/>
        <w:gridCol w:w="320"/>
        <w:gridCol w:w="320"/>
        <w:gridCol w:w="320"/>
        <w:gridCol w:w="109"/>
        <w:gridCol w:w="109"/>
        <w:gridCol w:w="109"/>
        <w:gridCol w:w="109"/>
        <w:gridCol w:w="109"/>
        <w:gridCol w:w="109"/>
        <w:gridCol w:w="758"/>
        <w:gridCol w:w="758"/>
        <w:gridCol w:w="1079"/>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6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Quarterly Report on Form 10-Q of the Company for the quarterly period ended June 30, 2023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123" w:type="dxa"/>
        <w:jc w:val="left"/>
        <w:tblInd w:w="0" w:type="dxa"/>
        <w:tblLayout w:type="fixed"/>
        <w:tblCellMar>
          <w:top w:w="28" w:type="dxa"/>
          <w:left w:w="28" w:type="dxa"/>
          <w:bottom w:w="28" w:type="dxa"/>
          <w:right w:w="28" w:type="dxa"/>
        </w:tblCellMar>
      </w:tblPr>
      <w:tblGrid>
        <w:gridCol w:w="364"/>
        <w:gridCol w:w="320"/>
        <w:gridCol w:w="320"/>
        <w:gridCol w:w="320"/>
        <w:gridCol w:w="320"/>
        <w:gridCol w:w="320"/>
        <w:gridCol w:w="109"/>
        <w:gridCol w:w="109"/>
        <w:gridCol w:w="109"/>
        <w:gridCol w:w="109"/>
        <w:gridCol w:w="109"/>
        <w:gridCol w:w="109"/>
        <w:gridCol w:w="732"/>
        <w:gridCol w:w="732"/>
        <w:gridCol w:w="1041"/>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1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Expensify Neue">
    <w:altName w:val="sans-serif"/>
    <w:charset w:val="01"/>
    <w:family w:val="auto"/>
    <w:pitch w:val="default"/>
  </w:font>
  <w:font w:name="Wingdings">
    <w:altName w:val="sans-serif"/>
    <w:charset w:val="01"/>
    <w:family w:val="auto"/>
    <w:pitch w:val="default"/>
  </w:font>
  <w:font w:name="Expensify New Kansas Medium">
    <w:altName w:val="sans-serif"/>
    <w:charset w:val="01"/>
    <w:family w:val="auto"/>
    <w:pitch w:val="default"/>
  </w:font>
  <w:font w:name="GT America Exp">
    <w:altName w:val="sans-serif"/>
    <w:charset w:val="01"/>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476840/000162828021023404/exhibit32-8xkclosing.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28100</Words>
  <Characters>149739</Characters>
  <CharactersWithSpaces>176210</CharactersWithSpaces>
  <Paragraphs>2825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