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spacing w:lineRule="auto" w:line="288" w:before="0" w:after="12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12, 2022</w:t>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Expensify,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5346" w:type="dxa"/>
        <w:jc w:val="center"/>
        <w:tblInd w:w="0" w:type="dxa"/>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001-41043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27-0239450</w:t>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jc w:val="center"/>
        <w:rPr/>
      </w:pPr>
      <w:r>
        <w:rPr>
          <w:rFonts w:ascii="Times New Roman;sans-serif" w:hAnsi="Times New Roman;sans-serif"/>
          <w:b/>
          <w:color w:val="000000"/>
          <w:sz w:val="20"/>
        </w:rPr>
        <w:t>401 SW 5</w:t>
      </w:r>
      <w:r>
        <w:rPr>
          <w:rFonts w:ascii="Times New Roman;sans-serif" w:hAnsi="Times New Roman;sans-serif"/>
          <w:b/>
          <w:color w:val="000000"/>
          <w:sz w:val="13"/>
        </w:rPr>
        <w:t>th</w:t>
      </w:r>
      <w:r>
        <w:rPr>
          <w:color w:val="000000"/>
        </w:rPr>
        <w:t xml:space="preserve"> </w:t>
      </w:r>
      <w:r>
        <w:rPr>
          <w:rFonts w:ascii="Times New Roman;sans-serif" w:hAnsi="Times New Roman;sans-serif"/>
          <w:b/>
          <w:color w:val="000000"/>
          <w:sz w:val="20"/>
        </w:rPr>
        <w:t>Ave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Portland, Oregon 97204 </w:t>
      </w:r>
    </w:p>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(971) 365-3939 </w:t>
      </w:r>
    </w:p>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 applicable </w:t>
      </w:r>
    </w:p>
    <w:p>
      <w:pPr>
        <w:pStyle w:val="TextBody"/>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or Former Address, if Changed Since Last Report)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2698" w:type="dxa"/>
            <w:tcBorders/>
            <w:shd w:fill="auto" w:val="clear"/>
            <w:vAlign w:val="center"/>
          </w:tcPr>
          <w:p>
            <w:pPr>
              <w:pStyle w:val="TableContents"/>
              <w:spacing w:before="0" w:after="283"/>
              <w:rPr>
                <w:sz w:val="4"/>
                <w:szCs w:val="4"/>
              </w:rPr>
            </w:pPr>
            <w:r>
              <w:rPr>
                <w:sz w:val="4"/>
                <w:szCs w:val="4"/>
              </w:rPr>
            </w:r>
          </w:p>
        </w:tc>
        <w:tc>
          <w:tcPr>
            <w:tcW w:w="38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8693" w:type="dxa"/>
        <w:jc w:val="center"/>
        <w:tblInd w:w="0" w:type="dxa"/>
        <w:tblCellMar>
          <w:top w:w="28" w:type="dxa"/>
          <w:left w:w="28" w:type="dxa"/>
          <w:bottom w:w="28" w:type="dxa"/>
          <w:right w:w="28" w:type="dxa"/>
        </w:tblCellMar>
      </w:tblPr>
      <w:tblGrid>
        <w:gridCol w:w="1643"/>
        <w:gridCol w:w="1441"/>
        <w:gridCol w:w="1460"/>
        <w:gridCol w:w="109"/>
        <w:gridCol w:w="109"/>
        <w:gridCol w:w="109"/>
        <w:gridCol w:w="235"/>
        <w:gridCol w:w="235"/>
        <w:gridCol w:w="236"/>
        <w:gridCol w:w="109"/>
        <w:gridCol w:w="109"/>
        <w:gridCol w:w="109"/>
        <w:gridCol w:w="816"/>
        <w:gridCol w:w="816"/>
        <w:gridCol w:w="1157"/>
      </w:tblGrid>
      <w:tr>
        <w:trPr/>
        <w:tc>
          <w:tcPr>
            <w:tcW w:w="1643"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4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EXFY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lineRule="auto" w:line="288" w:before="0" w:after="120"/>
        <w:rPr/>
      </w:pPr>
      <w:r>
        <w:rPr>
          <w:rFonts w:ascii="Times New Roman;sans-serif" w:hAnsi="Times New Roman;sans-serif"/>
          <w:b w:val="false"/>
          <w:color w:val="000000"/>
          <w:sz w:val="20"/>
        </w:rPr>
        <w:t xml:space="preserve">Emerging growth company </w:t>
      </w:r>
      <w:r>
        <w:rPr>
          <w:color w:val="000000"/>
        </w:rPr>
        <w:t>☒</w:t>
      </w:r>
    </w:p>
    <w:p>
      <w:pPr>
        <w:pStyle w:val="TextBody"/>
        <w:spacing w:lineRule="auto" w:line="288" w:before="0" w:after="1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360" w:after="16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On May 12, 2022, Expensify, Inc. (“Expensify” or the “Company”) issued a press release announcing its financial results for the quarter ended March 31, 2022. A copy of this press release is furnished as Exhibit 99.1 to this current report on Form 8-K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On May 12, 2022,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spacing w:before="0" w:after="0"/>
        <w:rPr/>
      </w:pPr>
      <w:r>
        <w:rPr/>
      </w:r>
    </w:p>
    <w:p>
      <w:pPr>
        <w:pStyle w:val="TextBody"/>
        <w:spacing w:lineRule="auto" w:line="276" w:before="0" w:after="160"/>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May 12, 2022, the Company issued a press release announcing that its board of directors approved a share repurchase program with authorization to purchase up to $50 million of shares of its Class A common stock. The Company may repurchase shares from time to time through open market purchases, in privately negotiated transactions or by other means, including through the use of trading plans intended to qualify under Rule 10b5-1 under the Exchange Act, in accordance with applicable securities laws and other restrictions. The actual timing and total amount of future repurchases are subject to business, economic and market conditions, corporate and regulatory requirements, prevailing stock prices, restrictions under the terms of our loan agreements and other considerations. The share repurchase program does not obligate the Company to acquire any particular amount of common stock, and the program may be suspended or terminated at any time by the Company at any time at its discretion without prior notice. A copy of the press release is attached hereto as Exhibit 99.3 and is incorporated by reference herein.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Item 9.01 Financial Statements and Exhibits. </w:t>
      </w:r>
    </w:p>
    <w:p>
      <w:pPr>
        <w:pStyle w:val="TextBody"/>
        <w:spacing w:lineRule="auto" w:line="276" w:before="0" w:after="160"/>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Exhibits</w:t>
      </w:r>
      <w:r>
        <w:rPr>
          <w:rFonts w:ascii="Times New Roman;sans-serif" w:hAnsi="Times New Roman;sans-serif"/>
          <w:b w:val="false"/>
          <w:color w:val="000000"/>
          <w:sz w:val="20"/>
        </w:rPr>
        <w:t xml:space="preserve">. </w:t>
      </w:r>
    </w:p>
    <w:tbl>
      <w:tblPr>
        <w:tblW w:w="7917" w:type="dxa"/>
        <w:jc w:val="left"/>
        <w:tblInd w:w="0" w:type="dxa"/>
        <w:tblCellMar>
          <w:top w:w="28" w:type="dxa"/>
          <w:left w:w="28" w:type="dxa"/>
          <w:bottom w:w="28" w:type="dxa"/>
          <w:right w:w="28" w:type="dxa"/>
        </w:tblCellMar>
      </w:tblPr>
      <w:tblGrid>
        <w:gridCol w:w="342"/>
        <w:gridCol w:w="300"/>
        <w:gridCol w:w="303"/>
        <w:gridCol w:w="109"/>
        <w:gridCol w:w="109"/>
        <w:gridCol w:w="109"/>
        <w:gridCol w:w="1940"/>
        <w:gridCol w:w="1940"/>
        <w:gridCol w:w="2765"/>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991-8xkq122earnings.htm">
              <w:r>
                <w:rPr>
                  <w:rStyle w:val="InternetLink"/>
                </w:rPr>
                <w:t xml:space="preserve">Press Release issued by Expensify, Inc., dated </w:t>
              </w:r>
            </w:hyperlink>
            <w:hyperlink w:anchor="exhibit991-8xkq122earnings.htm">
              <w:r>
                <w:rPr>
                  <w:rStyle w:val="InternetLink"/>
                </w:rPr>
                <w:t>May 1</w:t>
              </w:r>
            </w:hyperlink>
            <w:hyperlink w:anchor="exhibit991-8xkq122earnings.htm">
              <w:r>
                <w:rPr>
                  <w:rStyle w:val="InternetLink"/>
                </w:rPr>
                <w:t>2</w:t>
              </w:r>
            </w:hyperlink>
            <w:hyperlink w:anchor="exhibit991-8xkq122earnings.htm">
              <w:r>
                <w:rPr>
                  <w:rStyle w:val="InternetLink"/>
                </w:rPr>
                <w:t>, 2022.</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992-8xkq122investor.htm">
              <w:r>
                <w:rPr>
                  <w:rStyle w:val="InternetLink"/>
                </w:rPr>
                <w:t xml:space="preserve">Investor Presentation, dated </w:t>
              </w:r>
            </w:hyperlink>
            <w:hyperlink w:anchor="exhibit992-8xkq122investor.htm">
              <w:r>
                <w:rPr>
                  <w:rStyle w:val="InternetLink"/>
                </w:rPr>
                <w:t>May</w:t>
              </w:r>
            </w:hyperlink>
            <w:hyperlink w:anchor="exhibit992-8xkq122investor.htm">
              <w:r>
                <w:rPr>
                  <w:rStyle w:val="InternetLink"/>
                </w:rPr>
                <w:t xml:space="preserve"> </w:t>
              </w:r>
            </w:hyperlink>
            <w:hyperlink w:anchor="exhibit992-8xkq122investor.htm">
              <w:r>
                <w:rPr>
                  <w:rStyle w:val="InternetLink"/>
                </w:rPr>
                <w:t>12</w:t>
              </w:r>
            </w:hyperlink>
            <w:hyperlink w:anchor="exhibit992-8xkq122investor.htm">
              <w:r>
                <w:rPr>
                  <w:rStyle w:val="InternetLink"/>
                </w:rPr>
                <w:t>, 2022.</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hibit993-8xkq122sharerep.htm">
              <w:r>
                <w:rPr>
                  <w:rStyle w:val="InternetLink"/>
                  <w:rFonts w:ascii="Times New Roman;sans-serif" w:hAnsi="Times New Roman;sans-serif"/>
                  <w:b w:val="false"/>
                  <w:color w:val="0000FF"/>
                  <w:sz w:val="20"/>
                  <w:u w:val="single"/>
                </w:rPr>
                <w:t>Press Release issued by Expensify, Inc. dated May 12, 2022.</w:t>
              </w:r>
            </w:hyperlink>
          </w:p>
        </w:tc>
      </w:tr>
      <w:tr>
        <w:trPr/>
        <w:tc>
          <w:tcPr>
            <w:tcW w:w="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5"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SIGNATURE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3086" w:type="dxa"/>
            <w:gridSpan w:val="9"/>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Expensify, Inc.</w:t>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Ryan Schaffer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Schaffer</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jc w:val="center"/>
        <w:rPr>
          <w:rFonts w:ascii="Times New Roman;sans-serif" w:hAnsi="Times New Roman;sans-serif"/>
          <w:b/>
          <w:color w:val="000000"/>
          <w:sz w:val="20"/>
        </w:rPr>
      </w:pPr>
      <w:r>
        <w:rPr>
          <w:rFonts w:ascii="Times New Roman;sans-serif" w:hAnsi="Times New Roman;sans-serif"/>
          <w:b/>
          <w:color w:val="000000"/>
          <w:sz w:val="20"/>
        </w:rPr>
        <w:t>EXPENSIFY ANNOUNCES Q1 2022 RESULTS</w:t>
      </w:r>
    </w:p>
    <w:p>
      <w:pPr>
        <w:pStyle w:val="TextBody"/>
        <w:spacing w:lineRule="auto" w:line="300" w:before="0" w:after="2"/>
        <w:jc w:val="center"/>
        <w:rPr>
          <w:rFonts w:ascii="Times New Roman;sans-serif" w:hAnsi="Times New Roman;sans-serif"/>
          <w:b w:val="false"/>
          <w:i/>
          <w:color w:val="000000"/>
          <w:sz w:val="20"/>
        </w:rPr>
      </w:pPr>
      <w:r>
        <w:rPr>
          <w:rFonts w:ascii="Times New Roman;sans-serif" w:hAnsi="Times New Roman;sans-serif"/>
          <w:b w:val="false"/>
          <w:i/>
          <w:color w:val="000000"/>
          <w:sz w:val="20"/>
        </w:rPr>
        <w:t>Free Plan membership grew 183% Q/Q to over 9,000 customers. The company generated positive cash flow of $11.2M with a 28% cash flow margin.</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PORTLAND, Ore.--(BUSINESS WIRE)--May 12, 2022-- Expensify, Inc. (Nasdaq: EXFY), a payments superapp that helps individuals and businesses around the world simplify the way they manage money across expenses, corporate cards and bills, today announced results for its quarter ended March 31, 2022.</w:t>
      </w:r>
    </w:p>
    <w:p>
      <w:pPr>
        <w:pStyle w:val="TextBody"/>
        <w:spacing w:before="0" w:after="2"/>
        <w:rPr/>
      </w:pPr>
      <w:r>
        <w:rPr/>
      </w:r>
    </w:p>
    <w:p>
      <w:pPr>
        <w:pStyle w:val="TextBody"/>
        <w:spacing w:lineRule="auto" w:line="300" w:before="0" w:after="2"/>
        <w:rPr>
          <w:color w:val="000000"/>
        </w:rPr>
      </w:pPr>
      <w:r>
        <w:rPr>
          <w:color w:val="000000"/>
        </w:rPr>
        <w:t>“</w:t>
      </w:r>
      <w:r>
        <w:rPr>
          <w:rFonts w:ascii="Times New Roman;sans-serif" w:hAnsi="Times New Roman;sans-serif"/>
          <w:b w:val="false"/>
          <w:color w:val="000000"/>
          <w:sz w:val="20"/>
        </w:rPr>
        <w:t xml:space="preserve">The biggest news coming out of Q1 was the growth of our Free Plan for SMBs. The plan grew to over 9,000 customers, which is an 183% increase from last quarter. The plan allows members to roll out Expensify functionality across their businesses for free, including the Expensify Card, expense management, next-day reimbursement, invoicing, bill pay, and travel booking,” says David Barrett, Expensify’s founder and CEO. </w:t>
      </w:r>
    </w:p>
    <w:p>
      <w:pPr>
        <w:pStyle w:val="TextBody"/>
        <w:spacing w:before="0" w:after="2"/>
        <w:rPr/>
      </w:pPr>
      <w:r>
        <w:rPr/>
      </w:r>
    </w:p>
    <w:p>
      <w:pPr>
        <w:pStyle w:val="TextBody"/>
        <w:spacing w:lineRule="auto" w:line="300" w:before="0" w:after="2"/>
        <w:rPr>
          <w:color w:val="000000"/>
        </w:rPr>
      </w:pPr>
      <w:r>
        <w:rPr>
          <w:color w:val="000000"/>
        </w:rPr>
        <w:t>“</w:t>
      </w:r>
      <w:r>
        <w:rPr>
          <w:rFonts w:ascii="Times New Roman;sans-serif" w:hAnsi="Times New Roman;sans-serif"/>
          <w:b w:val="false"/>
          <w:color w:val="000000"/>
          <w:sz w:val="20"/>
        </w:rPr>
        <w:t>In addition to the incredible growth we’re seeing from the Free Plan, March '22 was the second best month in company history from a paid member perspective,” says Ryan Schaffer, Expensify’s CFO. “So we’re doing a great job adding users on both the paid and free sides of the business, which is encouraging and shows the momentum we have in the business right now.”</w:t>
      </w:r>
    </w:p>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First Quarter 2022 Highlights</w:t>
      </w:r>
    </w:p>
    <w:p>
      <w:pPr>
        <w:pStyle w:val="TextBody"/>
        <w:spacing w:lineRule="auto" w:line="300" w:before="0" w:after="2"/>
        <w:rPr>
          <w:rFonts w:ascii="Times New Roman;sans-serif" w:hAnsi="Times New Roman;sans-serif"/>
          <w:b/>
          <w:color w:val="000000"/>
          <w:sz w:val="20"/>
        </w:rPr>
      </w:pPr>
      <w:r>
        <w:rPr>
          <w:rFonts w:ascii="Times New Roman;sans-serif" w:hAnsi="Times New Roman;sans-serif"/>
          <w:b/>
          <w:color w:val="000000"/>
          <w:sz w:val="20"/>
        </w:rPr>
        <w:t xml:space="preserve">Financial: </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Revenue was $40.4 million, an increase of 36% from the same period last year.</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Positive operating cash flows of $11.2 million.</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Net (loss) income was $(7.4) million, compared to $8.0 million for the same period last year. This loss is driven by stock-based compensation expenses of $14.7 million.</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Non-GAAP net income was $7.3 million.</w:t>
      </w:r>
    </w:p>
    <w:p>
      <w:pPr>
        <w:pStyle w:val="TextBody"/>
        <w:spacing w:lineRule="auto" w:line="300" w:before="0" w:after="160"/>
        <w:ind w:left="0" w:right="0" w:hanging="360"/>
        <w:rPr/>
      </w:pPr>
      <w:r>
        <w:rPr>
          <w:color w:val="000000"/>
        </w:rPr>
        <w:t>•</w:t>
      </w:r>
      <w:r>
        <w:rPr>
          <w:rFonts w:ascii="Times New Roman;sans-serif" w:hAnsi="Times New Roman;sans-serif"/>
          <w:b w:val="false"/>
          <w:color w:val="000000"/>
          <w:sz w:val="20"/>
        </w:rPr>
        <w:t>Adjusted EBITDA was $11.0 million, with an Adjusted EBITDA margin of 27%.</w:t>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Business</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Free plan</w:t>
      </w:r>
      <w:r>
        <w:rPr>
          <w:color w:val="000000"/>
        </w:rPr>
        <w:t xml:space="preserve"> </w:t>
      </w:r>
      <w:r>
        <w:rPr>
          <w:rFonts w:ascii="Times New Roman;sans-serif" w:hAnsi="Times New Roman;sans-serif"/>
          <w:b w:val="false"/>
          <w:color w:val="000000"/>
          <w:sz w:val="20"/>
        </w:rPr>
        <w:t>- swelled to over 9,000 businesses in Q1, a 183% increase from the previous quarter. The Free Plan includes the Expensify Card, expense management, next-day reimbursement, invoicing, bill pay, and travel booking.</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Paid members</w:t>
      </w:r>
      <w:r>
        <w:rPr>
          <w:color w:val="000000"/>
        </w:rPr>
        <w:t xml:space="preserve"> </w:t>
      </w:r>
      <w:r>
        <w:rPr>
          <w:rFonts w:ascii="Times New Roman;sans-serif" w:hAnsi="Times New Roman;sans-serif"/>
          <w:b w:val="false"/>
          <w:color w:val="000000"/>
          <w:sz w:val="20"/>
        </w:rPr>
        <w:t xml:space="preserve">- despite the challenges presented by the COVID-19 Omicron spike early in the year, a strong second half of Q1 propelled average paid members for the quarter to 706,000, exceeding expectations. </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Expensify Card</w:t>
      </w:r>
      <w:r>
        <w:rPr>
          <w:color w:val="000000"/>
        </w:rPr>
        <w:t xml:space="preserve"> </w:t>
      </w:r>
      <w:r>
        <w:rPr>
          <w:rFonts w:ascii="Times New Roman;sans-serif" w:hAnsi="Times New Roman;sans-serif"/>
          <w:b w:val="false"/>
          <w:color w:val="000000"/>
          <w:sz w:val="20"/>
        </w:rPr>
        <w:t xml:space="preserve">- continues to perform well, interchange increased by 150% from the same period last year. </w:t>
      </w:r>
    </w:p>
    <w:p>
      <w:pPr>
        <w:pStyle w:val="TextBody"/>
        <w:spacing w:lineRule="auto" w:line="300" w:before="0" w:after="160"/>
        <w:ind w:left="0" w:right="0" w:hanging="360"/>
        <w:rPr/>
      </w:pPr>
      <w:r>
        <w:rPr>
          <w:color w:val="000000"/>
        </w:rPr>
        <w:t>•</w:t>
      </w:r>
      <w:r>
        <w:rPr>
          <w:rFonts w:ascii="Times New Roman;sans-serif" w:hAnsi="Times New Roman;sans-serif"/>
          <w:b/>
          <w:color w:val="000000"/>
          <w:sz w:val="20"/>
        </w:rPr>
        <w:t>CPA Card</w:t>
      </w:r>
      <w:r>
        <w:rPr>
          <w:color w:val="000000"/>
        </w:rPr>
        <w:t xml:space="preserve"> </w:t>
      </w:r>
      <w:r>
        <w:rPr>
          <w:rFonts w:ascii="Times New Roman;sans-serif" w:hAnsi="Times New Roman;sans-serif"/>
          <w:b w:val="false"/>
          <w:color w:val="000000"/>
          <w:sz w:val="20"/>
        </w:rPr>
        <w:t>- announced in January as the first smart card with exclusive perks, pricing, and upgrades for CPAs, accounting firms, and their clients.</w:t>
      </w:r>
    </w:p>
    <w:p>
      <w:pPr>
        <w:pStyle w:val="TextBody"/>
        <w:spacing w:before="0" w:after="2"/>
        <w:ind w:left="0" w:right="0" w:firstLine="360"/>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Financial Outlook</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Expensify's outlook statements are based on current expectations. The following statements are forward-looking and actual results could differ materially depending on market conditions and the factors set forth under “Forward-Looking Statements” below.</w:t>
      </w:r>
    </w:p>
    <w:p>
      <w:pPr>
        <w:pStyle w:val="TextBody"/>
        <w:spacing w:before="0" w:after="2"/>
        <w:rPr/>
      </w:pPr>
      <w:r>
        <w:rPr/>
      </w:r>
      <w:r>
        <w:br w:type="page"/>
      </w: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We reaffirm our long term guidance provided in connection with our fourth quarter 2021 results of 25-35% revenue growth over a multi-year period.</w:t>
      </w:r>
    </w:p>
    <w:p>
      <w:pPr>
        <w:pStyle w:val="TextBody"/>
        <w:spacing w:before="0" w:after="2"/>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Expensify is also providing an estimate on what stock based compensation is expected to look like for the rest of the fiscal year. Driven primarily by the pre-IPO grant of RSUs issued to all employees (which vest over 8 years – 1/8 after one year and quarterly thereafter), stock based compensation is estimated as seen below:</w:t>
      </w:r>
    </w:p>
    <w:p>
      <w:pPr>
        <w:pStyle w:val="TextBody"/>
        <w:spacing w:before="0" w:after="2"/>
        <w:rPr/>
      </w:pPr>
      <w:r>
        <w:rPr/>
      </w:r>
    </w:p>
    <w:p>
      <w:pPr>
        <w:pStyle w:val="TextBody"/>
        <w:spacing w:lineRule="auto" w:line="300" w:before="0" w:after="2"/>
        <w:rPr>
          <w:rFonts w:ascii="Times New Roman;sans-serif" w:hAnsi="Times New Roman;sans-serif"/>
          <w:b/>
          <w:color w:val="000000"/>
          <w:sz w:val="20"/>
        </w:rPr>
      </w:pPr>
      <w:r>
        <w:rPr>
          <w:rFonts w:ascii="Times New Roman;sans-serif" w:hAnsi="Times New Roman;sans-serif"/>
          <w:b/>
          <w:color w:val="000000"/>
          <w:sz w:val="20"/>
        </w:rPr>
        <w:t>Est. stock-based compensation (millions)</w:t>
      </w:r>
    </w:p>
    <w:tbl>
      <w:tblPr>
        <w:tblW w:w="9861" w:type="dxa"/>
        <w:jc w:val="left"/>
        <w:tblInd w:w="0" w:type="dxa"/>
        <w:tblCellMar>
          <w:top w:w="28" w:type="dxa"/>
          <w:left w:w="28" w:type="dxa"/>
          <w:bottom w:w="28" w:type="dxa"/>
          <w:right w:w="28" w:type="dxa"/>
        </w:tblCellMar>
      </w:tblPr>
      <w:tblGrid>
        <w:gridCol w:w="961"/>
        <w:gridCol w:w="844"/>
        <w:gridCol w:w="850"/>
        <w:gridCol w:w="226"/>
        <w:gridCol w:w="586"/>
        <w:gridCol w:w="109"/>
        <w:gridCol w:w="109"/>
        <w:gridCol w:w="109"/>
        <w:gridCol w:w="109"/>
        <w:gridCol w:w="226"/>
        <w:gridCol w:w="586"/>
        <w:gridCol w:w="109"/>
        <w:gridCol w:w="109"/>
        <w:gridCol w:w="109"/>
        <w:gridCol w:w="109"/>
        <w:gridCol w:w="226"/>
        <w:gridCol w:w="586"/>
        <w:gridCol w:w="109"/>
        <w:gridCol w:w="109"/>
        <w:gridCol w:w="109"/>
        <w:gridCol w:w="109"/>
        <w:gridCol w:w="226"/>
        <w:gridCol w:w="586"/>
        <w:gridCol w:w="109"/>
        <w:gridCol w:w="109"/>
        <w:gridCol w:w="109"/>
        <w:gridCol w:w="109"/>
        <w:gridCol w:w="226"/>
        <w:gridCol w:w="586"/>
        <w:gridCol w:w="109"/>
        <w:gridCol w:w="109"/>
        <w:gridCol w:w="109"/>
        <w:gridCol w:w="109"/>
        <w:gridCol w:w="226"/>
        <w:gridCol w:w="586"/>
        <w:gridCol w:w="154"/>
      </w:tblGrid>
      <w:tr>
        <w:trPr/>
        <w:tc>
          <w:tcPr>
            <w:tcW w:w="9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568" w:type="dxa"/>
            <w:gridSpan w:val="30"/>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Q2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Q3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Q4 2022</w:t>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High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High</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Cost of revenue,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Research and development</w:t>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General and administrative</w:t>
            </w:r>
          </w:p>
        </w:tc>
        <w:tc>
          <w:tcPr>
            <w:tcW w:w="81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Sales and marketing</w:t>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2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2"/>
        <w:ind w:left="0" w:right="0" w:hanging="720"/>
        <w:rPr>
          <w:rFonts w:ascii="Times New Roman;sans-serif" w:hAnsi="Times New Roman;sans-serif"/>
          <w:b w:val="false"/>
          <w:color w:val="000000"/>
          <w:sz w:val="16"/>
        </w:rPr>
      </w:pPr>
      <w:r>
        <w:rPr>
          <w:rFonts w:ascii="Times New Roman;sans-serif" w:hAnsi="Times New Roman;sans-serif"/>
          <w:b w:val="false"/>
          <w:color w:val="000000"/>
          <w:sz w:val="16"/>
        </w:rPr>
        <w:t>Note: Amounts may not sum due to minor rounding differences.</w:t>
      </w:r>
    </w:p>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Availability of Information on Expensify’s Website</w:t>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spacing w:before="0" w:after="0"/>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Conference Call </w:t>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 xml:space="preserve">Expensify will host a video call to discuss the results at 2:00 p.m. Pacific Time today. The video call information is available on Expensify’s Investor Relations website at https://ir.expensify.com. A replay of the call will be available on the site for three months. </w:t>
      </w:r>
    </w:p>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w:t>
      </w:r>
    </w:p>
    <w:p>
      <w:pPr>
        <w:pStyle w:val="TextBody"/>
        <w:spacing w:lineRule="auto" w:line="300" w:before="0" w:after="0"/>
        <w:rPr/>
      </w:pPr>
      <w:r>
        <w:rPr>
          <w:rFonts w:ascii="Times New Roman;sans-serif" w:hAnsi="Times New Roman;sans-serif"/>
          <w:b w:val="false"/>
          <w:color w:val="000000"/>
          <w:sz w:val="20"/>
        </w:rPr>
        <w:t>In addition to financial measures prepared in accordance with U.S. generally accepted accounting principles (“GAAP”), we provide certain non-GAAP financial measures, including Adjusted EBITDA and</w:t>
      </w:r>
      <w:r>
        <w:rPr>
          <w:color w:val="000000"/>
        </w:rPr>
        <w:t xml:space="preserve"> </w:t>
      </w:r>
      <w:r>
        <w:rPr>
          <w:rFonts w:ascii="Times New Roman;sans-serif" w:hAnsi="Times New Roman;sans-serif"/>
          <w:b w:val="false"/>
          <w:color w:val="000000"/>
          <w:sz w:val="20"/>
        </w:rPr>
        <w:t>Non-GAAP net income.</w:t>
      </w:r>
    </w:p>
    <w:p>
      <w:pPr>
        <w:pStyle w:val="TextBody"/>
        <w:spacing w:before="0" w:after="0"/>
        <w:rPr/>
      </w:pPr>
      <w:r>
        <w:rPr/>
      </w:r>
    </w:p>
    <w:p>
      <w:pPr>
        <w:pStyle w:val="TextBody"/>
        <w:spacing w:lineRule="auto" w:line="30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w:t>
      </w:r>
      <w:r>
        <w:br w:type="page"/>
      </w: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net income from operations excluding provision for income taxes, interest and other expenses, net, depreciation and amortization and stock based compensation.</w:t>
      </w:r>
    </w:p>
    <w:p>
      <w:pPr>
        <w:pStyle w:val="TextBody"/>
        <w:spacing w:before="0" w:after="0"/>
        <w:rPr/>
      </w:pPr>
      <w:r>
        <w:rPr/>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We define non-GAAP net income as net income from operations in accordance with US GAAP excluding stock-based compensation and IPO-related bonus costs. In prior periods, this metric only excluded IPO-related bonus costs and did not exclude expenses related to stock-based compensation. However, management now believes that further excluding stock-based compensation from non-GAAP net income is useful to better understand the financial performance of our business and to facilitate a better comparison of our results to those of peer companies over multiple periods given that this item may vary between companies for reasons unrelated to overall operating performance. IPO-related bonus costs impacted the second, third and fourth fiscal quarters of 2021, but are not expected to impact future periods beginning with the first quarter of 2022.</w:t>
      </w:r>
    </w:p>
    <w:p>
      <w:pPr>
        <w:pStyle w:val="TextBody"/>
        <w:spacing w:before="0" w:after="2"/>
        <w:rPr/>
      </w:pPr>
      <w:r>
        <w:rPr/>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The tables at the end of the Financial Statements provide reconciliations to the most directly comparable GAAP financial measure to each of these non-GAAP financial measures.</w:t>
      </w:r>
    </w:p>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spacing w:lineRule="auto" w:line="300"/>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economic, political and social impact of, and uncertainty relating to, the COVID-19 pandemic; the war in Ukraine and escalating geopolitical tensions as a result of Russia's invasion of Ukraine;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the societal and economic impact of the COVID-19 pandemic, and geopolitical </w:t>
      </w:r>
      <w:r>
        <w:br w:type="page"/>
      </w: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0"/>
        <w:rPr>
          <w:rFonts w:ascii="Times New Roman;sans-serif" w:hAnsi="Times New Roman;sans-serif"/>
          <w:b w:val="false"/>
          <w:color w:val="000000"/>
          <w:sz w:val="20"/>
        </w:rPr>
      </w:pPr>
      <w:r>
        <w:rPr>
          <w:rFonts w:ascii="Times New Roman;sans-serif" w:hAnsi="Times New Roman;sans-serif"/>
          <w:b w:val="false"/>
          <w:color w:val="000000"/>
          <w:sz w:val="20"/>
        </w:rPr>
        <w:t>uncertainty and instability;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spacing w:before="0" w:after="2"/>
        <w:rPr/>
      </w:pPr>
      <w:r>
        <w:rPr/>
      </w:r>
    </w:p>
    <w:p>
      <w:pPr>
        <w:pStyle w:val="TextBody"/>
        <w:spacing w:lineRule="auto" w:line="300" w:before="0" w:after="160"/>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Expensify is a payments superapp that helps individuals and businesses around the world simplify the way they manage money. More than 10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spacing w:before="0" w:after="2"/>
        <w:rPr/>
      </w:pPr>
      <w:r>
        <w:rPr/>
      </w:r>
    </w:p>
    <w:p>
      <w:pPr>
        <w:pStyle w:val="TextBody"/>
        <w:spacing w:lineRule="auto" w:line="276" w:before="0" w:after="160"/>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Nick Tooker</w:t>
      </w:r>
    </w:p>
    <w:p>
      <w:pPr>
        <w:pStyle w:val="TextBody"/>
        <w:spacing w:lineRule="auto" w:line="276" w:before="0" w:after="240"/>
        <w:rPr>
          <w:rFonts w:ascii="Times New Roman;sans-serif" w:hAnsi="Times New Roman;sans-serif"/>
          <w:b w:val="false"/>
          <w:color w:val="000000"/>
          <w:sz w:val="20"/>
        </w:rPr>
      </w:pPr>
      <w:r>
        <w:rPr>
          <w:rFonts w:ascii="Times New Roman;sans-serif" w:hAnsi="Times New Roman;sans-serif"/>
          <w:b w:val="false"/>
          <w:color w:val="000000"/>
          <w:sz w:val="20"/>
        </w:rPr>
        <w:t>investors@expensify.com</w:t>
      </w:r>
    </w:p>
    <w:p>
      <w:pPr>
        <w:pStyle w:val="TextBody"/>
        <w:spacing w:lineRule="auto" w:line="276" w:before="0" w:after="160"/>
        <w:rPr>
          <w:rFonts w:ascii="Times New Roman;sans-serif" w:hAnsi="Times New Roman;sans-serif"/>
          <w:b/>
          <w:color w:val="000000"/>
          <w:sz w:val="20"/>
        </w:rPr>
      </w:pPr>
      <w:r>
        <w:rPr>
          <w:rFonts w:ascii="Times New Roman;sans-serif" w:hAnsi="Times New Roman;sans-serif"/>
          <w:b/>
          <w:color w:val="000000"/>
          <w:sz w:val="20"/>
        </w:rPr>
        <w:t>Press Contact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James Dean</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press@expensify.com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205" w:type="dxa"/>
        <w:jc w:val="center"/>
        <w:tblInd w:w="0" w:type="dxa"/>
        <w:tblCellMar>
          <w:top w:w="28" w:type="dxa"/>
          <w:left w:w="28" w:type="dxa"/>
          <w:bottom w:w="28" w:type="dxa"/>
          <w:right w:w="28" w:type="dxa"/>
        </w:tblCellMar>
      </w:tblPr>
      <w:tblGrid>
        <w:gridCol w:w="2799"/>
        <w:gridCol w:w="2311"/>
        <w:gridCol w:w="2333"/>
        <w:gridCol w:w="216"/>
        <w:gridCol w:w="849"/>
        <w:gridCol w:w="112"/>
        <w:gridCol w:w="109"/>
        <w:gridCol w:w="109"/>
        <w:gridCol w:w="109"/>
        <w:gridCol w:w="222"/>
        <w:gridCol w:w="870"/>
        <w:gridCol w:w="166"/>
      </w:tblGrid>
      <w:tr>
        <w:trPr/>
        <w:tc>
          <w:tcPr>
            <w:tcW w:w="2799"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233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74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7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98,398 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15,713 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assets</w:t>
            </w:r>
          </w:p>
        </w:tc>
        <w:tc>
          <w:tcPr>
            <w:tcW w:w="10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loan receivable, current</w:t>
            </w:r>
          </w:p>
        </w:tc>
        <w:tc>
          <w:tcPr>
            <w:tcW w:w="10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14,201 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174,242 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157,642 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net</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right-of-use assets</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0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6"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line of credit</w:t>
            </w:r>
          </w:p>
        </w:tc>
        <w:tc>
          <w:tcPr>
            <w:tcW w:w="10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 net of issuance costs</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current</w:t>
            </w:r>
          </w:p>
        </w:tc>
        <w:tc>
          <w:tcPr>
            <w:tcW w:w="10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liabilities</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non-current</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issuance costs</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51,847 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52,067 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4)</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$0.0001; 1,000,000,000 shares of Class A common stock authorized as of March 31, 2022 and December 31, 2021; 68,050,193 and 67,844,060 shares of Class A common stock issued and outstanding as of March 31, 2022 and December 31, 2021, respectively; 25,000,000 shares of LT10 common stock authorized as of March 31, 2022 and December 31, 2021; 7,332,640 shares of LT10 common stock issued and outstanding as of March 31, 2022 and December 31, 2021; 25,000,000 shares of LT50 common stock authorized as of March 31, 2022 and December 31, 2021; 6,224,160 shares of LT50 common stock issued and outstanding as of March 31, 2022 and December 31, 2021</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6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157,743 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6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(73,282)</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(65,906)</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84,467 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76,615 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443"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4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77"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58"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Income</w:t>
      </w:r>
    </w:p>
    <w:p>
      <w:pPr>
        <w:pStyle w:val="TextBody"/>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in thousands, except share and per share data) </w:t>
      </w:r>
    </w:p>
    <w:tbl>
      <w:tblPr>
        <w:tblW w:w="10205" w:type="dxa"/>
        <w:jc w:val="center"/>
        <w:tblInd w:w="0" w:type="dxa"/>
        <w:tblCellMar>
          <w:top w:w="28" w:type="dxa"/>
          <w:left w:w="28" w:type="dxa"/>
          <w:bottom w:w="28" w:type="dxa"/>
          <w:right w:w="28" w:type="dxa"/>
        </w:tblCellMar>
      </w:tblPr>
      <w:tblGrid>
        <w:gridCol w:w="2899"/>
        <w:gridCol w:w="2104"/>
        <w:gridCol w:w="2119"/>
        <w:gridCol w:w="267"/>
        <w:gridCol w:w="979"/>
        <w:gridCol w:w="109"/>
        <w:gridCol w:w="109"/>
        <w:gridCol w:w="109"/>
        <w:gridCol w:w="109"/>
        <w:gridCol w:w="267"/>
        <w:gridCol w:w="979"/>
        <w:gridCol w:w="155"/>
      </w:tblGrid>
      <w:tr>
        <w:trPr/>
        <w:tc>
          <w:tcPr>
            <w:tcW w:w="2899"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1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8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1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Revenue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29,720 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2"/>
              </w:rPr>
              <w:t>Cost of revenue, net</w:t>
            </w:r>
            <w:r>
              <w:rPr>
                <w:rFonts w:ascii="Times New Roman;sans-serif" w:hAnsi="Times New Roman;sans-serif"/>
                <w:b w:val="false"/>
                <w:color w:val="000000"/>
                <w:sz w:val="14"/>
              </w:rPr>
              <w:t>(1)</w:t>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7,637 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Gross margin</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22,083 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Operating expenses:</w:t>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2"/>
              </w:rPr>
              <w:t>Research and development</w:t>
            </w:r>
            <w:r>
              <w:rPr>
                <w:rFonts w:ascii="Times New Roman;sans-serif" w:hAnsi="Times New Roman;sans-serif"/>
                <w:b w:val="false"/>
                <w:color w:val="000000"/>
                <w:sz w:val="14"/>
              </w:rPr>
              <w:t>(1)</w:t>
            </w:r>
          </w:p>
        </w:tc>
        <w:tc>
          <w:tcPr>
            <w:tcW w:w="12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2"/>
              </w:rPr>
              <w:t>General and administrative</w:t>
            </w:r>
            <w:r>
              <w:rPr>
                <w:rFonts w:ascii="Times New Roman;sans-serif" w:hAnsi="Times New Roman;sans-serif"/>
                <w:b w:val="false"/>
                <w:color w:val="000000"/>
                <w:sz w:val="14"/>
              </w:rPr>
              <w:t>(1)</w:t>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6,367 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
              <w:jc w:val="left"/>
              <w:rPr/>
            </w:pPr>
            <w:r>
              <w:rPr>
                <w:rFonts w:ascii="Times New Roman;sans-serif" w:hAnsi="Times New Roman;sans-serif"/>
                <w:b w:val="false"/>
                <w:color w:val="000000"/>
                <w:sz w:val="22"/>
              </w:rPr>
              <w:t>Sales and marketing</w:t>
            </w:r>
            <w:r>
              <w:rPr>
                <w:rFonts w:ascii="Times New Roman;sans-serif" w:hAnsi="Times New Roman;sans-serif"/>
                <w:b w:val="false"/>
                <w:color w:val="000000"/>
                <w:sz w:val="14"/>
              </w:rPr>
              <w:t>(1)</w:t>
            </w:r>
          </w:p>
        </w:tc>
        <w:tc>
          <w:tcPr>
            <w:tcW w:w="12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13,372 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3,077 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Total operating expenses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10,541 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(Loss) income from operations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(4,842)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11,542 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and other expenses, net</w:t>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(737)</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(Loss) income before income taxes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10,805 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Provision for income taxes</w:t>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(2,762)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 income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income allocated to participating securities</w:t>
            </w:r>
          </w:p>
        </w:tc>
        <w:tc>
          <w:tcPr>
            <w:tcW w:w="12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(5,547)</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 income attributable to Class A, LT10 and LT50 common stockholders</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 income per share attributable to Class A, LT10 and LT50 common stockholders:</w:t>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Basic</w:t>
            </w:r>
          </w:p>
        </w:tc>
        <w:tc>
          <w:tcPr>
            <w:tcW w:w="26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Diluted</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97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0.06 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Weighted-average shares of common stock used to compute net (loss) income per share attributable to Class A, LT10 and LT50 common stockholders:</w:t>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Basic</w:t>
            </w:r>
          </w:p>
        </w:tc>
        <w:tc>
          <w:tcPr>
            <w:tcW w:w="12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80,147,208 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29,522,409 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Diluted</w:t>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80,147,208 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40,576,339 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22"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35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40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2"/>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p>
      <w:pPr>
        <w:pStyle w:val="TextBody"/>
        <w:spacing w:before="0" w:after="2"/>
        <w:rPr/>
      </w:pPr>
      <w:r>
        <w:rPr/>
      </w:r>
    </w:p>
    <w:tbl>
      <w:tblPr>
        <w:tblW w:w="4947" w:type="dxa"/>
        <w:jc w:val="left"/>
        <w:tblInd w:w="0" w:type="dxa"/>
        <w:tblCellMar>
          <w:top w:w="28" w:type="dxa"/>
          <w:left w:w="28" w:type="dxa"/>
          <w:bottom w:w="28" w:type="dxa"/>
          <w:right w:w="28" w:type="dxa"/>
        </w:tblCellMar>
      </w:tblPr>
      <w:tblGrid>
        <w:gridCol w:w="922"/>
        <w:gridCol w:w="811"/>
        <w:gridCol w:w="816"/>
        <w:gridCol w:w="234"/>
        <w:gridCol w:w="700"/>
        <w:gridCol w:w="141"/>
        <w:gridCol w:w="141"/>
        <w:gridCol w:w="141"/>
        <w:gridCol w:w="141"/>
        <w:gridCol w:w="234"/>
        <w:gridCol w:w="467"/>
        <w:gridCol w:w="199"/>
      </w:tblGrid>
      <w:tr>
        <w:trPr/>
        <w:tc>
          <w:tcPr>
            <w:tcW w:w="922"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12"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Cost of revenue, net</w:t>
            </w:r>
          </w:p>
        </w:tc>
        <w:tc>
          <w:tcPr>
            <w:tcW w:w="23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0"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Research and development</w:t>
            </w:r>
          </w:p>
        </w:tc>
        <w:tc>
          <w:tcPr>
            <w:tcW w:w="93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2,708 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General and administrative</w:t>
            </w:r>
          </w:p>
        </w:tc>
        <w:tc>
          <w:tcPr>
            <w:tcW w:w="934"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4,975 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Sales and marketing</w:t>
            </w:r>
          </w:p>
        </w:tc>
        <w:tc>
          <w:tcPr>
            <w:tcW w:w="934"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2,076 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Total stock-based compensation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14,667 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75"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42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00" w:type="dxa"/>
            <w:gridSpan w:val="3"/>
            <w:tcBorders>
              <w:top w:val="doub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tbl>
      <w:tblPr>
        <w:tblW w:w="9012" w:type="dxa"/>
        <w:jc w:val="left"/>
        <w:tblInd w:w="0" w:type="dxa"/>
        <w:tblCellMar>
          <w:top w:w="28" w:type="dxa"/>
          <w:left w:w="28" w:type="dxa"/>
          <w:bottom w:w="28" w:type="dxa"/>
          <w:right w:w="28" w:type="dxa"/>
        </w:tblCellMar>
      </w:tblPr>
      <w:tblGrid>
        <w:gridCol w:w="2397"/>
        <w:gridCol w:w="2100"/>
        <w:gridCol w:w="2118"/>
        <w:gridCol w:w="199"/>
        <w:gridCol w:w="747"/>
        <w:gridCol w:w="110"/>
        <w:gridCol w:w="110"/>
        <w:gridCol w:w="110"/>
        <w:gridCol w:w="110"/>
        <w:gridCol w:w="199"/>
        <w:gridCol w:w="656"/>
        <w:gridCol w:w="156"/>
      </w:tblGrid>
      <w:tr>
        <w:trPr/>
        <w:tc>
          <w:tcPr>
            <w:tcW w:w="2397" w:type="dxa"/>
            <w:tcBorders/>
            <w:shd w:fill="auto" w:val="clear"/>
            <w:vAlign w:val="center"/>
          </w:tcPr>
          <w:p>
            <w:pPr>
              <w:pStyle w:val="TableContents"/>
              <w:spacing w:before="0" w:after="283"/>
              <w:rPr>
                <w:sz w:val="4"/>
                <w:szCs w:val="4"/>
              </w:rPr>
            </w:pPr>
            <w:r>
              <w:rPr>
                <w:sz w:val="4"/>
                <w:szCs w:val="4"/>
              </w:rPr>
            </w:r>
          </w:p>
        </w:tc>
        <w:tc>
          <w:tcPr>
            <w:tcW w:w="2100" w:type="dxa"/>
            <w:tcBorders/>
            <w:shd w:fill="auto" w:val="clear"/>
            <w:vAlign w:val="center"/>
          </w:tcPr>
          <w:p>
            <w:pPr>
              <w:pStyle w:val="TableContents"/>
              <w:spacing w:before="0" w:after="283"/>
              <w:rPr>
                <w:sz w:val="4"/>
                <w:szCs w:val="4"/>
              </w:rPr>
            </w:pPr>
            <w:r>
              <w:rPr>
                <w:sz w:val="4"/>
                <w:szCs w:val="4"/>
              </w:rPr>
            </w:r>
          </w:p>
        </w:tc>
        <w:tc>
          <w:tcPr>
            <w:tcW w:w="211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operating activities:</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8,043 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income to net cash provided (used) by operating activities: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Reduction of operating lease right-of-use assets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impairment, receivables and sale or disposal of equipment</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assets and liabilities: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loan receivables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assets</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(2,635)</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Settlement liabilities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investing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Software development costs</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by investing activities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flows from financing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of finance leases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of term loan</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deferred offering costs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common stock</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restricted stock units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of early exercised stock options</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on exercise of stock options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and cash equivalents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beginning of period</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125,315 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46,878 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end of period</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136,083 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Supplemental disclosure of cash flow information:</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199"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investing and financing items: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deferred offering costs</w:t>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Reconciliation of cash, cash equivalents and restricted cash to the consolidated balance sheets</w:t>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101,101 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41,926 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other current assets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other assets</w:t>
            </w:r>
          </w:p>
        </w:tc>
        <w:tc>
          <w:tcPr>
            <w:tcW w:w="946"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included in settlement assets</w:t>
            </w:r>
          </w:p>
        </w:tc>
        <w:tc>
          <w:tcPr>
            <w:tcW w:w="946"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24,963 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9,959 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3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00" w:before="0" w:after="2"/>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99.1</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2"/>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Reconciliation of GAAP to Non-GAAP Financial Measures</w:t>
      </w:r>
    </w:p>
    <w:p>
      <w:pPr>
        <w:pStyle w:val="TextBody"/>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 in thousands)</w:t>
      </w:r>
    </w:p>
    <w:p>
      <w:pPr>
        <w:pStyle w:val="TextBody"/>
        <w:spacing w:lineRule="auto" w:line="300" w:before="0" w:after="2"/>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tbl>
      <w:tblPr>
        <w:tblW w:w="5699" w:type="dxa"/>
        <w:jc w:val="left"/>
        <w:tblInd w:w="0" w:type="dxa"/>
        <w:tblCellMar>
          <w:top w:w="28" w:type="dxa"/>
          <w:left w:w="28" w:type="dxa"/>
          <w:bottom w:w="28" w:type="dxa"/>
          <w:right w:w="28" w:type="dxa"/>
        </w:tblCellMar>
      </w:tblPr>
      <w:tblGrid>
        <w:gridCol w:w="1110"/>
        <w:gridCol w:w="980"/>
        <w:gridCol w:w="984"/>
        <w:gridCol w:w="428"/>
        <w:gridCol w:w="1569"/>
        <w:gridCol w:w="628"/>
      </w:tblGrid>
      <w:tr>
        <w:trPr/>
        <w:tc>
          <w:tcPr>
            <w:tcW w:w="111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 income</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(7,376)</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 income margin</w:t>
            </w:r>
          </w:p>
        </w:tc>
        <w:tc>
          <w:tcPr>
            <w:tcW w:w="19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w:t>
            </w:r>
          </w:p>
        </w:tc>
        <w:tc>
          <w:tcPr>
            <w:tcW w:w="628"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w:t>
            </w:r>
          </w:p>
        </w:tc>
        <w:tc>
          <w:tcPr>
            <w:tcW w:w="2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Provision for income taxes</w:t>
            </w:r>
          </w:p>
        </w:tc>
        <w:tc>
          <w:tcPr>
            <w:tcW w:w="19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1,632 </w:t>
            </w:r>
          </w:p>
        </w:tc>
        <w:tc>
          <w:tcPr>
            <w:tcW w:w="6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and other expenses, net</w:t>
            </w:r>
          </w:p>
        </w:tc>
        <w:tc>
          <w:tcPr>
            <w:tcW w:w="19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902 </w:t>
            </w:r>
          </w:p>
        </w:tc>
        <w:tc>
          <w:tcPr>
            <w:tcW w:w="6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Depreciation and amortization</w:t>
            </w:r>
          </w:p>
        </w:tc>
        <w:tc>
          <w:tcPr>
            <w:tcW w:w="1997"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1,167 </w:t>
            </w:r>
          </w:p>
        </w:tc>
        <w:tc>
          <w:tcPr>
            <w:tcW w:w="6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Stock-based compensation</w:t>
            </w:r>
          </w:p>
        </w:tc>
        <w:tc>
          <w:tcPr>
            <w:tcW w:w="1997"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14,667 </w:t>
            </w:r>
          </w:p>
        </w:tc>
        <w:tc>
          <w:tcPr>
            <w:tcW w:w="6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Adjusted EBITDA</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10,992 </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Adjusted EBITDA margin</w:t>
            </w:r>
          </w:p>
        </w:tc>
        <w:tc>
          <w:tcPr>
            <w:tcW w:w="19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07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625"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2"/>
        <w:rPr/>
      </w:pPr>
      <w:r>
        <w:rPr/>
      </w:r>
    </w:p>
    <w:p>
      <w:pPr>
        <w:pStyle w:val="TextBody"/>
        <w:spacing w:lineRule="auto" w:line="300" w:before="0" w:after="2"/>
        <w:rPr>
          <w:rFonts w:ascii="Times New Roman;sans-serif" w:hAnsi="Times New Roman;sans-serif"/>
          <w:b w:val="false"/>
          <w:i/>
          <w:color w:val="000000"/>
          <w:sz w:val="20"/>
        </w:rPr>
      </w:pPr>
      <w:r>
        <w:rPr>
          <w:rFonts w:ascii="Times New Roman;sans-serif" w:hAnsi="Times New Roman;sans-serif"/>
          <w:b w:val="false"/>
          <w:i/>
          <w:color w:val="000000"/>
          <w:sz w:val="20"/>
        </w:rPr>
        <w:t>Non-GAAP net income</w:t>
      </w:r>
    </w:p>
    <w:tbl>
      <w:tblPr>
        <w:tblW w:w="5654" w:type="dxa"/>
        <w:jc w:val="left"/>
        <w:tblInd w:w="0" w:type="dxa"/>
        <w:tblCellMar>
          <w:top w:w="28" w:type="dxa"/>
          <w:left w:w="28" w:type="dxa"/>
          <w:bottom w:w="28" w:type="dxa"/>
          <w:right w:w="28" w:type="dxa"/>
        </w:tblCellMar>
      </w:tblPr>
      <w:tblGrid>
        <w:gridCol w:w="1094"/>
        <w:gridCol w:w="966"/>
        <w:gridCol w:w="970"/>
        <w:gridCol w:w="438"/>
        <w:gridCol w:w="1544"/>
        <w:gridCol w:w="642"/>
      </w:tblGrid>
      <w:tr>
        <w:trPr/>
        <w:tc>
          <w:tcPr>
            <w:tcW w:w="1094"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top w:val="single" w:sz="16"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 income</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(7,376)</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(loss) income margin</w:t>
            </w:r>
          </w:p>
        </w:tc>
        <w:tc>
          <w:tcPr>
            <w:tcW w:w="19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w:t>
            </w:r>
          </w:p>
        </w:tc>
        <w:tc>
          <w:tcPr>
            <w:tcW w:w="642" w:type="dxa"/>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w:t>
            </w:r>
          </w:p>
        </w:tc>
        <w:tc>
          <w:tcPr>
            <w:tcW w:w="2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Stock-based compensation</w:t>
            </w:r>
          </w:p>
        </w:tc>
        <w:tc>
          <w:tcPr>
            <w:tcW w:w="1982" w:type="dxa"/>
            <w:gridSpan w:val="2"/>
            <w:tcBorders/>
            <w:shd w:fill="FFFFFF" w:val="clear"/>
            <w:tcMar>
              <w:top w:w="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14,667 </w:t>
            </w:r>
          </w:p>
        </w:tc>
        <w:tc>
          <w:tcPr>
            <w:tcW w:w="6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IPO-related bonus expense</w:t>
            </w:r>
          </w:p>
        </w:tc>
        <w:tc>
          <w:tcPr>
            <w:tcW w:w="1982" w:type="dxa"/>
            <w:gridSpan w:val="2"/>
            <w:tcBorders/>
            <w:shd w:fill="CCEEFF" w:val="clear"/>
            <w:tcMar>
              <w:top w:w="0" w:type="dxa"/>
              <w:left w:w="0" w:type="dxa"/>
              <w:bottom w:w="0" w:type="dxa"/>
              <w:right w:w="0" w:type="dxa"/>
            </w:tcMar>
            <w:vAlign w:val="center"/>
          </w:tcPr>
          <w:p>
            <w:pPr>
              <w:pStyle w:val="TableContents"/>
              <w:spacing w:lineRule="auto" w:line="300" w:before="0" w:after="283"/>
              <w:jc w:val="right"/>
              <w:rPr>
                <w:color w:val="000000"/>
              </w:rPr>
            </w:pPr>
            <w:r>
              <w:rPr>
                <w:color w:val="000000"/>
              </w:rPr>
              <w:t>— </w:t>
            </w:r>
          </w:p>
        </w:tc>
        <w:tc>
          <w:tcPr>
            <w:tcW w:w="6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net income</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7,291 </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net income margin</w:t>
            </w:r>
          </w:p>
        </w:tc>
        <w:tc>
          <w:tcPr>
            <w:tcW w:w="19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30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w:t>
            </w:r>
          </w:p>
        </w:tc>
      </w:tr>
      <w:tr>
        <w:trPr/>
        <w:tc>
          <w:tcPr>
            <w:tcW w:w="303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624" w:type="dxa"/>
            <w:gridSpan w:val="3"/>
            <w:tcBorders>
              <w:top w:val="doub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7"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9"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21" name="Frame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3" name="Frame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5" name="Frame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7" name="Frame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9" name="Frame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31" name="Frame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drawing>
          <wp:inline distT="0" distB="63500" distL="0" distR="0">
            <wp:extent cx="9144000" cy="51435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spacing w:before="0" w:after="0"/>
        <w:jc w:val="center"/>
        <w:rPr/>
      </w:pPr>
      <w:r>
        <w:rPr/>
      </w:r>
    </w:p>
    <w:p>
      <w:pPr>
        <w:pStyle w:val="TextBody"/>
        <w:jc w:val="center"/>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3" name="Frame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35" name="Frame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37" name="Frame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spacing w:lineRule="auto" w:line="288"/>
        <w:jc w:val="center"/>
        <w:rPr/>
      </w:pPr>
      <w:r>
        <w:rPr/>
        <w:drawing>
          <wp:inline distT="0" distB="63500" distL="0" distR="0">
            <wp:extent cx="9144000" cy="5143500"/>
            <wp:effectExtent l="0" t="0" r="0" b="0"/>
            <wp:docPr id="3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r>
        <w:rPr>
          <w:color w:val="000000"/>
        </w:rPr>
        <w:t xml:space="preserve"> </w:t>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9" name="Frame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1" name="Frame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3" name="Frame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5"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7"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4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9"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1"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3"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5"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7"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5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9"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5" descr=""/>
                    <pic:cNvPicPr>
                      <a:picLocks noChangeAspect="1" noChangeArrowheads="1"/>
                    </pic:cNvPicPr>
                  </pic:nvPicPr>
                  <pic:blipFill>
                    <a:blip r:embed="rId26"/>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1"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6" descr=""/>
                    <pic:cNvPicPr>
                      <a:picLocks noChangeAspect="1" noChangeArrowheads="1"/>
                    </pic:cNvPicPr>
                  </pic:nvPicPr>
                  <pic:blipFill>
                    <a:blip r:embed="rId27"/>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3"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7" descr=""/>
                    <pic:cNvPicPr>
                      <a:picLocks noChangeAspect="1" noChangeArrowheads="1"/>
                    </pic:cNvPicPr>
                  </pic:nvPicPr>
                  <pic:blipFill>
                    <a:blip r:embed="rId28"/>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5"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8" descr=""/>
                    <pic:cNvPicPr>
                      <a:picLocks noChangeAspect="1" noChangeArrowheads="1"/>
                    </pic:cNvPicPr>
                  </pic:nvPicPr>
                  <pic:blipFill>
                    <a:blip r:embed="rId29"/>
                    <a:stretch>
                      <a:fillRect/>
                    </a:stretch>
                  </pic:blipFill>
                  <pic:spPr bwMode="auto">
                    <a:xfrm>
                      <a:off x="0" y="0"/>
                      <a:ext cx="9144000" cy="5143500"/>
                    </a:xfrm>
                    <a:prstGeom prst="rect">
                      <a:avLst/>
                    </a:prstGeom>
                  </pic:spPr>
                </pic:pic>
              </a:graphicData>
            </a:graphic>
          </wp:inline>
        </w:drawing>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99.2</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v:rect>
            </w:pict>
          </mc:Fallback>
        </mc:AlternateConten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Expensify,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Investor Presentation</w:t>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9144000" cy="5143500"/>
            <wp:effectExtent l="0" t="0" r="0" b="0"/>
            <wp:docPr id="6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9" descr=""/>
                    <pic:cNvPicPr>
                      <a:picLocks noChangeAspect="1" noChangeArrowheads="1"/>
                    </pic:cNvPicPr>
                  </pic:nvPicPr>
                  <pic:blipFill>
                    <a:blip r:embed="rId30"/>
                    <a:stretch>
                      <a:fillRect/>
                    </a:stretch>
                  </pic:blipFill>
                  <pic:spPr bwMode="auto">
                    <a:xfrm>
                      <a:off x="0" y="0"/>
                      <a:ext cx="9144000" cy="5143500"/>
                    </a:xfrm>
                    <a:prstGeom prst="rect">
                      <a:avLst/>
                    </a:prstGeom>
                  </pic:spPr>
                </pic:pic>
              </a:graphicData>
            </a:graphic>
          </wp:inline>
        </w:drawing>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99.3</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EXPENSIFY ANNOUNCES SHARE REPURCHASE PROGRAM</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program authorizes up to $50 million of Class A common stock to be repurchased.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PORTLAND, Ore.--(BUSINESS WIRE)--May 12, 2022-- Expensify, Inc. (Nasdaq: EXFY), a payments superapp that helps individuals and businesses around the world simplify the way they manage money across expenses, corporate cards and bills, today announced that its Board of Directors approved a new share repurchase program with authorization to purchase up to $50 million of shares of its Class A common stock. </w:t>
      </w:r>
    </w:p>
    <w:p>
      <w:pPr>
        <w:pStyle w:val="TextBody"/>
        <w:spacing w:before="0" w:after="0"/>
        <w:rPr/>
      </w:pPr>
      <w:r>
        <w:rPr/>
      </w:r>
    </w:p>
    <w:p>
      <w:pPr>
        <w:pStyle w:val="TextBody"/>
        <w:spacing w:lineRule="auto" w:line="288" w:before="0" w:after="0"/>
        <w:rPr>
          <w:color w:val="000000"/>
        </w:rPr>
      </w:pPr>
      <w:r>
        <w:rPr>
          <w:color w:val="000000"/>
        </w:rPr>
        <w:t>“</w:t>
      </w:r>
      <w:r>
        <w:rPr>
          <w:rFonts w:ascii="Times New Roman;sans-serif" w:hAnsi="Times New Roman;sans-serif"/>
          <w:b w:val="false"/>
          <w:color w:val="000000"/>
          <w:sz w:val="20"/>
        </w:rPr>
        <w:t>With the current market volatility due to macroeconomic conditions, we believe there is, and could continue to be, an attractive buying opportunity for our stock. Our positive free cash flow puts us in a good position to be able to initiate a buyback program and return value to our shareholders,” said Expensify CFO, Ryan Schaffer.</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new share repurchase program is designed to return value to shareholders by offsetting dilution from stock issuances and reducing share count over time. Expensify may repurchase shares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restrictions under the terms of our loan agreements and other considerations. This program has no termination date, may be suspended or discontinued at any time and does not obligate the company to acquire any amount of common stock.</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spacing w:before="0" w:after="0"/>
        <w:rPr/>
      </w:pPr>
      <w:r>
        <w:rPr/>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in this press release, which are not historical facts, are forward-looking statements within the meaning of the Private Securities Litigation Reform Act of 1955. These statements include statements regarding our intended share repurchases and expected shareholder benefits; expected funding through cash generated from operations; and our expected future free cash flow generation.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economic, political and social impact of, and uncertainty relating to, the COVID-19 pandemic; the war in Ukraine and escalating geopolitical tensions as a result of Russia's invasion of Ukraine;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w:t>
      </w:r>
      <w:r>
        <w:br w:type="page"/>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99.3</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property; general economic conditions in either domestic or international markets, including the societal and economic impact of the COVID-19 pandemic, and geopolitical uncertainty and instability;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About Expensify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Expensify is a payments superapp that helps individuals and businesses around the world simplify the way they manage money. More than 10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40</Pages>
  <Words>5089</Words>
  <CharactersWithSpaces>33739</CharactersWithSpaces>
  <Paragraphs>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