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1366520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1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8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ind w:left="3280"/>
        <w:spacing w:after="0" w:line="210" w:lineRule="auto"/>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15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0"/>
          <w:szCs w:val="40"/>
          <w:b w:val="1"/>
          <w:bCs w:val="1"/>
          <w:color w:val="auto"/>
        </w:rPr>
        <w:t>Expensify, Inc.</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7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30219Q106</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8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4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71"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347" w:lineRule="exact"/>
        <w:rPr>
          <w:sz w:val="24"/>
          <w:szCs w:val="24"/>
          <w:color w:val="auto"/>
        </w:rPr>
      </w:pPr>
    </w:p>
    <w:p>
      <w:pPr>
        <w:ind w:left="480" w:hanging="454"/>
        <w:spacing w:after="0" w:line="250"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ectPr>
          <w:pgSz w:w="11900" w:h="16838" w:orient="portrait"/>
          <w:cols w:equalWidth="0" w:num="1">
            <w:col w:w="10980"/>
          </w:cols>
          <w:pgMar w:left="320" w:top="1440" w:right="599" w:bottom="1440" w:gutter="0" w:footer="0" w:header="0"/>
        </w:sectPr>
      </w:pPr>
    </w:p>
    <w:bookmarkStart w:id="1" w:name="page2"/>
    <w:bookmarkEnd w:id="1"/>
    <w:p>
      <w:pPr>
        <w:spacing w:after="0" w:line="18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tabs>
          <w:tab w:leader="none" w:pos="5080" w:val="left"/>
          <w:tab w:leader="none" w:pos="992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40575" cy="5332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533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45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71" w:lineRule="exact"/>
        <w:rPr>
          <w:sz w:val="20"/>
          <w:szCs w:val="20"/>
          <w:color w:val="auto"/>
        </w:rPr>
      </w:pPr>
    </w:p>
    <w:p>
      <w:pPr>
        <w:ind w:left="660" w:right="800"/>
        <w:spacing w:after="0" w:line="238" w:lineRule="auto"/>
        <w:rPr>
          <w:sz w:val="20"/>
          <w:szCs w:val="20"/>
          <w:color w:val="auto"/>
        </w:rPr>
      </w:pPr>
      <w:r>
        <w:rPr>
          <w:rFonts w:ascii="Times New Roman" w:cs="Times New Roman" w:eastAsia="Times New Roman" w:hAnsi="Times New Roman"/>
          <w:sz w:val="22"/>
          <w:szCs w:val="22"/>
          <w:b w:val="1"/>
          <w:bCs w:val="1"/>
          <w:color w:val="auto"/>
        </w:rPr>
        <w:t>David Barrett, individually and as trustee of the Barrett Family Trust, solely in such trust’s capacity as the controlling member of Barrett Trust LLC</w:t>
      </w:r>
    </w:p>
    <w:p>
      <w:pPr>
        <w:spacing w:after="0" w:line="20" w:lineRule="exact"/>
        <w:rPr>
          <w:sz w:val="20"/>
          <w:szCs w:val="20"/>
          <w:color w:val="auto"/>
        </w:rPr>
      </w:pPr>
    </w:p>
    <w:p>
      <w:pPr>
        <w:ind w:left="660" w:hanging="45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5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5</w:t>
            </w: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Sole Voting Power</w:t>
            </w:r>
          </w:p>
        </w:tc>
      </w:tr>
    </w:tbl>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286"/>
        </w:trPr>
        <w:tc>
          <w:tcPr>
            <w:tcW w:w="116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3,107,361</w:t>
            </w:r>
          </w:p>
        </w:tc>
        <w:tc>
          <w:tcPr>
            <w:tcW w:w="0" w:type="dxa"/>
            <w:vAlign w:val="bottom"/>
          </w:tcPr>
          <w:p>
            <w:pPr>
              <w:spacing w:after="0"/>
              <w:rPr>
                <w:sz w:val="1"/>
                <w:szCs w:val="1"/>
                <w:color w:val="auto"/>
              </w:rPr>
            </w:pPr>
          </w:p>
        </w:tc>
      </w:tr>
      <w:tr>
        <w:trPr>
          <w:trHeight w:val="29"/>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160" w:type="dxa"/>
            <w:vAlign w:val="bottom"/>
            <w:vMerge w:val="restart"/>
          </w:tcPr>
          <w:p>
            <w:pPr>
              <w:jc w:val="center"/>
              <w:ind w:right="192"/>
              <w:spacing w:after="0" w:line="184" w:lineRule="exact"/>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60" w:type="dxa"/>
            <w:vAlign w:val="bottom"/>
          </w:tcPr>
          <w:p>
            <w:pPr>
              <w:jc w:val="center"/>
              <w:ind w:right="192"/>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2,567,093</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2"/>
              <w:spacing w:after="0" w:line="135" w:lineRule="exact"/>
              <w:rPr>
                <w:sz w:val="20"/>
                <w:szCs w:val="20"/>
                <w:color w:val="auto"/>
              </w:rPr>
            </w:pPr>
            <w:r>
              <w:rPr>
                <w:rFonts w:ascii="Times New Roman" w:cs="Times New Roman" w:eastAsia="Times New Roman" w:hAnsi="Times New Roman"/>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3,107,361</w:t>
            </w:r>
          </w:p>
        </w:tc>
        <w:tc>
          <w:tcPr>
            <w:tcW w:w="0" w:type="dxa"/>
            <w:vAlign w:val="bottom"/>
          </w:tcPr>
          <w:p>
            <w:pPr>
              <w:spacing w:after="0"/>
              <w:rPr>
                <w:sz w:val="1"/>
                <w:szCs w:val="1"/>
                <w:color w:val="auto"/>
              </w:rPr>
            </w:pPr>
          </w:p>
        </w:tc>
      </w:tr>
      <w:tr>
        <w:trPr>
          <w:trHeight w:val="203"/>
        </w:trPr>
        <w:tc>
          <w:tcPr>
            <w:tcW w:w="1160" w:type="dxa"/>
            <w:vAlign w:val="bottom"/>
          </w:tcPr>
          <w:p>
            <w:pPr>
              <w:jc w:val="center"/>
              <w:ind w:right="212"/>
              <w:spacing w:after="0" w:line="202" w:lineRule="exact"/>
              <w:rPr>
                <w:sz w:val="20"/>
                <w:szCs w:val="20"/>
                <w:color w:val="auto"/>
              </w:rPr>
            </w:pPr>
            <w:r>
              <w:rPr>
                <w:rFonts w:ascii="Times New Roman" w:cs="Times New Roman" w:eastAsia="Times New Roman" w:hAnsi="Times New Roman"/>
                <w:sz w:val="18"/>
                <w:szCs w:val="18"/>
                <w:color w:val="auto"/>
                <w:w w:val="94"/>
              </w:rPr>
              <w:t>With</w:t>
            </w:r>
          </w:p>
        </w:tc>
        <w:tc>
          <w:tcPr>
            <w:tcW w:w="46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2,567,093</w:t>
      </w:r>
    </w:p>
    <w:p>
      <w:pPr>
        <w:spacing w:after="0" w:line="71" w:lineRule="exact"/>
        <w:rPr>
          <w:sz w:val="20"/>
          <w:szCs w:val="20"/>
          <w:color w:val="auto"/>
        </w:rPr>
      </w:pPr>
    </w:p>
    <w:p>
      <w:pPr>
        <w:ind w:left="660" w:hanging="45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5,674,454</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7.1%</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OO</w:t>
      </w:r>
    </w:p>
    <w:p>
      <w:pPr>
        <w:sectPr>
          <w:pgSz w:w="11900" w:h="16838" w:orient="portrait"/>
          <w:cols w:equalWidth="0" w:num="1">
            <w:col w:w="11240"/>
          </w:cols>
          <w:pgMar w:left="340" w:top="162" w:right="319" w:bottom="1440" w:gutter="0" w:footer="0" w:header="0"/>
        </w:sectPr>
      </w:pPr>
    </w:p>
    <w:bookmarkStart w:id="3" w:name="page4"/>
    <w:bookmarkEnd w:id="3"/>
    <w:p>
      <w:pPr>
        <w:spacing w:after="0"/>
        <w:tabs>
          <w:tab w:leader="none" w:pos="5080" w:val="left"/>
          <w:tab w:leader="none" w:pos="992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40575" cy="5194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454"/>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Barrett Trust LLC</w:t>
      </w:r>
    </w:p>
    <w:p>
      <w:pPr>
        <w:spacing w:after="0" w:line="52" w:lineRule="exact"/>
        <w:rPr>
          <w:sz w:val="20"/>
          <w:szCs w:val="20"/>
          <w:color w:val="auto"/>
        </w:rPr>
      </w:pPr>
    </w:p>
    <w:p>
      <w:pPr>
        <w:ind w:left="660" w:hanging="454"/>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5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60" w:hanging="454"/>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5</w:t>
            </w:r>
          </w:p>
        </w:tc>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Sole Voting Power</w:t>
            </w:r>
          </w:p>
        </w:tc>
      </w:tr>
    </w:tbl>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286"/>
        </w:trPr>
        <w:tc>
          <w:tcPr>
            <w:tcW w:w="116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9"/>
        </w:trPr>
        <w:tc>
          <w:tcPr>
            <w:tcW w:w="1160" w:type="dxa"/>
            <w:vAlign w:val="bottom"/>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160" w:type="dxa"/>
            <w:vAlign w:val="bottom"/>
            <w:vMerge w:val="continue"/>
          </w:tcPr>
          <w:p>
            <w:pPr>
              <w:spacing w:after="0"/>
              <w:rPr>
                <w:sz w:val="8"/>
                <w:szCs w:val="8"/>
                <w:color w:val="auto"/>
              </w:rPr>
            </w:pPr>
          </w:p>
        </w:tc>
        <w:tc>
          <w:tcPr>
            <w:tcW w:w="4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160" w:type="dxa"/>
            <w:vAlign w:val="bottom"/>
            <w:vMerge w:val="restart"/>
          </w:tcPr>
          <w:p>
            <w:pPr>
              <w:jc w:val="center"/>
              <w:ind w:right="192"/>
              <w:spacing w:after="0" w:line="184" w:lineRule="exact"/>
              <w:rPr>
                <w:sz w:val="20"/>
                <w:szCs w:val="20"/>
                <w:color w:val="auto"/>
              </w:rPr>
            </w:pPr>
            <w:r>
              <w:rPr>
                <w:rFonts w:ascii="Times New Roman" w:cs="Times New Roman" w:eastAsia="Times New Roman" w:hAnsi="Times New Roman"/>
                <w:sz w:val="18"/>
                <w:szCs w:val="18"/>
                <w:color w:val="auto"/>
                <w:w w:val="99"/>
              </w:rPr>
              <w:t>Shares</w:t>
            </w:r>
          </w:p>
        </w:tc>
        <w:tc>
          <w:tcPr>
            <w:tcW w:w="46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1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60" w:type="dxa"/>
            <w:vAlign w:val="bottom"/>
          </w:tcPr>
          <w:p>
            <w:pPr>
              <w:jc w:val="center"/>
              <w:ind w:right="192"/>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2,567,093</w:t>
            </w: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5"/>
                <w:szCs w:val="15"/>
                <w:color w:val="auto"/>
              </w:rPr>
            </w:pPr>
          </w:p>
        </w:tc>
        <w:tc>
          <w:tcPr>
            <w:tcW w:w="9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1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9"/>
              </w:rPr>
              <w:t>Each</w:t>
            </w:r>
          </w:p>
        </w:tc>
        <w:tc>
          <w:tcPr>
            <w:tcW w:w="46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6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7</w:t>
            </w:r>
          </w:p>
        </w:tc>
        <w:tc>
          <w:tcPr>
            <w:tcW w:w="932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5"/>
        </w:trPr>
        <w:tc>
          <w:tcPr>
            <w:tcW w:w="1160" w:type="dxa"/>
            <w:vAlign w:val="bottom"/>
          </w:tcPr>
          <w:p>
            <w:pPr>
              <w:jc w:val="center"/>
              <w:ind w:right="192"/>
              <w:spacing w:after="0" w:line="135" w:lineRule="exact"/>
              <w:rPr>
                <w:sz w:val="20"/>
                <w:szCs w:val="20"/>
                <w:color w:val="auto"/>
              </w:rPr>
            </w:pPr>
            <w:r>
              <w:rPr>
                <w:rFonts w:ascii="Times New Roman" w:cs="Times New Roman" w:eastAsia="Times New Roman" w:hAnsi="Times New Roman"/>
                <w:sz w:val="15"/>
                <w:szCs w:val="15"/>
                <w:color w:val="auto"/>
              </w:rPr>
              <w:t>Reporting</w:t>
            </w:r>
          </w:p>
        </w:tc>
        <w:tc>
          <w:tcPr>
            <w:tcW w:w="46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rPr>
              <w:t>Person</w:t>
            </w:r>
          </w:p>
        </w:tc>
        <w:tc>
          <w:tcPr>
            <w:tcW w:w="460" w:type="dxa"/>
            <w:vAlign w:val="bottom"/>
          </w:tcPr>
          <w:p>
            <w:pPr>
              <w:spacing w:after="0"/>
              <w:rPr>
                <w:sz w:val="15"/>
                <w:szCs w:val="15"/>
                <w:color w:val="auto"/>
              </w:rPr>
            </w:pPr>
          </w:p>
        </w:tc>
        <w:tc>
          <w:tcPr>
            <w:tcW w:w="93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0</w:t>
            </w:r>
          </w:p>
        </w:tc>
        <w:tc>
          <w:tcPr>
            <w:tcW w:w="0" w:type="dxa"/>
            <w:vAlign w:val="bottom"/>
          </w:tcPr>
          <w:p>
            <w:pPr>
              <w:spacing w:after="0"/>
              <w:rPr>
                <w:sz w:val="1"/>
                <w:szCs w:val="1"/>
                <w:color w:val="auto"/>
              </w:rPr>
            </w:pPr>
          </w:p>
        </w:tc>
      </w:tr>
      <w:tr>
        <w:trPr>
          <w:trHeight w:val="203"/>
        </w:trPr>
        <w:tc>
          <w:tcPr>
            <w:tcW w:w="1160" w:type="dxa"/>
            <w:vAlign w:val="bottom"/>
          </w:tcPr>
          <w:p>
            <w:pPr>
              <w:jc w:val="center"/>
              <w:ind w:right="212"/>
              <w:spacing w:after="0" w:line="202" w:lineRule="exact"/>
              <w:rPr>
                <w:sz w:val="20"/>
                <w:szCs w:val="20"/>
                <w:color w:val="auto"/>
              </w:rPr>
            </w:pPr>
            <w:r>
              <w:rPr>
                <w:rFonts w:ascii="Times New Roman" w:cs="Times New Roman" w:eastAsia="Times New Roman" w:hAnsi="Times New Roman"/>
                <w:sz w:val="18"/>
                <w:szCs w:val="18"/>
                <w:color w:val="auto"/>
                <w:w w:val="94"/>
              </w:rPr>
              <w:t>With</w:t>
            </w:r>
          </w:p>
        </w:tc>
        <w:tc>
          <w:tcPr>
            <w:tcW w:w="460" w:type="dxa"/>
            <w:vAlign w:val="bottom"/>
            <w:tcBorders>
              <w:bottom w:val="single" w:sz="8" w:color="auto"/>
            </w:tcBorders>
          </w:tcPr>
          <w:p>
            <w:pPr>
              <w:spacing w:after="0"/>
              <w:rPr>
                <w:sz w:val="17"/>
                <w:szCs w:val="17"/>
                <w:color w:val="auto"/>
              </w:rPr>
            </w:pPr>
          </w:p>
        </w:tc>
        <w:tc>
          <w:tcPr>
            <w:tcW w:w="9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b w:val="1"/>
          <w:bCs w:val="1"/>
          <w:color w:val="auto"/>
        </w:rPr>
        <w:t>2,567,093</w:t>
      </w:r>
    </w:p>
    <w:p>
      <w:pPr>
        <w:spacing w:after="0" w:line="71" w:lineRule="exact"/>
        <w:rPr>
          <w:sz w:val="20"/>
          <w:szCs w:val="20"/>
          <w:color w:val="auto"/>
        </w:rPr>
      </w:pPr>
    </w:p>
    <w:p>
      <w:pPr>
        <w:ind w:left="660" w:hanging="45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2,567,093</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Percent of Class Represented by Amount in Row 9</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3.3%</w:t>
      </w:r>
    </w:p>
    <w:p>
      <w:pPr>
        <w:spacing w:after="0" w:line="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Type of Reporting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OO</w:t>
      </w:r>
    </w:p>
    <w:p>
      <w:pPr>
        <w:sectPr>
          <w:pgSz w:w="11900" w:h="16838" w:orient="portrait"/>
          <w:cols w:equalWidth="0" w:num="1">
            <w:col w:w="11240"/>
          </w:cols>
          <w:pgMar w:left="340" w:top="162" w:right="319" w:bottom="1440" w:gutter="0" w:footer="0" w:header="0"/>
        </w:sectPr>
      </w:pPr>
    </w:p>
    <w:bookmarkStart w:id="4" w:name="page5"/>
    <w:bookmarkEnd w:id="4"/>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3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(a) Name of Issuer: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Expensify, Inc. (the “Issuer”).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SW 5th Avenue, Portland, Oregon 97204.</w:t>
      </w:r>
    </w:p>
    <w:p>
      <w:pPr>
        <w:spacing w:after="0" w:line="35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  Name of Person Filing:</w:t>
      </w:r>
    </w:p>
    <w:p>
      <w:pPr>
        <w:spacing w:after="0" w:line="29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This statement is filed on behalf of David Barrett, individually and as trustee of the Barrett Family Trust, solely in such trust’s capacity as the controlling member of Barrett Trust LLC (collectively, the “Reporting Persons”).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Reporting Persons have entered into a Joint Filing Agreement, dated as of February 9, 2022, a copy of which was filed as Exhibit 1 to the Schedule 13G filed by the Reporting Persons on February 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Address or Principal Business Office: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the Reporting Persons is C/O Expensify, Inc., 401 SW 5th Avenue, Portland, Oregon 97204.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Citizenship of each Reporting Person is: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Barrett is a citizen of the United States, and Barrett Trust LLC is a Delaware limited liability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par value $0.0001 per share (“Class A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CUSIP Number: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30219Q106.</w:t>
      </w:r>
    </w:p>
    <w:p>
      <w:pPr>
        <w:sectPr>
          <w:pgSz w:w="11900" w:h="16838" w:orient="portrait"/>
          <w:cols w:equalWidth="0" w:num="1">
            <w:col w:w="11220"/>
          </w:cols>
          <w:pgMar w:left="320" w:top="162" w:right="359" w:bottom="1440" w:gutter="0" w:footer="0" w:header="0"/>
        </w:sectPr>
      </w:pPr>
    </w:p>
    <w:bookmarkStart w:id="5" w:name="page6"/>
    <w:bookmarkEnd w:id="5"/>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9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The ownership information below represents beneficial ownership of Class A Common Stock of the Issuer as of the date hereof, based upon 77,155,951 shares of Class A Common Stock outstanding as of November 4, 2024, as reported in the Issuer’s Quarterly Report on Form 10-Q for the quarterly period ended September 30, 2024.</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vMerge w:val="restart"/>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6"/>
              </w:rPr>
              <w:t>Sole</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8"/>
              </w:rPr>
              <w:t>Shared</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4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power to</w:t>
            </w: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40" w:type="dxa"/>
            <w:vAlign w:val="bottom"/>
            <w:vMerge w:val="restart"/>
          </w:tcPr>
          <w:p>
            <w:pPr>
              <w:jc w:val="center"/>
              <w:ind w:right="104"/>
              <w:spacing w:after="0" w:line="160" w:lineRule="exact"/>
              <w:rPr>
                <w:sz w:val="20"/>
                <w:szCs w:val="20"/>
                <w:color w:val="auto"/>
              </w:rPr>
            </w:pPr>
            <w:r>
              <w:rPr>
                <w:rFonts w:ascii="Times New Roman" w:cs="Times New Roman" w:eastAsia="Times New Roman" w:hAnsi="Times New Roman"/>
                <w:sz w:val="14"/>
                <w:szCs w:val="14"/>
                <w:b w:val="1"/>
                <w:bCs w:val="1"/>
                <w:color w:val="auto"/>
                <w:w w:val="96"/>
              </w:rPr>
              <w:t>Sole</w:t>
            </w:r>
          </w:p>
        </w:tc>
        <w:tc>
          <w:tcPr>
            <w:tcW w:w="1360" w:type="dxa"/>
            <w:vAlign w:val="bottom"/>
          </w:tcPr>
          <w:p>
            <w:pPr>
              <w:spacing w:after="0"/>
              <w:rPr>
                <w:sz w:val="7"/>
                <w:szCs w:val="7"/>
                <w:color w:val="auto"/>
              </w:rPr>
            </w:pPr>
          </w:p>
        </w:tc>
        <w:tc>
          <w:tcPr>
            <w:tcW w:w="1460" w:type="dxa"/>
            <w:vAlign w:val="bottom"/>
            <w:vMerge w:val="restart"/>
          </w:tcPr>
          <w:p>
            <w:pPr>
              <w:jc w:val="center"/>
              <w:ind w:right="284"/>
              <w:spacing w:after="0" w:line="160" w:lineRule="exact"/>
              <w:rPr>
                <w:sz w:val="20"/>
                <w:szCs w:val="20"/>
                <w:color w:val="auto"/>
              </w:rPr>
            </w:pPr>
            <w:r>
              <w:rPr>
                <w:rFonts w:ascii="Times New Roman" w:cs="Times New Roman" w:eastAsia="Times New Roman" w:hAnsi="Times New Roman"/>
                <w:sz w:val="14"/>
                <w:szCs w:val="14"/>
                <w:b w:val="1"/>
                <w:bCs w:val="1"/>
                <w:color w:val="auto"/>
              </w:rPr>
              <w:t>power to</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3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Shared power to</w:t>
            </w:r>
          </w:p>
        </w:tc>
        <w:tc>
          <w:tcPr>
            <w:tcW w:w="1460" w:type="dxa"/>
            <w:vAlign w:val="bottom"/>
            <w:vMerge w:val="continue"/>
          </w:tcPr>
          <w:p>
            <w:pPr>
              <w:spacing w:after="0"/>
              <w:rPr>
                <w:sz w:val="6"/>
                <w:szCs w:val="6"/>
                <w:color w:val="auto"/>
              </w:rPr>
            </w:pPr>
          </w:p>
        </w:tc>
        <w:tc>
          <w:tcPr>
            <w:tcW w:w="14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dispose or</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140" w:type="dxa"/>
            <w:vAlign w:val="bottom"/>
            <w:vMerge w:val="restart"/>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1360" w:type="dxa"/>
            <w:vAlign w:val="bottom"/>
            <w:vMerge w:val="continue"/>
          </w:tcPr>
          <w:p>
            <w:pPr>
              <w:spacing w:after="0"/>
              <w:rPr>
                <w:sz w:val="7"/>
                <w:szCs w:val="7"/>
                <w:color w:val="auto"/>
              </w:rPr>
            </w:pPr>
          </w:p>
        </w:tc>
        <w:tc>
          <w:tcPr>
            <w:tcW w:w="1460" w:type="dxa"/>
            <w:vAlign w:val="bottom"/>
            <w:vMerge w:val="restart"/>
          </w:tcPr>
          <w:p>
            <w:pPr>
              <w:jc w:val="center"/>
              <w:ind w:right="284"/>
              <w:spacing w:after="0" w:line="149" w:lineRule="exact"/>
              <w:rPr>
                <w:sz w:val="20"/>
                <w:szCs w:val="20"/>
                <w:color w:val="auto"/>
              </w:rPr>
            </w:pPr>
            <w:r>
              <w:rPr>
                <w:rFonts w:ascii="Times New Roman" w:cs="Times New Roman" w:eastAsia="Times New Roman" w:hAnsi="Times New Roman"/>
                <w:sz w:val="14"/>
                <w:szCs w:val="14"/>
                <w:b w:val="1"/>
                <w:bCs w:val="1"/>
                <w:color w:val="auto"/>
              </w:rPr>
              <w:t>dispose or</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3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dispose or to</w:t>
            </w:r>
          </w:p>
        </w:tc>
        <w:tc>
          <w:tcPr>
            <w:tcW w:w="1460" w:type="dxa"/>
            <w:vAlign w:val="bottom"/>
            <w:vMerge w:val="continue"/>
          </w:tcPr>
          <w:p>
            <w:pPr>
              <w:spacing w:after="0"/>
              <w:rPr>
                <w:sz w:val="5"/>
                <w:szCs w:val="5"/>
                <w:color w:val="auto"/>
              </w:rPr>
            </w:pPr>
          </w:p>
        </w:tc>
        <w:tc>
          <w:tcPr>
            <w:tcW w:w="14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to direct</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2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Pr>
          <w:p>
            <w:pPr>
              <w:spacing w:after="0"/>
              <w:rPr>
                <w:sz w:val="12"/>
                <w:szCs w:val="12"/>
                <w:color w:val="auto"/>
              </w:rPr>
            </w:pPr>
          </w:p>
        </w:tc>
        <w:tc>
          <w:tcPr>
            <w:tcW w:w="11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vote</w:t>
            </w:r>
          </w:p>
        </w:tc>
        <w:tc>
          <w:tcPr>
            <w:tcW w:w="1360" w:type="dxa"/>
            <w:vAlign w:val="bottom"/>
            <w:vMerge w:val="continue"/>
          </w:tcPr>
          <w:p>
            <w:pPr>
              <w:spacing w:after="0"/>
              <w:rPr>
                <w:sz w:val="12"/>
                <w:szCs w:val="12"/>
                <w:color w:val="auto"/>
              </w:rPr>
            </w:pPr>
          </w:p>
        </w:tc>
        <w:tc>
          <w:tcPr>
            <w:tcW w:w="146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to direct</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140" w:type="dxa"/>
            <w:vAlign w:val="bottom"/>
          </w:tcPr>
          <w:p>
            <w:pPr>
              <w:jc w:val="center"/>
              <w:ind w:right="104"/>
              <w:spacing w:after="0" w:line="135" w:lineRule="exact"/>
              <w:rPr>
                <w:sz w:val="20"/>
                <w:szCs w:val="20"/>
                <w:color w:val="auto"/>
              </w:rPr>
            </w:pPr>
            <w:r>
              <w:rPr>
                <w:rFonts w:ascii="Times New Roman" w:cs="Times New Roman" w:eastAsia="Times New Roman" w:hAnsi="Times New Roman"/>
                <w:sz w:val="14"/>
                <w:szCs w:val="14"/>
                <w:b w:val="1"/>
                <w:bCs w:val="1"/>
                <w:color w:val="auto"/>
                <w:w w:val="98"/>
              </w:rPr>
              <w:t>or to</w:t>
            </w:r>
          </w:p>
        </w:tc>
        <w:tc>
          <w:tcPr>
            <w:tcW w:w="1360" w:type="dxa"/>
            <w:vAlign w:val="bottom"/>
          </w:tcPr>
          <w:p>
            <w:pPr>
              <w:jc w:val="center"/>
              <w:ind w:right="63"/>
              <w:spacing w:after="0" w:line="135" w:lineRule="exact"/>
              <w:rPr>
                <w:sz w:val="20"/>
                <w:szCs w:val="20"/>
                <w:color w:val="auto"/>
              </w:rPr>
            </w:pPr>
            <w:r>
              <w:rPr>
                <w:rFonts w:ascii="Times New Roman" w:cs="Times New Roman" w:eastAsia="Times New Roman" w:hAnsi="Times New Roman"/>
                <w:sz w:val="14"/>
                <w:szCs w:val="14"/>
                <w:b w:val="1"/>
                <w:bCs w:val="1"/>
                <w:color w:val="auto"/>
              </w:rPr>
              <w:t>direct the</w:t>
            </w:r>
          </w:p>
        </w:tc>
        <w:tc>
          <w:tcPr>
            <w:tcW w:w="1460" w:type="dxa"/>
            <w:vAlign w:val="bottom"/>
          </w:tcPr>
          <w:p>
            <w:pPr>
              <w:jc w:val="center"/>
              <w:ind w:right="264"/>
              <w:spacing w:after="0" w:line="135" w:lineRule="exact"/>
              <w:rPr>
                <w:sz w:val="20"/>
                <w:szCs w:val="20"/>
                <w:color w:val="auto"/>
              </w:rPr>
            </w:pPr>
            <w:r>
              <w:rPr>
                <w:rFonts w:ascii="Times New Roman" w:cs="Times New Roman" w:eastAsia="Times New Roman" w:hAnsi="Times New Roman"/>
                <w:sz w:val="14"/>
                <w:szCs w:val="14"/>
                <w:b w:val="1"/>
                <w:bCs w:val="1"/>
                <w:color w:val="auto"/>
              </w:rPr>
              <w:t>the</w:t>
            </w:r>
          </w:p>
        </w:tc>
        <w:tc>
          <w:tcPr>
            <w:tcW w:w="140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12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11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direct</w:t>
            </w:r>
          </w:p>
        </w:tc>
        <w:tc>
          <w:tcPr>
            <w:tcW w:w="136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460" w:type="dxa"/>
            <w:vAlign w:val="bottom"/>
          </w:tcPr>
          <w:p>
            <w:pPr>
              <w:jc w:val="center"/>
              <w:ind w:right="264"/>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14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disposition</w:t>
            </w:r>
          </w:p>
        </w:tc>
        <w:tc>
          <w:tcPr>
            <w:tcW w:w="0" w:type="dxa"/>
            <w:vAlign w:val="bottom"/>
          </w:tcPr>
          <w:p>
            <w:pPr>
              <w:spacing w:after="0"/>
              <w:rPr>
                <w:sz w:val="1"/>
                <w:szCs w:val="1"/>
                <w:color w:val="auto"/>
              </w:rPr>
            </w:pPr>
          </w:p>
        </w:tc>
      </w:tr>
      <w:tr>
        <w:trPr>
          <w:trHeight w:val="198"/>
        </w:trPr>
        <w:tc>
          <w:tcPr>
            <w:tcW w:w="3200" w:type="dxa"/>
            <w:vAlign w:val="bottom"/>
            <w:vMerge w:val="continue"/>
          </w:tcPr>
          <w:p>
            <w:pPr>
              <w:spacing w:after="0"/>
              <w:rPr>
                <w:sz w:val="17"/>
                <w:szCs w:val="17"/>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460" w:type="dxa"/>
            <w:vAlign w:val="bottom"/>
            <w:vMerge w:val="continue"/>
          </w:tcPr>
          <w:p>
            <w:pPr>
              <w:spacing w:after="0"/>
              <w:rPr>
                <w:sz w:val="17"/>
                <w:szCs w:val="17"/>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the vote:</w:t>
            </w:r>
          </w:p>
        </w:tc>
        <w:tc>
          <w:tcPr>
            <w:tcW w:w="136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of:</w:t>
            </w:r>
          </w:p>
        </w:tc>
        <w:tc>
          <w:tcPr>
            <w:tcW w:w="1460" w:type="dxa"/>
            <w:vAlign w:val="bottom"/>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7"/>
              </w:rPr>
              <w:t>of:</w:t>
            </w: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David Barrett, individually and as trustee</w:t>
            </w:r>
          </w:p>
        </w:tc>
        <w:tc>
          <w:tcPr>
            <w:tcW w:w="1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of the Barrett Family Trust, solely in</w:t>
            </w:r>
          </w:p>
        </w:tc>
        <w:tc>
          <w:tcPr>
            <w:tcW w:w="1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such trust’s capacity as the controlling</w:t>
            </w:r>
          </w:p>
        </w:tc>
        <w:tc>
          <w:tcPr>
            <w:tcW w:w="12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5,674,454</w:t>
            </w:r>
          </w:p>
        </w:tc>
        <w:tc>
          <w:tcPr>
            <w:tcW w:w="146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7.1 %</w:t>
            </w:r>
          </w:p>
        </w:tc>
        <w:tc>
          <w:tcPr>
            <w:tcW w:w="11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3,107,361</w:t>
            </w:r>
          </w:p>
        </w:tc>
        <w:tc>
          <w:tcPr>
            <w:tcW w:w="136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2,567,093</w:t>
            </w:r>
          </w:p>
        </w:tc>
        <w:tc>
          <w:tcPr>
            <w:tcW w:w="1460" w:type="dxa"/>
            <w:vAlign w:val="bottom"/>
            <w:vMerge w:val="restart"/>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3,107,361</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2,567,093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 of Barrett Trust LLC</w:t>
            </w:r>
          </w:p>
        </w:tc>
        <w:tc>
          <w:tcPr>
            <w:tcW w:w="122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Barrett Trust LLC</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2,567,093</w:t>
            </w: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3.3 %</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143"/>
              <w:spacing w:after="0"/>
              <w:rPr>
                <w:sz w:val="20"/>
                <w:szCs w:val="20"/>
                <w:color w:val="auto"/>
              </w:rPr>
            </w:pPr>
            <w:r>
              <w:rPr>
                <w:rFonts w:ascii="Times New Roman" w:cs="Times New Roman" w:eastAsia="Times New Roman" w:hAnsi="Times New Roman"/>
                <w:sz w:val="18"/>
                <w:szCs w:val="18"/>
                <w:color w:val="auto"/>
              </w:rPr>
              <w:t>2,567,093</w:t>
            </w:r>
          </w:p>
        </w:tc>
        <w:tc>
          <w:tcPr>
            <w:tcW w:w="146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2,567,093</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Reporting Persons are the beneficial owners of 2,744,544 shares of Class A Common Stock and 2,929,910 shares of Class A Common Stock that may be acquired pursuant to the exercise of stock options within 60 days of September 30, 2024. Barrett Trust LLC is a member-managed Delaware limited liability company and directly holds 2,567,093 shares of Class A Common Stock. The investment and voting decisions of Barrett Trust LLC are made by its manager, Mr. Barrett, and its controlling member is the David Barrett Family Trust, for which Mr. Barrett serves as trustee. In such capacities, Mr. Barrett may be deemed to beneficially own such shares beneficially owned by Barrett Trust LLC, in addition to the 177,451 shares of Class A Common Stock that he holds directly and the 2,929,910 shares of Class A Common Stock that he may acquire pursuant to the exercise of stock options within 60 days of September 30, 2024.</w:t>
      </w:r>
    </w:p>
    <w:p>
      <w:pPr>
        <w:spacing w:after="0" w:line="26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1160" w:right="720" w:hanging="1133"/>
        <w:spacing w:after="0" w:line="255"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ectPr>
          <w:pgSz w:w="11900" w:h="16838" w:orient="portrait"/>
          <w:cols w:equalWidth="0" w:num="1">
            <w:col w:w="11240"/>
          </w:cols>
          <w:pgMar w:left="320" w:top="162" w:right="339" w:bottom="1440" w:gutter="0" w:footer="0" w:header="0"/>
        </w:sectPr>
      </w:pPr>
    </w:p>
    <w:bookmarkStart w:id="6" w:name="page7"/>
    <w:bookmarkEnd w:id="6"/>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5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Exhibit 1</w:t>
        <w:tab/>
        <w:t>Joint Filing Agreement, incorporated by reference to Exhibit 1 to the Schedule 13G filed by the Reporting Persons on February 9, 2022.</w:t>
      </w:r>
    </w:p>
    <w:p>
      <w:pPr>
        <w:sectPr>
          <w:pgSz w:w="11900" w:h="16838" w:orient="portrait"/>
          <w:cols w:equalWidth="0" w:num="1">
            <w:col w:w="11220"/>
          </w:cols>
          <w:pgMar w:left="320" w:top="162" w:right="359" w:bottom="1440" w:gutter="0" w:footer="0" w:header="0"/>
        </w:sectPr>
      </w:pPr>
    </w:p>
    <w:bookmarkStart w:id="7" w:name="page8"/>
    <w:bookmarkEnd w:id="7"/>
    <w:p>
      <w:pPr>
        <w:ind w:left="20"/>
        <w:spacing w:after="0"/>
        <w:tabs>
          <w:tab w:leader="none" w:pos="5100" w:val="left"/>
          <w:tab w:leader="none" w:pos="994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160"/>
        <w:spacing w:after="0" w:line="490"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 November 20, 2024</w:t>
      </w:r>
    </w:p>
    <w:p>
      <w:pPr>
        <w:ind w:left="8780"/>
        <w:spacing w:after="0" w:line="232" w:lineRule="auto"/>
        <w:rPr>
          <w:sz w:val="20"/>
          <w:szCs w:val="20"/>
          <w:color w:val="auto"/>
        </w:rPr>
      </w:pPr>
      <w:r>
        <w:rPr>
          <w:rFonts w:ascii="Times New Roman" w:cs="Times New Roman" w:eastAsia="Times New Roman" w:hAnsi="Times New Roman"/>
          <w:sz w:val="18"/>
          <w:szCs w:val="18"/>
          <w:b w:val="1"/>
          <w:bCs w:val="1"/>
          <w:color w:val="auto"/>
        </w:rPr>
        <w:t>David Barrett, individually and</w:t>
      </w:r>
    </w:p>
    <w:p>
      <w:pPr>
        <w:ind w:left="8940"/>
        <w:spacing w:after="0" w:line="219" w:lineRule="auto"/>
        <w:rPr>
          <w:sz w:val="20"/>
          <w:szCs w:val="20"/>
          <w:color w:val="auto"/>
        </w:rPr>
      </w:pPr>
      <w:r>
        <w:rPr>
          <w:rFonts w:ascii="Times New Roman" w:cs="Times New Roman" w:eastAsia="Times New Roman" w:hAnsi="Times New Roman"/>
          <w:sz w:val="18"/>
          <w:szCs w:val="18"/>
          <w:b w:val="1"/>
          <w:bCs w:val="1"/>
          <w:color w:val="auto"/>
        </w:rPr>
        <w:t>as trustee of the Barrett</w:t>
      </w:r>
    </w:p>
    <w:p>
      <w:pPr>
        <w:ind w:left="8940"/>
        <w:spacing w:after="0" w:line="204" w:lineRule="auto"/>
        <w:rPr>
          <w:sz w:val="20"/>
          <w:szCs w:val="20"/>
          <w:color w:val="auto"/>
        </w:rPr>
      </w:pPr>
      <w:r>
        <w:rPr>
          <w:rFonts w:ascii="Times New Roman" w:cs="Times New Roman" w:eastAsia="Times New Roman" w:hAnsi="Times New Roman"/>
          <w:sz w:val="18"/>
          <w:szCs w:val="18"/>
          <w:b w:val="1"/>
          <w:bCs w:val="1"/>
          <w:color w:val="auto"/>
        </w:rPr>
        <w:t>Family Trust, solely in such</w:t>
      </w:r>
    </w:p>
    <w:p>
      <w:pPr>
        <w:ind w:left="8940"/>
        <w:spacing w:after="0" w:line="203" w:lineRule="auto"/>
        <w:rPr>
          <w:sz w:val="20"/>
          <w:szCs w:val="20"/>
          <w:color w:val="auto"/>
        </w:rPr>
      </w:pPr>
      <w:r>
        <w:rPr>
          <w:rFonts w:ascii="Times New Roman" w:cs="Times New Roman" w:eastAsia="Times New Roman" w:hAnsi="Times New Roman"/>
          <w:sz w:val="18"/>
          <w:szCs w:val="18"/>
          <w:b w:val="1"/>
          <w:bCs w:val="1"/>
          <w:color w:val="auto"/>
        </w:rPr>
        <w:t>trust’s capacity as the</w:t>
      </w:r>
    </w:p>
    <w:p>
      <w:pPr>
        <w:ind w:left="8940"/>
        <w:spacing w:after="0" w:line="220" w:lineRule="auto"/>
        <w:rPr>
          <w:sz w:val="20"/>
          <w:szCs w:val="20"/>
          <w:color w:val="auto"/>
        </w:rPr>
      </w:pPr>
      <w:r>
        <w:rPr>
          <w:rFonts w:ascii="Times New Roman" w:cs="Times New Roman" w:eastAsia="Times New Roman" w:hAnsi="Times New Roman"/>
          <w:sz w:val="18"/>
          <w:szCs w:val="18"/>
          <w:b w:val="1"/>
          <w:bCs w:val="1"/>
          <w:color w:val="auto"/>
        </w:rPr>
        <w:t>controlling member of</w:t>
      </w:r>
    </w:p>
    <w:p>
      <w:pPr>
        <w:ind w:left="894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00" w:lineRule="exact"/>
        <w:rPr>
          <w:sz w:val="20"/>
          <w:szCs w:val="20"/>
          <w:color w:val="auto"/>
        </w:rPr>
      </w:pPr>
    </w:p>
    <w:p>
      <w:pPr>
        <w:spacing w:after="0" w:line="28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17145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17145</wp:posOffset>
            </wp:positionV>
            <wp:extent cx="157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20"/>
      </w:cols>
      <w:pgMar w:left="320" w:top="1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bullet"/>
      <w:start w:val="1"/>
    </w:lvl>
  </w:abstractNum>
  <w:abstractNum w:abstractNumId="9">
    <w:nsid w:val="1190CDE7"/>
    <w:multiLevelType w:val="hybridMultilevel"/>
    <w:lvl w:ilvl="0">
      <w:lvlJc w:val="left"/>
      <w:lvlText w:val="2"/>
      <w:numFmt w:val="bullet"/>
      <w:start w:val="1"/>
    </w:lvl>
  </w:abstractNum>
  <w:abstractNum w:abstractNumId="10">
    <w:nsid w:val="66EF438D"/>
    <w:multiLevelType w:val="hybridMultilevel"/>
    <w:lvl w:ilvl="0">
      <w:lvlJc w:val="left"/>
      <w:lvlText w:val="3"/>
      <w:numFmt w:val="bullet"/>
      <w:start w:val="1"/>
    </w:lvl>
  </w:abstractNum>
  <w:abstractNum w:abstractNumId="11">
    <w:nsid w:val="140E0F76"/>
    <w:multiLevelType w:val="hybridMultilevel"/>
    <w:lvl w:ilvl="0">
      <w:lvlJc w:val="left"/>
      <w:lvlText w:val="4"/>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2024-11-20T16:35:27Z</dcterms:created>
  <dcterms:modified xsi:type="dcterms:W3CDTF">2024-11-20T16:35:27Z</dcterms:modified>
</cp:coreProperties>
</file>