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0001891077</w:t>
            </w:r>
          </w:p>
        </w:tc>
        <w:tc>
          <w:tcPr>
            <w:tcW w:w="31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2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24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24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24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24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835"/>
        </w:trPr>
        <w:tc>
          <w:tcPr>
            <w:tcW w:w="72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240" w:type="dxa"/>
            <w:vAlign w:val="bottom"/>
          </w:tcPr>
          <w:p>
            <w:pPr>
              <w:spacing w:after="0"/>
              <w:rPr>
                <w:sz w:val="24"/>
                <w:szCs w:val="24"/>
                <w:color w:val="auto"/>
              </w:rPr>
            </w:pPr>
          </w:p>
        </w:tc>
        <w:tc>
          <w:tcPr>
            <w:tcW w:w="310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Expensify,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240" w:type="dxa"/>
            <w:vAlign w:val="bottom"/>
          </w:tcPr>
          <w:p>
            <w:pPr>
              <w:spacing w:after="0"/>
              <w:rPr>
                <w:sz w:val="24"/>
                <w:szCs w:val="24"/>
                <w:color w:val="auto"/>
              </w:rPr>
            </w:pPr>
          </w:p>
        </w:tc>
        <w:tc>
          <w:tcPr>
            <w:tcW w:w="310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001-41043</w:t>
            </w:r>
          </w:p>
        </w:tc>
      </w:tr>
      <w:tr>
        <w:trPr>
          <w:trHeight w:val="258"/>
        </w:trPr>
        <w:tc>
          <w:tcPr>
            <w:tcW w:w="3000" w:type="dxa"/>
            <w:vAlign w:val="bottom"/>
          </w:tcPr>
          <w:p>
            <w:pPr>
              <w:spacing w:after="0"/>
              <w:rPr>
                <w:sz w:val="22"/>
                <w:szCs w:val="22"/>
                <w:color w:val="auto"/>
              </w:rPr>
            </w:pPr>
          </w:p>
        </w:tc>
        <w:tc>
          <w:tcPr>
            <w:tcW w:w="4240" w:type="dxa"/>
            <w:vAlign w:val="bottom"/>
          </w:tcPr>
          <w:p>
            <w:pPr>
              <w:spacing w:after="0"/>
              <w:rPr>
                <w:sz w:val="22"/>
                <w:szCs w:val="22"/>
                <w:color w:val="auto"/>
              </w:rPr>
            </w:pPr>
          </w:p>
        </w:tc>
        <w:tc>
          <w:tcPr>
            <w:tcW w:w="310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88 Kearny St</w:t>
            </w:r>
          </w:p>
        </w:tc>
      </w:tr>
      <w:tr>
        <w:trPr>
          <w:trHeight w:val="243"/>
        </w:trPr>
        <w:tc>
          <w:tcPr>
            <w:tcW w:w="3000" w:type="dxa"/>
            <w:vAlign w:val="bottom"/>
          </w:tcPr>
          <w:p>
            <w:pPr>
              <w:spacing w:after="0"/>
              <w:rPr>
                <w:sz w:val="21"/>
                <w:szCs w:val="21"/>
                <w:color w:val="auto"/>
              </w:rPr>
            </w:pPr>
          </w:p>
        </w:tc>
        <w:tc>
          <w:tcPr>
            <w:tcW w:w="4240" w:type="dxa"/>
            <w:vAlign w:val="bottom"/>
          </w:tcPr>
          <w:p>
            <w:pPr>
              <w:spacing w:after="0"/>
              <w:rPr>
                <w:sz w:val="21"/>
                <w:szCs w:val="21"/>
                <w:color w:val="auto"/>
              </w:rPr>
            </w:pPr>
          </w:p>
        </w:tc>
        <w:tc>
          <w:tcPr>
            <w:tcW w:w="3100" w:type="dxa"/>
            <w:vAlign w:val="bottom"/>
          </w:tcPr>
          <w:p>
            <w:pPr>
              <w:ind w:left="1500"/>
              <w:spacing w:after="0" w:line="243" w:lineRule="exact"/>
              <w:rPr>
                <w:sz w:val="20"/>
                <w:szCs w:val="20"/>
                <w:color w:val="auto"/>
              </w:rPr>
            </w:pPr>
            <w:r>
              <w:rPr>
                <w:rFonts w:ascii="Times New Roman" w:cs="Times New Roman" w:eastAsia="Times New Roman" w:hAnsi="Times New Roman"/>
                <w:sz w:val="22"/>
                <w:szCs w:val="22"/>
                <w:color w:val="auto"/>
              </w:rPr>
              <w:t>Ste 1600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240" w:type="dxa"/>
            <w:vAlign w:val="bottom"/>
          </w:tcPr>
          <w:p>
            <w:pPr>
              <w:spacing w:after="0"/>
              <w:rPr>
                <w:sz w:val="21"/>
                <w:szCs w:val="21"/>
                <w:color w:val="auto"/>
              </w:rPr>
            </w:pPr>
          </w:p>
        </w:tc>
        <w:tc>
          <w:tcPr>
            <w:tcW w:w="3100" w:type="dxa"/>
            <w:vAlign w:val="bottom"/>
          </w:tcPr>
          <w:p>
            <w:pPr>
              <w:ind w:left="1500"/>
              <w:spacing w:after="0" w:line="243" w:lineRule="exact"/>
              <w:rPr>
                <w:sz w:val="20"/>
                <w:szCs w:val="20"/>
                <w:color w:val="auto"/>
              </w:rPr>
            </w:pPr>
            <w:r>
              <w:rPr>
                <w:rFonts w:ascii="Times New Roman" w:cs="Times New Roman" w:eastAsia="Times New Roman" w:hAnsi="Times New Roman"/>
                <w:sz w:val="22"/>
                <w:szCs w:val="22"/>
                <w:color w:val="auto"/>
              </w:rPr>
              <w:t>San Francisco</w:t>
            </w:r>
          </w:p>
        </w:tc>
      </w:tr>
      <w:tr>
        <w:trPr>
          <w:trHeight w:val="243"/>
        </w:trPr>
        <w:tc>
          <w:tcPr>
            <w:tcW w:w="3000" w:type="dxa"/>
            <w:vAlign w:val="bottom"/>
          </w:tcPr>
          <w:p>
            <w:pPr>
              <w:spacing w:after="0"/>
              <w:rPr>
                <w:sz w:val="21"/>
                <w:szCs w:val="21"/>
                <w:color w:val="auto"/>
              </w:rPr>
            </w:pPr>
          </w:p>
        </w:tc>
        <w:tc>
          <w:tcPr>
            <w:tcW w:w="4240" w:type="dxa"/>
            <w:vAlign w:val="bottom"/>
          </w:tcPr>
          <w:p>
            <w:pPr>
              <w:spacing w:after="0"/>
              <w:rPr>
                <w:sz w:val="21"/>
                <w:szCs w:val="21"/>
                <w:color w:val="auto"/>
              </w:rPr>
            </w:pPr>
          </w:p>
        </w:tc>
        <w:tc>
          <w:tcPr>
            <w:tcW w:w="3100" w:type="dxa"/>
            <w:vAlign w:val="bottom"/>
          </w:tcPr>
          <w:p>
            <w:pPr>
              <w:ind w:left="150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10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94108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240" w:type="dxa"/>
            <w:vAlign w:val="bottom"/>
          </w:tcPr>
          <w:p>
            <w:pPr>
              <w:spacing w:after="0"/>
              <w:rPr>
                <w:sz w:val="24"/>
                <w:szCs w:val="24"/>
                <w:color w:val="auto"/>
              </w:rPr>
            </w:pPr>
          </w:p>
        </w:tc>
        <w:tc>
          <w:tcPr>
            <w:tcW w:w="310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971-365-3939</w:t>
            </w:r>
          </w:p>
        </w:tc>
      </w:tr>
      <w:tr>
        <w:trPr>
          <w:trHeight w:val="297"/>
        </w:trPr>
        <w:tc>
          <w:tcPr>
            <w:tcW w:w="72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00" w:type="dxa"/>
            <w:vAlign w:val="bottom"/>
          </w:tcPr>
          <w:p>
            <w:pPr>
              <w:ind w:left="1500"/>
              <w:spacing w:after="0"/>
              <w:rPr>
                <w:sz w:val="20"/>
                <w:szCs w:val="20"/>
                <w:color w:val="auto"/>
              </w:rPr>
            </w:pPr>
            <w:r>
              <w:rPr>
                <w:rFonts w:ascii="Times New Roman" w:cs="Times New Roman" w:eastAsia="Times New Roman" w:hAnsi="Times New Roman"/>
                <w:sz w:val="22"/>
                <w:szCs w:val="22"/>
                <w:color w:val="auto"/>
                <w:w w:val="96"/>
              </w:rPr>
              <w:t>Anu Muralidharan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7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Director</w:t>
      </w:r>
    </w:p>
    <w:p>
      <w:pPr>
        <w:spacing w:after="0" w:line="44" w:lineRule="exact"/>
        <w:rPr>
          <w:sz w:val="24"/>
          <w:szCs w:val="24"/>
          <w:color w:val="auto"/>
        </w:rPr>
      </w:pPr>
    </w:p>
    <w:p>
      <w:pPr>
        <w:ind w:left="40"/>
        <w:spacing w:after="0"/>
        <w:tabs>
          <w:tab w:leader="none" w:pos="87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3168</w:t>
            </w:r>
          </w:p>
        </w:tc>
        <w:tc>
          <w:tcPr>
            <w:tcW w:w="11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4815.36</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2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44"/>
        </w:trPr>
        <w:tc>
          <w:tcPr>
            <w:tcW w:w="12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Other Units</w:t>
            </w:r>
          </w:p>
        </w:tc>
        <w:tc>
          <w:tcPr>
            <w:tcW w:w="128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b w:val="1"/>
                <w:bCs w:val="1"/>
                <w:color w:val="auto"/>
              </w:rPr>
              <w:t>Date of Sale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7"/>
              <w:spacing w:after="0"/>
              <w:rPr>
                <w:sz w:val="20"/>
                <w:szCs w:val="20"/>
                <w:color w:val="auto"/>
              </w:rPr>
            </w:pPr>
            <w:r>
              <w:rPr>
                <w:rFonts w:ascii="Times New Roman" w:cs="Times New Roman" w:eastAsia="Times New Roman" w:hAnsi="Times New Roman"/>
                <w:sz w:val="22"/>
                <w:szCs w:val="22"/>
                <w:color w:val="auto"/>
                <w:w w:val="95"/>
              </w:rPr>
              <w:t>80840150</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12/30/2025</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4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7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rPr>
              <w:t>12/15/2025 RSU Vesting</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3168</w:t>
            </w:r>
          </w:p>
        </w:tc>
        <w:tc>
          <w:tcPr>
            <w:tcW w:w="246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12/15/2025 Compensation</w:t>
            </w:r>
          </w:p>
        </w:tc>
        <w:tc>
          <w:tcPr>
            <w:tcW w:w="0" w:type="dxa"/>
            <w:vAlign w:val="bottom"/>
          </w:tcPr>
          <w:p>
            <w:pPr>
              <w:spacing w:after="0"/>
              <w:rPr>
                <w:sz w:val="1"/>
                <w:szCs w:val="1"/>
                <w:color w:val="auto"/>
              </w:rPr>
            </w:pPr>
          </w:p>
        </w:tc>
      </w:tr>
      <w:tr>
        <w:trPr>
          <w:trHeight w:val="16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700" w:type="dxa"/>
            <w:vAlign w:val="bottom"/>
            <w:gridSpan w:val="2"/>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24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2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Anu Muralidharan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88 Kearny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jc w:val="right"/>
              <w:ind w:right="812"/>
              <w:spacing w:after="0"/>
              <w:rPr>
                <w:sz w:val="20"/>
                <w:szCs w:val="20"/>
                <w:color w:val="auto"/>
              </w:rPr>
            </w:pPr>
            <w:r>
              <w:rPr>
                <w:rFonts w:ascii="Times New Roman" w:cs="Times New Roman" w:eastAsia="Times New Roman" w:hAnsi="Times New Roman"/>
                <w:sz w:val="22"/>
                <w:szCs w:val="22"/>
                <w:color w:val="auto"/>
              </w:rPr>
              <w:t>12/17/2025 523</w:t>
            </w:r>
          </w:p>
        </w:tc>
        <w:tc>
          <w:tcPr>
            <w:tcW w:w="1580" w:type="dxa"/>
            <w:vAlign w:val="bottom"/>
            <w:vMerge w:val="restart"/>
          </w:tcPr>
          <w:p>
            <w:pPr>
              <w:jc w:val="right"/>
              <w:ind w:right="772"/>
              <w:spacing w:after="0"/>
              <w:rPr>
                <w:sz w:val="20"/>
                <w:szCs w:val="20"/>
                <w:color w:val="auto"/>
              </w:rPr>
            </w:pPr>
            <w:r>
              <w:rPr>
                <w:rFonts w:ascii="Times New Roman" w:cs="Times New Roman" w:eastAsia="Times New Roman" w:hAnsi="Times New Roman"/>
                <w:sz w:val="22"/>
                <w:szCs w:val="22"/>
                <w:color w:val="auto"/>
              </w:rPr>
              <w:t>810.65</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Ste 1600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tabs>
          <w:tab w:leader="none" w:pos="1400" w:val="left"/>
          <w:tab w:leader="none" w:pos="1880" w:val="left"/>
        </w:tabs>
        <w:rPr>
          <w:sz w:val="20"/>
          <w:szCs w:val="20"/>
          <w:color w:val="auto"/>
        </w:rPr>
      </w:pPr>
      <w:r>
        <w:rPr>
          <w:rFonts w:ascii="Times New Roman" w:cs="Times New Roman" w:eastAsia="Times New Roman" w:hAnsi="Times New Roman"/>
          <w:sz w:val="22"/>
          <w:szCs w:val="22"/>
          <w:color w:val="auto"/>
        </w:rPr>
        <w:t>San Francisco</w:t>
        <w:tab/>
        <w:t>CA</w:t>
      </w:r>
      <w:r>
        <w:rPr>
          <w:sz w:val="20"/>
          <w:szCs w:val="20"/>
          <w:color w:val="auto"/>
        </w:rPr>
        <w:tab/>
      </w:r>
      <w:r>
        <w:rPr>
          <w:rFonts w:ascii="Times New Roman" w:cs="Times New Roman" w:eastAsia="Times New Roman" w:hAnsi="Times New Roman"/>
          <w:sz w:val="21"/>
          <w:szCs w:val="21"/>
          <w:color w:val="auto"/>
        </w:rPr>
        <w:t>94108</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82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Note for 3(e): As of November 3, 2025, as stated in Issuer's quarterly report on Form 10-Q for the fiscal quarter</w:t>
            </w:r>
          </w:p>
        </w:tc>
        <w:tc>
          <w:tcPr>
            <w:tcW w:w="0" w:type="dxa"/>
            <w:vAlign w:val="bottom"/>
          </w:tcPr>
          <w:p>
            <w:pPr>
              <w:spacing w:after="0"/>
              <w:rPr>
                <w:sz w:val="1"/>
                <w:szCs w:val="1"/>
                <w:color w:val="auto"/>
              </w:rPr>
            </w:pPr>
          </w:p>
        </w:tc>
      </w:tr>
      <w:tr>
        <w:trPr>
          <w:trHeight w:val="161"/>
        </w:trPr>
        <w:tc>
          <w:tcPr>
            <w:tcW w:w="940" w:type="dxa"/>
            <w:vAlign w:val="bottom"/>
            <w:vMerge w:val="continue"/>
          </w:tcPr>
          <w:p>
            <w:pPr>
              <w:spacing w:after="0"/>
              <w:rPr>
                <w:sz w:val="13"/>
                <w:szCs w:val="13"/>
                <w:color w:val="auto"/>
              </w:rPr>
            </w:pPr>
          </w:p>
        </w:tc>
        <w:tc>
          <w:tcPr>
            <w:tcW w:w="98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ending September 30, 2025.</w:t>
            </w:r>
          </w:p>
        </w:tc>
        <w:tc>
          <w:tcPr>
            <w:tcW w:w="0" w:type="dxa"/>
            <w:vAlign w:val="bottom"/>
          </w:tcPr>
          <w:p>
            <w:pPr>
              <w:spacing w:after="0"/>
              <w:rPr>
                <w:sz w:val="1"/>
                <w:szCs w:val="1"/>
                <w:color w:val="auto"/>
              </w:rPr>
            </w:pPr>
          </w:p>
        </w:tc>
      </w:tr>
      <w:tr>
        <w:trPr>
          <w:trHeight w:val="122"/>
        </w:trPr>
        <w:tc>
          <w:tcPr>
            <w:tcW w:w="940" w:type="dxa"/>
            <w:vAlign w:val="bottom"/>
          </w:tcPr>
          <w:p>
            <w:pPr>
              <w:spacing w:after="0"/>
              <w:rPr>
                <w:sz w:val="10"/>
                <w:szCs w:val="10"/>
                <w:color w:val="auto"/>
              </w:rPr>
            </w:pPr>
          </w:p>
        </w:tc>
        <w:tc>
          <w:tcPr>
            <w:tcW w:w="9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98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12/31/2025</w:t>
            </w:r>
          </w:p>
        </w:tc>
        <w:tc>
          <w:tcPr>
            <w:tcW w:w="0" w:type="dxa"/>
            <w:vAlign w:val="bottom"/>
          </w:tcPr>
          <w:p>
            <w:pPr>
              <w:spacing w:after="0"/>
              <w:rPr>
                <w:sz w:val="1"/>
                <w:szCs w:val="1"/>
                <w:color w:val="auto"/>
              </w:rPr>
            </w:pPr>
          </w:p>
        </w:tc>
      </w:tr>
      <w:tr>
        <w:trPr>
          <w:trHeight w:val="161"/>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9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40" w:type="dxa"/>
            <w:vAlign w:val="bottom"/>
            <w:vMerge w:val="continue"/>
          </w:tcPr>
          <w:p>
            <w:pPr>
              <w:spacing w:after="0"/>
              <w:rPr>
                <w:sz w:val="10"/>
                <w:szCs w:val="10"/>
                <w:color w:val="auto"/>
              </w:rPr>
            </w:pPr>
          </w:p>
        </w:tc>
        <w:tc>
          <w:tcPr>
            <w:tcW w:w="9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7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Signature</w:t>
        <w:tab/>
        <w:t>/s/ Cole Eason as attorney-in-fact</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144</w:t>
      </w:r>
    </w:p>
    <w:p>
      <w:pPr>
        <w:spacing w:after="0" w:line="19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With respect to holdings of and transactions in securities issued by Expensify,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undersigned hereby constitutes and appoints Ryan Schaffer, Chief Financial Officer of the Company, and Cole Eason, Secretary of the Company, each in their respective capacities as such, and each of their respective successors in such offices, and each of them, as the undersigned’s true and lawful attorneys-in-fact and agents, with full power of substitution and resubstitution, for the undersigned and in the undersigned’s name, place and stead, in any and all capacities, to:</w:t>
      </w:r>
    </w:p>
    <w:p>
      <w:pPr>
        <w:spacing w:after="0" w:line="204" w:lineRule="exact"/>
        <w:rPr>
          <w:sz w:val="20"/>
          <w:szCs w:val="20"/>
          <w:color w:val="auto"/>
        </w:rPr>
      </w:pPr>
    </w:p>
    <w:p>
      <w:pPr>
        <w:ind w:left="660" w:hanging="328"/>
        <w:spacing w:after="0" w:line="27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an electronic Notice of Proposed Sale of Securities Pursuant to Rule 144 (</w:t>
      </w:r>
      <w:r>
        <w:rPr>
          <w:rFonts w:ascii="Times New Roman" w:cs="Times New Roman" w:eastAsia="Times New Roman" w:hAnsi="Times New Roman"/>
          <w:sz w:val="18"/>
          <w:szCs w:val="18"/>
          <w:b w:val="1"/>
          <w:bCs w:val="1"/>
          <w:i w:val="1"/>
          <w:iCs w:val="1"/>
          <w:color w:val="auto"/>
        </w:rPr>
        <w:t>“Form 144”</w:t>
      </w:r>
      <w:r>
        <w:rPr>
          <w:rFonts w:ascii="Times New Roman" w:cs="Times New Roman" w:eastAsia="Times New Roman" w:hAnsi="Times New Roman"/>
          <w:sz w:val="18"/>
          <w:szCs w:val="18"/>
          <w:color w:val="auto"/>
        </w:rPr>
        <w:t>) relating to such sales, in accordance with the requirements of Rule 144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 144 complete and execute any amendment or amendments thereto, and to timely file the Form 144, and any amendment thereto, with the United States Securities and Exchange Commission and any stock exchange or similar authority.</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acknowledges that the foregoing attorneys-in-fact, in serving in such capacity at the request of the undersigned, are not assuming, nor is the Company assuming, any of the undersigned’s responsibilities to comply with the requirements of Rule 144 under the Securities Act.</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 144 with respect to the undersigned’s transactions in securities issued by the Company, unless earlier revoked by the undersigned in a signed writing delivered to the foregoing attorneys-in-fact.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6th day of June, 2023.</w:t>
      </w:r>
    </w:p>
    <w:p>
      <w:pPr>
        <w:spacing w:after="0" w:line="200" w:lineRule="exact"/>
        <w:rPr>
          <w:sz w:val="20"/>
          <w:szCs w:val="20"/>
          <w:color w:val="auto"/>
        </w:rPr>
      </w:pPr>
    </w:p>
    <w:p>
      <w:pPr>
        <w:spacing w:after="0" w:line="33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 Anu Muralidharan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Anu Muralidharan</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2025-12-31T16:28:21Z</dcterms:created>
  <dcterms:modified xsi:type="dcterms:W3CDTF">2025-12-31T16:28:21Z</dcterms:modified>
</cp:coreProperties>
</file>