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9522434.xml.htm"/>
      <w:bookmarkStart w:id="1" w:name="kswkform4_17595224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Barrett David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w:t>
            </w:r>
            <w:r>
              <w:rPr>
                <w:rFonts w:ascii="Times;serif" w:hAnsi="Times;serif"/>
                <w:color w:val="008000"/>
                <w:position w:val="7"/>
                <w:sz w:val="16"/>
                <w:sz w:val="20"/>
                <w:shd w:fill="FFFFFF" w:val="clear"/>
              </w:rPr>
              <w:t>(2)</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1,438,480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208,399</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March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$1.74 to $1.85,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By Barrett Trust LLC, a manager-managed limited liability company. The investment and voting decisions of Barrett Trust LLC are made by its manager, the Reporting Person, and its controlling member is the Barrett Family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92682"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3862</Characters>
  <CharactersWithSpaces>4513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