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143"/>
        <w:gridCol w:w="1930"/>
        <w:gridCol w:w="6099"/>
        <w:gridCol w:w="2033"/>
      </w:tblGrid>
      <w:tr>
        <w:trPr/>
        <w:tc>
          <w:tcPr>
            <w:tcW w:w="2073"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6099"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33"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13"/>
            </w:tblGrid>
            <w:tr>
              <w:trPr/>
              <w:tc>
                <w:tcPr>
                  <w:tcW w:w="1913"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3"/>
                    <w:gridCol w:w="684"/>
                  </w:tblGrid>
                  <w:tr>
                    <w:trPr/>
                    <w:tc>
                      <w:tcPr>
                        <w:tcW w:w="117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4"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57"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4"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13"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28" w:type="dxa"/>
                <w:left w:w="28" w:type="dxa"/>
                <w:bottom w:w="28" w:type="dxa"/>
                <w:right w:w="28" w:type="dxa"/>
              </w:tblCellMar>
            </w:tblPr>
            <w:tblGrid>
              <w:gridCol w:w="1913"/>
            </w:tblGrid>
            <w:tr>
              <w:trPr/>
              <w:tc>
                <w:tcPr>
                  <w:tcW w:w="1913" w:type="dxa"/>
                  <w:tcBorders>
                    <w:top w:val="single" w:sz="6" w:space="0" w:color="808080"/>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w:t>
                  </w:r>
                </w:p>
              </w:tc>
            </w:tr>
          </w:tbl>
          <w:p>
            <w:pPr>
              <w:pStyle w:val="TableContents"/>
              <w:bidi w:val="0"/>
              <w:spacing w:before="0" w:after="283"/>
              <w:jc w:val="left"/>
              <w:rPr/>
            </w:pPr>
            <w:r>
              <w:rPr/>
            </w:r>
          </w:p>
        </w:tc>
      </w:tr>
      <w:tr>
        <w:trPr/>
        <w:tc>
          <w:tcPr>
            <w:tcW w:w="143"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6099" w:type="dxa"/>
            <w:vMerge w:val="continue"/>
            <w:tcBorders/>
            <w:vAlign w:val="center"/>
          </w:tcPr>
          <w:p>
            <w:pPr>
              <w:pStyle w:val="Normal"/>
              <w:bidi w:val="0"/>
              <w:jc w:val="left"/>
              <w:rPr/>
            </w:pPr>
            <w:r>
              <w:rPr/>
            </w:r>
          </w:p>
        </w:tc>
        <w:tc>
          <w:tcPr>
            <w:tcW w:w="2033"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2">
                    <w:r>
                      <w:rPr>
                        <w:rStyle w:val="InternetLink"/>
                      </w:rPr>
                      <w:t>OpenView Management,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303 CONGRESS STREET, 7TH FLOOR</w:t>
                  </w:r>
                </w:p>
              </w:tc>
            </w:tr>
            <w:tr>
              <w:trPr/>
              <w:tc>
                <w:tcPr>
                  <w:tcW w:w="343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02210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Expensify, Inc.</w:t>
              </w:r>
            </w:hyperlink>
            <w:r>
              <w:rPr/>
              <w:t xml:space="preserve"> [ </w:t>
            </w:r>
            <w:r>
              <w:rPr>
                <w:rFonts w:ascii="Times;serif" w:hAnsi="Times;serif"/>
                <w:color w:val="0000FF"/>
                <w:sz w:val="24"/>
                <w:shd w:fill="FFFFFF" w:val="clear"/>
              </w:rPr>
              <w:t>EXFY</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08/01/2023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57"/>
        <w:gridCol w:w="919"/>
        <w:gridCol w:w="789"/>
        <w:gridCol w:w="610"/>
        <w:gridCol w:w="342"/>
        <w:gridCol w:w="1156"/>
        <w:gridCol w:w="427"/>
        <w:gridCol w:w="594"/>
        <w:gridCol w:w="1125"/>
        <w:gridCol w:w="973"/>
        <w:gridCol w:w="121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5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5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9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1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5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08/01/2023</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9,726,290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5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6.1</w:t>
            </w:r>
            <w:r>
              <w:rPr/>
              <w:t xml:space="preserve"> </w:t>
            </w:r>
          </w:p>
        </w:tc>
        <w:tc>
          <w:tcPr>
            <w:tcW w:w="11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OpenView Venture Partners IV, L.P.</w:t>
            </w:r>
            <w:r>
              <w:rPr>
                <w:rFonts w:ascii="Times;serif" w:hAnsi="Times;serif"/>
                <w:color w:val="008000"/>
                <w:position w:val="7"/>
                <w:sz w:val="16"/>
                <w:sz w:val="20"/>
                <w:shd w:fill="FFFFFF" w:val="clear"/>
              </w:rPr>
              <w:t>(1)</w:t>
            </w:r>
            <w:r>
              <w:rPr/>
              <w:t xml:space="preserve"> </w:t>
            </w:r>
          </w:p>
        </w:tc>
      </w:tr>
      <w:tr>
        <w:trPr/>
        <w:tc>
          <w:tcPr>
            <w:tcW w:w="205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08/01/2023</w:t>
            </w:r>
          </w:p>
        </w:tc>
        <w:tc>
          <w:tcPr>
            <w:tcW w:w="7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317,960</w:t>
            </w:r>
          </w:p>
        </w:tc>
        <w:tc>
          <w:tcPr>
            <w:tcW w:w="4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5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6.1</w:t>
            </w:r>
            <w:r>
              <w:rPr/>
              <w:t xml:space="preserve"> </w:t>
            </w:r>
          </w:p>
        </w:tc>
        <w:tc>
          <w:tcPr>
            <w:tcW w:w="11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OpenView Affiliates Fund IV, L.P.</w:t>
            </w:r>
            <w:r>
              <w:rPr>
                <w:rFonts w:ascii="Times;serif" w:hAnsi="Times;serif"/>
                <w:color w:val="008000"/>
                <w:position w:val="7"/>
                <w:sz w:val="16"/>
                <w:sz w:val="20"/>
                <w:shd w:fill="FFFFFF" w:val="clear"/>
              </w:rPr>
              <w:t>(2)</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4">
                    <w:r>
                      <w:rPr>
                        <w:rStyle w:val="InternetLink"/>
                      </w:rPr>
                      <w:t>OpenView Management,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303 CONGRESS STREET, 7TH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02210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5">
                    <w:r>
                      <w:rPr>
                        <w:rStyle w:val="InternetLink"/>
                      </w:rPr>
                      <w:t>OpenView General Partner IV,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303 CONGRESS STREET, 7TH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02210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6">
                    <w:r>
                      <w:rPr>
                        <w:rStyle w:val="InternetLink"/>
                      </w:rPr>
                      <w:t>OpenView Venture Partners IV,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303 CONGRESS STREET, 7TH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02210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7">
                    <w:r>
                      <w:rPr>
                        <w:rStyle w:val="InternetLink"/>
                      </w:rPr>
                      <w:t>OpenView Affiliates Fund IV,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303 CONGRESS STREET, 7TH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02210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securities are held by OpenView Venture Partners IV, L.P. ("OVP IV LP"). OpenView Management, LLC ("OVM LLC") is the general partner of OpenView General Partner IV, L.P. ("OGP IV LP"), which is the general partner of OVP IV LP. Each of OVM LLC and OGP IV LP disclaims beneficial ownership of all the shares held by OVP IV LP except to the extent, if any, of its pecuniary interest therein and this report shall not be deemed an admission that it is a beneficial owner of such securities for the purpose of Section 16 of the Exchange Act,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securities are held by OpenView Affiliates Fund IV, L.P. ("OAF IV LP"). OGP IV LP is the general partner of OAF IV LP. Each of OVM LLC and OGP IV LP disclaims beneficial ownership of all the shares held by OAF IV LP except to the extent, if any, of its pecuniary interest therein and this report shall not be deemed an admission that it is a beneficial owner of such securities for the purpose of Section 16 of the Exchange Act, or for any other purpose.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Dana O'Brien, General Counsel and Chief Compliance Officer of OpenView Management,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08/03/2023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Dana O'Brien, General Counsel and Chief Compliance Officer of OpenView Management, LLC, the general partner of OpenView General Partner IV,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08/03/2023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Dana O'Brien, General Counsel and Chief Compliance Officer of OpenView Management, LLC, the general partner of OpenView General Partner IV, L.P., the general partner of OpenView Affiliates Fund IV,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08/03/2023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Dana O'Brien, General Counsel and Chief Compliance Officer of OpenView Management, LLC, the general partner of OpenView General Partner IV, L.P., the general partner of OpenView Venture Partners IV,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08/03/2023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658115" TargetMode="External"/><Relationship Id="rId3" Type="http://schemas.openxmlformats.org/officeDocument/2006/relationships/hyperlink" Target="http://www.sec.gov/cgi-bin/browse-edgar?action=getcompany&amp;CIK=0001476840" TargetMode="External"/><Relationship Id="rId4" Type="http://schemas.openxmlformats.org/officeDocument/2006/relationships/hyperlink" Target="http://www.sec.gov/cgi-bin/browse-edgar?action=getcompany&amp;CIK=0001658115" TargetMode="External"/><Relationship Id="rId5" Type="http://schemas.openxmlformats.org/officeDocument/2006/relationships/hyperlink" Target="http://www.sec.gov/cgi-bin/browse-edgar?action=getcompany&amp;CIK=0001658111" TargetMode="External"/><Relationship Id="rId6" Type="http://schemas.openxmlformats.org/officeDocument/2006/relationships/hyperlink" Target="http://www.sec.gov/cgi-bin/browse-edgar?action=getcompany&amp;CIK=0001616720" TargetMode="External"/><Relationship Id="rId7" Type="http://schemas.openxmlformats.org/officeDocument/2006/relationships/hyperlink" Target="http://www.sec.gov/cgi-bin/browse-edgar?action=getcompany&amp;CIK=0001618728"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974</Words>
  <Characters>5126</Characters>
  <CharactersWithSpaces>5977</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