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0001892682</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David Barrett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Raymod James &amp;</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Associates 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880 Carillon Parkway</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92298</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212285.4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St. Petersburg  FL</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33716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80399794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06/17/2025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3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04/29/2009 Founding shares</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90000</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04/29/2009 Founding Shares</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rPr>
              <w:t>06/15/2025 SPMP Purchase</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2298</w:t>
            </w:r>
          </w:p>
        </w:tc>
        <w:tc>
          <w:tcPr>
            <w:tcW w:w="26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06/15/2025 Compensation</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03/17/2025 27331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91832.16</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03/18/2025 44716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148904.28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03/19/2025 37001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120993.27</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03/20/2025 51055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167460.4</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03/21/2025 2900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9280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04/15/2025 25686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72691.38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04/16/2025 22767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61470.9</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04/17/2025 32079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89500.41</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04/21/2025 39399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108347.25</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04/22/2025 22992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64147.68</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04/23/2025 22873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64959.32</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Barrett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05/15/2025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70500</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03/19/2025 11303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37412.93</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Portland</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OR</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David Barrett</w:t>
            </w:r>
          </w:p>
        </w:tc>
        <w:tc>
          <w:tcPr>
            <w:tcW w:w="4940" w:type="dxa"/>
            <w:vAlign w:val="bottom"/>
          </w:tcPr>
          <w:p>
            <w:pPr>
              <w:jc w:val="right"/>
              <w:ind w:right="952"/>
              <w:spacing w:after="0"/>
              <w:rPr>
                <w:sz w:val="20"/>
                <w:szCs w:val="20"/>
                <w:color w:val="auto"/>
              </w:rPr>
            </w:pPr>
            <w:r>
              <w:rPr>
                <w:rFonts w:ascii="Times New Roman" w:cs="Times New Roman" w:eastAsia="Times New Roman" w:hAnsi="Times New Roman"/>
                <w:sz w:val="22"/>
                <w:szCs w:val="22"/>
                <w:color w:val="auto"/>
              </w:rPr>
              <w:t>Class A Common</w:t>
            </w:r>
          </w:p>
        </w:tc>
        <w:tc>
          <w:tcPr>
            <w:tcW w:w="29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03/20/2025 2411</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7883.97</w:t>
            </w:r>
          </w:p>
        </w:tc>
      </w:tr>
      <w:tr>
        <w:trPr>
          <w:trHeight w:val="243"/>
        </w:trPr>
        <w:tc>
          <w:tcPr>
            <w:tcW w:w="62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29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Portland  OR</w:t>
            </w:r>
          </w:p>
        </w:tc>
        <w:tc>
          <w:tcPr>
            <w:tcW w:w="4940" w:type="dxa"/>
            <w:vAlign w:val="bottom"/>
          </w:tcPr>
          <w:p>
            <w:pPr>
              <w:jc w:val="right"/>
              <w:ind w:right="4212"/>
              <w:spacing w:after="0"/>
              <w:rPr>
                <w:sz w:val="20"/>
                <w:szCs w:val="20"/>
                <w:color w:val="auto"/>
              </w:rPr>
            </w:pPr>
            <w:r>
              <w:rPr>
                <w:rFonts w:ascii="Times New Roman" w:cs="Times New Roman" w:eastAsia="Times New Roman" w:hAnsi="Times New Roman"/>
                <w:sz w:val="22"/>
                <w:szCs w:val="22"/>
                <w:color w:val="auto"/>
              </w:rPr>
              <w:t>97204</w:t>
            </w:r>
          </w:p>
        </w:tc>
        <w:tc>
          <w:tcPr>
            <w:tcW w:w="29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9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Note: Barrett Trust LLC is a manager-managed limited liability company. The investment and voting</w:t>
            </w:r>
          </w:p>
        </w:tc>
        <w:tc>
          <w:tcPr>
            <w:tcW w:w="0" w:type="dxa"/>
            <w:vAlign w:val="bottom"/>
          </w:tcPr>
          <w:p>
            <w:pPr>
              <w:spacing w:after="0"/>
              <w:rPr>
                <w:sz w:val="1"/>
                <w:szCs w:val="1"/>
                <w:color w:val="auto"/>
              </w:rPr>
            </w:pPr>
          </w:p>
        </w:tc>
      </w:tr>
      <w:tr>
        <w:trPr>
          <w:trHeight w:val="243"/>
        </w:trPr>
        <w:tc>
          <w:tcPr>
            <w:tcW w:w="1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48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9"/>
              </w:rPr>
              <w:t>decisions of Barrett Trust LLC are made by its manager, David Barrett, and its controlling member is the</w:t>
            </w:r>
          </w:p>
        </w:tc>
        <w:tc>
          <w:tcPr>
            <w:tcW w:w="0" w:type="dxa"/>
            <w:vAlign w:val="bottom"/>
          </w:tcPr>
          <w:p>
            <w:pPr>
              <w:spacing w:after="0"/>
              <w:rPr>
                <w:sz w:val="1"/>
                <w:szCs w:val="1"/>
                <w:color w:val="auto"/>
              </w:rPr>
            </w:pPr>
          </w:p>
        </w:tc>
      </w:tr>
      <w:tr>
        <w:trPr>
          <w:trHeight w:val="161"/>
        </w:trPr>
        <w:tc>
          <w:tcPr>
            <w:tcW w:w="1520" w:type="dxa"/>
            <w:vAlign w:val="bottom"/>
            <w:vMerge w:val="continue"/>
          </w:tcPr>
          <w:p>
            <w:pPr>
              <w:spacing w:after="0"/>
              <w:rPr>
                <w:sz w:val="13"/>
                <w:szCs w:val="13"/>
                <w:color w:val="auto"/>
              </w:rPr>
            </w:pPr>
          </w:p>
        </w:tc>
        <w:tc>
          <w:tcPr>
            <w:tcW w:w="94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Barrett Family Trust, for which David Barrett serves as trustee. Note for 3(e): As of May 5, 2025, as stated</w:t>
            </w:r>
          </w:p>
        </w:tc>
        <w:tc>
          <w:tcPr>
            <w:tcW w:w="0" w:type="dxa"/>
            <w:vAlign w:val="bottom"/>
          </w:tcPr>
          <w:p>
            <w:pPr>
              <w:spacing w:after="0"/>
              <w:rPr>
                <w:sz w:val="1"/>
                <w:szCs w:val="1"/>
                <w:color w:val="auto"/>
              </w:rPr>
            </w:pPr>
          </w:p>
        </w:tc>
      </w:tr>
      <w:tr>
        <w:trPr>
          <w:trHeight w:val="82"/>
        </w:trPr>
        <w:tc>
          <w:tcPr>
            <w:tcW w:w="1520" w:type="dxa"/>
            <w:vAlign w:val="bottom"/>
          </w:tcPr>
          <w:p>
            <w:pPr>
              <w:spacing w:after="0"/>
              <w:rPr>
                <w:sz w:val="7"/>
                <w:szCs w:val="7"/>
                <w:color w:val="auto"/>
              </w:rPr>
            </w:pPr>
          </w:p>
        </w:tc>
        <w:tc>
          <w:tcPr>
            <w:tcW w:w="9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4"/>
                <w:szCs w:val="24"/>
                <w:color w:val="auto"/>
              </w:rPr>
            </w:pPr>
          </w:p>
        </w:tc>
        <w:tc>
          <w:tcPr>
            <w:tcW w:w="9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in Issuer's quarterly report on Form 10-Q for the fiscal quarter ending March 31, 2025.</w:t>
            </w:r>
          </w:p>
        </w:tc>
        <w:tc>
          <w:tcPr>
            <w:tcW w:w="0" w:type="dxa"/>
            <w:vAlign w:val="bottom"/>
          </w:tcPr>
          <w:p>
            <w:pPr>
              <w:spacing w:after="0"/>
              <w:rPr>
                <w:sz w:val="1"/>
                <w:szCs w:val="1"/>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948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06/17/2025</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 Giving</w:t>
      </w: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of Instruction, If</w:t>
      </w:r>
      <w:r>
        <w:rPr>
          <w:sz w:val="20"/>
          <w:szCs w:val="20"/>
          <w:color w:val="auto"/>
        </w:rPr>
        <w:tab/>
      </w:r>
      <w:r>
        <w:rPr>
          <w:rFonts w:ascii="Times New Roman" w:cs="Times New Roman" w:eastAsia="Times New Roman" w:hAnsi="Times New Roman"/>
          <w:sz w:val="21"/>
          <w:szCs w:val="21"/>
          <w:color w:val="auto"/>
        </w:rPr>
        <w:t>03/31/2025</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 Rule</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 in 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00"/>
          </w:cols>
          <w:pgMar w:left="320" w:top="102"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31st day of May, 2023.</w:t>
      </w:r>
    </w:p>
    <w:p>
      <w:pPr>
        <w:spacing w:after="0" w:line="200" w:lineRule="exact"/>
        <w:rPr>
          <w:sz w:val="20"/>
          <w:szCs w:val="20"/>
          <w:color w:val="auto"/>
        </w:rPr>
      </w:pPr>
    </w:p>
    <w:p>
      <w:pPr>
        <w:spacing w:after="0" w:line="332"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Barrett Trust LLC</w:t>
      </w:r>
    </w:p>
    <w:p>
      <w:pPr>
        <w:spacing w:after="0" w:line="29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David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David Barrett</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General Manager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2025-06-17T19:46:49Z</dcterms:created>
  <dcterms:modified xsi:type="dcterms:W3CDTF">2025-06-17T19:46:49Z</dcterms:modified>
</cp:coreProperties>
</file>