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27, 2022</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Expensify, Inc.</w:t>
      </w:r>
    </w:p>
    <w:p>
      <w:pPr>
        <w:spacing w:after="0" w:line="50"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10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680" w:type="dxa"/>
            <w:vAlign w:val="bottom"/>
          </w:tcPr>
          <w:p>
            <w:pPr>
              <w:spacing w:after="0"/>
              <w:rPr>
                <w:sz w:val="20"/>
                <w:szCs w:val="20"/>
                <w:color w:val="auto"/>
              </w:rPr>
            </w:pPr>
          </w:p>
        </w:tc>
      </w:tr>
      <w:tr>
        <w:trPr>
          <w:trHeight w:val="250"/>
        </w:trPr>
        <w:tc>
          <w:tcPr>
            <w:tcW w:w="2100" w:type="dxa"/>
            <w:vAlign w:val="bottom"/>
          </w:tcPr>
          <w:p>
            <w:pPr>
              <w:jc w:val="center"/>
              <w:ind w:right="342"/>
              <w:spacing w:after="0"/>
              <w:rPr>
                <w:sz w:val="20"/>
                <w:szCs w:val="20"/>
                <w:color w:val="auto"/>
              </w:rPr>
            </w:pPr>
            <w:r>
              <w:rPr>
                <w:rFonts w:ascii="Arial" w:cs="Arial" w:eastAsia="Arial" w:hAnsi="Arial"/>
                <w:sz w:val="18"/>
                <w:szCs w:val="18"/>
                <w:b w:val="1"/>
                <w:bCs w:val="1"/>
                <w:color w:val="auto"/>
                <w:w w:val="91"/>
              </w:rPr>
              <w:t>Delaware</w:t>
            </w:r>
          </w:p>
        </w:tc>
        <w:tc>
          <w:tcPr>
            <w:tcW w:w="5100" w:type="dxa"/>
            <w:vAlign w:val="bottom"/>
          </w:tcPr>
          <w:p>
            <w:pPr>
              <w:jc w:val="center"/>
              <w:ind w:right="78"/>
              <w:spacing w:after="0"/>
              <w:rPr>
                <w:sz w:val="20"/>
                <w:szCs w:val="20"/>
                <w:color w:val="auto"/>
              </w:rPr>
            </w:pPr>
            <w:r>
              <w:rPr>
                <w:rFonts w:ascii="Arial" w:cs="Arial" w:eastAsia="Arial" w:hAnsi="Arial"/>
                <w:sz w:val="18"/>
                <w:szCs w:val="18"/>
                <w:b w:val="1"/>
                <w:bCs w:val="1"/>
                <w:color w:val="auto"/>
                <w:w w:val="90"/>
              </w:rPr>
              <w:t>001-41043</w:t>
            </w:r>
          </w:p>
        </w:tc>
        <w:tc>
          <w:tcPr>
            <w:tcW w:w="1680" w:type="dxa"/>
            <w:vAlign w:val="bottom"/>
          </w:tcPr>
          <w:p>
            <w:pPr>
              <w:jc w:val="center"/>
              <w:ind w:left="462"/>
              <w:spacing w:after="0"/>
              <w:rPr>
                <w:sz w:val="20"/>
                <w:szCs w:val="20"/>
                <w:color w:val="auto"/>
              </w:rPr>
            </w:pPr>
            <w:r>
              <w:rPr>
                <w:rFonts w:ascii="Arial" w:cs="Arial" w:eastAsia="Arial" w:hAnsi="Arial"/>
                <w:sz w:val="18"/>
                <w:szCs w:val="18"/>
                <w:b w:val="1"/>
                <w:bCs w:val="1"/>
                <w:color w:val="auto"/>
                <w:w w:val="89"/>
              </w:rPr>
              <w:t>27-0239450</w:t>
            </w:r>
          </w:p>
        </w:tc>
      </w:tr>
      <w:tr>
        <w:trPr>
          <w:trHeight w:val="180"/>
        </w:trPr>
        <w:tc>
          <w:tcPr>
            <w:tcW w:w="2100" w:type="dxa"/>
            <w:vAlign w:val="bottom"/>
          </w:tcPr>
          <w:p>
            <w:pPr>
              <w:jc w:val="center"/>
              <w:ind w:right="322"/>
              <w:spacing w:after="0"/>
              <w:rPr>
                <w:sz w:val="20"/>
                <w:szCs w:val="20"/>
                <w:color w:val="auto"/>
              </w:rPr>
            </w:pPr>
            <w:r>
              <w:rPr>
                <w:rFonts w:ascii="Arial" w:cs="Arial" w:eastAsia="Arial" w:hAnsi="Arial"/>
                <w:sz w:val="14"/>
                <w:szCs w:val="14"/>
                <w:b w:val="1"/>
                <w:bCs w:val="1"/>
                <w:color w:val="auto"/>
                <w:w w:val="93"/>
              </w:rPr>
              <w:t>(State or Other Jurisdiction</w:t>
            </w:r>
          </w:p>
        </w:tc>
        <w:tc>
          <w:tcPr>
            <w:tcW w:w="510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(Commission</w:t>
            </w:r>
          </w:p>
        </w:tc>
        <w:tc>
          <w:tcPr>
            <w:tcW w:w="1680" w:type="dxa"/>
            <w:vAlign w:val="bottom"/>
          </w:tcPr>
          <w:p>
            <w:pPr>
              <w:jc w:val="center"/>
              <w:ind w:left="46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100" w:type="dxa"/>
            <w:vAlign w:val="bottom"/>
          </w:tcPr>
          <w:p>
            <w:pPr>
              <w:jc w:val="center"/>
              <w:ind w:right="322"/>
              <w:spacing w:after="0"/>
              <w:rPr>
                <w:sz w:val="20"/>
                <w:szCs w:val="20"/>
                <w:color w:val="auto"/>
              </w:rPr>
            </w:pPr>
            <w:r>
              <w:rPr>
                <w:rFonts w:ascii="Arial" w:cs="Arial" w:eastAsia="Arial" w:hAnsi="Arial"/>
                <w:sz w:val="14"/>
                <w:szCs w:val="14"/>
                <w:b w:val="1"/>
                <w:bCs w:val="1"/>
                <w:color w:val="auto"/>
                <w:w w:val="94"/>
              </w:rPr>
              <w:t>of Incorporation)</w:t>
            </w:r>
          </w:p>
        </w:tc>
        <w:tc>
          <w:tcPr>
            <w:tcW w:w="510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File Number)</w:t>
            </w:r>
          </w:p>
        </w:tc>
        <w:tc>
          <w:tcPr>
            <w:tcW w:w="1680" w:type="dxa"/>
            <w:vAlign w:val="bottom"/>
          </w:tcPr>
          <w:p>
            <w:pPr>
              <w:jc w:val="center"/>
              <w:ind w:left="462"/>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Arial" w:cs="Arial" w:eastAsia="Arial" w:hAnsi="Arial"/>
                <w:sz w:val="18"/>
                <w:szCs w:val="18"/>
                <w:b w:val="1"/>
                <w:bCs w:val="1"/>
                <w:color w:val="auto"/>
                <w:w w:val="88"/>
              </w:rPr>
              <w:t>401 SW 5</w:t>
            </w:r>
            <w:r>
              <w:rPr>
                <w:rFonts w:ascii="Arial" w:cs="Arial" w:eastAsia="Arial" w:hAnsi="Arial"/>
                <w:sz w:val="23"/>
                <w:szCs w:val="23"/>
                <w:b w:val="1"/>
                <w:bCs w:val="1"/>
                <w:color w:val="auto"/>
                <w:w w:val="88"/>
                <w:vertAlign w:val="superscript"/>
              </w:rPr>
              <w:t>th</w:t>
            </w:r>
            <w:r>
              <w:rPr>
                <w:rFonts w:ascii="Arial" w:cs="Arial" w:eastAsia="Arial" w:hAnsi="Arial"/>
                <w:sz w:val="18"/>
                <w:szCs w:val="18"/>
                <w:b w:val="1"/>
                <w:bCs w:val="1"/>
                <w:color w:val="auto"/>
                <w:w w:val="88"/>
              </w:rPr>
              <w:t xml:space="preserve"> Ave</w:t>
            </w:r>
          </w:p>
        </w:tc>
        <w:tc>
          <w:tcPr>
            <w:tcW w:w="168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5100" w:type="dxa"/>
            <w:vAlign w:val="bottom"/>
          </w:tcPr>
          <w:p>
            <w:pPr>
              <w:jc w:val="center"/>
              <w:ind w:right="58"/>
              <w:spacing w:after="0"/>
              <w:rPr>
                <w:sz w:val="20"/>
                <w:szCs w:val="20"/>
                <w:color w:val="auto"/>
              </w:rPr>
            </w:pPr>
            <w:r>
              <w:rPr>
                <w:rFonts w:ascii="Arial" w:cs="Arial" w:eastAsia="Arial" w:hAnsi="Arial"/>
                <w:sz w:val="18"/>
                <w:szCs w:val="18"/>
                <w:b w:val="1"/>
                <w:bCs w:val="1"/>
                <w:color w:val="auto"/>
                <w:w w:val="91"/>
              </w:rPr>
              <w:t>Portland, Oregon 97204</w:t>
            </w:r>
          </w:p>
        </w:tc>
        <w:tc>
          <w:tcPr>
            <w:tcW w:w="168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(Address of Principal Executive Offices) (Zip Code)</w:t>
            </w:r>
          </w:p>
        </w:tc>
        <w:tc>
          <w:tcPr>
            <w:tcW w:w="1680" w:type="dxa"/>
            <w:vAlign w:val="bottom"/>
          </w:tcPr>
          <w:p>
            <w:pPr>
              <w:spacing w:after="0"/>
              <w:rPr>
                <w:sz w:val="16"/>
                <w:szCs w:val="16"/>
                <w:color w:val="auto"/>
              </w:rPr>
            </w:pPr>
          </w:p>
        </w:tc>
      </w:tr>
      <w:tr>
        <w:trPr>
          <w:trHeight w:val="300"/>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(971) 365-3939</w:t>
            </w:r>
          </w:p>
        </w:tc>
        <w:tc>
          <w:tcPr>
            <w:tcW w:w="1680" w:type="dxa"/>
            <w:vAlign w:val="bottom"/>
          </w:tcPr>
          <w:p>
            <w:pPr>
              <w:spacing w:after="0"/>
              <w:rPr>
                <w:sz w:val="24"/>
                <w:szCs w:val="24"/>
                <w:color w:val="auto"/>
              </w:rPr>
            </w:pPr>
          </w:p>
        </w:tc>
      </w:tr>
      <w:tr>
        <w:trPr>
          <w:trHeight w:val="186"/>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680" w:type="dxa"/>
            <w:vAlign w:val="bottom"/>
          </w:tcPr>
          <w:p>
            <w:pPr>
              <w:spacing w:after="0"/>
              <w:rPr>
                <w:sz w:val="16"/>
                <w:szCs w:val="16"/>
                <w:color w:val="auto"/>
              </w:rPr>
            </w:pPr>
          </w:p>
        </w:tc>
      </w:tr>
      <w:tr>
        <w:trPr>
          <w:trHeight w:val="300"/>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Not applicable</w:t>
            </w:r>
          </w:p>
        </w:tc>
        <w:tc>
          <w:tcPr>
            <w:tcW w:w="1680" w:type="dxa"/>
            <w:vAlign w:val="bottom"/>
          </w:tcPr>
          <w:p>
            <w:pPr>
              <w:spacing w:after="0"/>
              <w:rPr>
                <w:sz w:val="24"/>
                <w:szCs w:val="24"/>
                <w:color w:val="auto"/>
              </w:rPr>
            </w:pPr>
          </w:p>
        </w:tc>
      </w:tr>
      <w:tr>
        <w:trPr>
          <w:trHeight w:val="186"/>
        </w:trPr>
        <w:tc>
          <w:tcPr>
            <w:tcW w:w="2100" w:type="dxa"/>
            <w:vAlign w:val="bottom"/>
          </w:tcPr>
          <w:p>
            <w:pPr>
              <w:spacing w:after="0"/>
              <w:rPr>
                <w:sz w:val="16"/>
                <w:szCs w:val="16"/>
                <w:color w:val="auto"/>
              </w:rPr>
            </w:pPr>
          </w:p>
        </w:tc>
        <w:tc>
          <w:tcPr>
            <w:tcW w:w="510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680" w:type="dxa"/>
            <w:vAlign w:val="bottom"/>
          </w:tcPr>
          <w:p>
            <w:pPr>
              <w:spacing w:after="0"/>
              <w:rPr>
                <w:sz w:val="16"/>
                <w:szCs w:val="16"/>
                <w:color w:val="auto"/>
              </w:rPr>
            </w:pPr>
          </w:p>
        </w:tc>
      </w:tr>
    </w:tbl>
    <w:p>
      <w:pPr>
        <w:spacing w:after="0" w:line="92" w:lineRule="exact"/>
        <w:rPr>
          <w:sz w:val="24"/>
          <w:szCs w:val="24"/>
          <w:color w:val="auto"/>
        </w:rPr>
      </w:pPr>
    </w:p>
    <w:p>
      <w:pPr>
        <w:ind w:right="68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8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00"/>
        </w:trPr>
        <w:tc>
          <w:tcPr>
            <w:tcW w:w="3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368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Symbols</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05"/>
        </w:trPr>
        <w:tc>
          <w:tcPr>
            <w:tcW w:w="3960" w:type="dxa"/>
            <w:vAlign w:val="bottom"/>
            <w:gridSpan w:val="2"/>
          </w:tcPr>
          <w:p>
            <w:pPr>
              <w:jc w:val="center"/>
              <w:ind w:right="140"/>
              <w:spacing w:after="0" w:line="205"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3680" w:type="dxa"/>
            <w:vAlign w:val="bottom"/>
            <w:gridSpan w:val="2"/>
          </w:tcPr>
          <w:p>
            <w:pPr>
              <w:ind w:left="1520"/>
              <w:spacing w:after="0" w:line="205" w:lineRule="exact"/>
              <w:rPr>
                <w:sz w:val="20"/>
                <w:szCs w:val="20"/>
                <w:color w:val="auto"/>
              </w:rPr>
            </w:pPr>
            <w:r>
              <w:rPr>
                <w:rFonts w:ascii="Arial" w:cs="Arial" w:eastAsia="Arial" w:hAnsi="Arial"/>
                <w:sz w:val="18"/>
                <w:szCs w:val="18"/>
                <w:b w:val="1"/>
                <w:bCs w:val="1"/>
                <w:color w:val="auto"/>
              </w:rPr>
              <w:t>EXFY</w:t>
            </w:r>
          </w:p>
        </w:tc>
        <w:tc>
          <w:tcPr>
            <w:tcW w:w="36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3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share</w:t>
            </w: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9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935355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48"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On May 27, 2022, Expensify, Inc. (“Expensify” or the “Company”) filed a Certificate of Retirement with the Secretary of State of the State of Delaware to retire 830 shares of LT50 common stock, par value $0.0001 per share, of the Company (the “LT50 Common Stock”). All 830 shares of the LT50 Common Stock were converted into shares of Class A common stock, par value $0.0001 per share, of the Company (the “Class A Common Stock”), in connection with the forfeiture to the Company of unvested LT50 Common Stock. The Company’s Amended and Restated Certificate of Incorporation requires that any shares of LT50 Common Stock that are converted into shares of Class A Common Stock be retired and may not be reissued.</w:t>
      </w:r>
    </w:p>
    <w:p>
      <w:pPr>
        <w:spacing w:after="0" w:line="18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Effective upon filing, the Certificate of Retirement amended the Amended and Restated Certificate of Incorporation of the Company to reduce the total authorized number of shares of capital stock of the Company by 830 shares. The total number of authorized shares of the Company is now 1,059,998,500 shares, such shares consisting of 1,000,000,000 shares designated Class A Common Stock, 24,999,330 shares designated LT10 Common Stock, 24,999,170 shares designated LT50 common stock, par value $0.0001 per share, of the Company, and 10,000,000 shares designated preferred stock, each par value $0.0001 per share, of the Company. A copy of the Certificate of Retirement is attached as Exhibit 3.1 hereto.</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90" w:lineRule="exact"/>
        <w:rPr>
          <w:sz w:val="20"/>
          <w:szCs w:val="20"/>
          <w:color w:val="auto"/>
        </w:rPr>
      </w:pPr>
    </w:p>
    <w:p>
      <w:pPr>
        <w:ind w:left="80"/>
        <w:spacing w:after="0"/>
        <w:tabs>
          <w:tab w:leader="none" w:pos="9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117" w:lineRule="exact"/>
        <w:rPr>
          <w:sz w:val="20"/>
          <w:szCs w:val="20"/>
          <w:color w:val="auto"/>
        </w:rPr>
      </w:pPr>
    </w:p>
    <w:p>
      <w:pPr>
        <w:ind w:left="320"/>
        <w:spacing w:after="0"/>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w:anchor="page4">
        <w:r>
          <w:rPr>
            <w:rFonts w:ascii="Arial" w:cs="Arial" w:eastAsia="Arial" w:hAnsi="Arial"/>
            <w:sz w:val="16"/>
            <w:szCs w:val="16"/>
            <w:u w:val="single" w:color="auto"/>
            <w:color w:val="0000FF"/>
          </w:rPr>
          <w:t>Certificate of Retirement of 830 Shares of Class LT50 Common Stock.</w:t>
        </w:r>
      </w:hyperlink>
    </w:p>
    <w:p>
      <w:pPr>
        <w:spacing w:after="0" w:line="104"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u w:val="single" w:color="auto"/>
          <w:color w:val="auto"/>
        </w:rPr>
        <w:t>SIGNATURE</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Expensify, Inc.</w:t>
      </w:r>
    </w:p>
    <w:p>
      <w:pPr>
        <w:spacing w:after="0" w:line="266" w:lineRule="exact"/>
        <w:rPr>
          <w:sz w:val="20"/>
          <w:szCs w:val="20"/>
          <w:color w:val="auto"/>
        </w:rPr>
      </w:pPr>
    </w:p>
    <w:p>
      <w:pPr>
        <w:ind w:left="8700"/>
        <w:spacing w:after="0"/>
        <w:tabs>
          <w:tab w:leader="none" w:pos="9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23495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 w:lineRule="exact"/>
        <w:rPr>
          <w:sz w:val="20"/>
          <w:szCs w:val="20"/>
          <w:color w:val="auto"/>
        </w:rPr>
      </w:pPr>
    </w:p>
    <w:p>
      <w:pPr>
        <w:ind w:left="8700"/>
        <w:spacing w:after="0"/>
        <w:tabs>
          <w:tab w:leader="none" w:pos="9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Ryan Schaffer</w:t>
      </w:r>
    </w:p>
    <w:p>
      <w:pPr>
        <w:spacing w:after="0" w:line="63" w:lineRule="exact"/>
        <w:rPr>
          <w:sz w:val="20"/>
          <w:szCs w:val="20"/>
          <w:color w:val="auto"/>
        </w:rPr>
      </w:pPr>
    </w:p>
    <w:p>
      <w:pPr>
        <w:ind w:left="8700"/>
        <w:spacing w:after="0"/>
        <w:tabs>
          <w:tab w:leader="none" w:pos="9300" w:val="left"/>
        </w:tabs>
        <w:rPr>
          <w:sz w:val="20"/>
          <w:szCs w:val="20"/>
          <w:color w:val="auto"/>
        </w:rPr>
      </w:pPr>
      <w:r>
        <w:rPr>
          <w:rFonts w:ascii="Arial" w:cs="Arial" w:eastAsia="Arial" w:hAnsi="Arial"/>
          <w:sz w:val="18"/>
          <w:szCs w:val="18"/>
          <w:color w:val="auto"/>
        </w:rPr>
        <w:t>Title:</w:t>
        <w:tab/>
        <w:t>Chief Financial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May 27, 2022</w:t>
      </w:r>
    </w:p>
    <w:p>
      <w:pPr>
        <w:sectPr>
          <w:pgSz w:w="11900" w:h="16838" w:orient="portrait"/>
          <w:cols w:equalWidth="0" w:num="1">
            <w:col w:w="11200"/>
          </w:cols>
          <w:pgMar w:left="320" w:top="1417" w:right="3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CERTIFICATE OF RETIREMENT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830 SHARES OF LT50 COMMON STOCK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EXPENSIFY, INC.</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Section 243(b)</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General Corporation Law</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State of Delaware</w:t>
      </w:r>
    </w:p>
    <w:p>
      <w:pPr>
        <w:spacing w:after="0" w:line="23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Expensify, Inc., a corporation organized and existing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(hereinafter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197" w:lineRule="exact"/>
        <w:rPr>
          <w:sz w:val="20"/>
          <w:szCs w:val="20"/>
          <w:color w:val="auto"/>
        </w:rPr>
      </w:pPr>
    </w:p>
    <w:p>
      <w:pPr>
        <w:ind w:left="660" w:right="2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830 outstanding shares of LT50 Common Stock, par value $0.0001 per share (“</w:t>
      </w:r>
      <w:r>
        <w:rPr>
          <w:rFonts w:ascii="Arial" w:cs="Arial" w:eastAsia="Arial" w:hAnsi="Arial"/>
          <w:sz w:val="17"/>
          <w:szCs w:val="17"/>
          <w:u w:val="single" w:color="auto"/>
          <w:color w:val="auto"/>
        </w:rPr>
        <w:t>LT50 Common Stock”</w:t>
      </w:r>
      <w:r>
        <w:rPr>
          <w:rFonts w:ascii="Arial" w:cs="Arial" w:eastAsia="Arial" w:hAnsi="Arial"/>
          <w:sz w:val="17"/>
          <w:szCs w:val="17"/>
          <w:color w:val="auto"/>
        </w:rPr>
        <w:t>), of the Corporation have been converted into 830 shares of Class A Common Stock, par value $0.0001 per share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of the Corporation.</w:t>
      </w:r>
    </w:p>
    <w:p>
      <w:pPr>
        <w:spacing w:after="0" w:line="78" w:lineRule="exact"/>
        <w:rPr>
          <w:rFonts w:ascii="Arial" w:cs="Arial" w:eastAsia="Arial" w:hAnsi="Arial"/>
          <w:sz w:val="17"/>
          <w:szCs w:val="17"/>
          <w:color w:val="auto"/>
        </w:rPr>
      </w:pPr>
    </w:p>
    <w:p>
      <w:pPr>
        <w:jc w:val="both"/>
        <w:ind w:left="660" w:right="2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Corporation filed with the Secretary of State of the State of Delaware on November 15, 2021 provides that any shares of LT50 Common Stock which are converted into shares of Class A Common Stock shall be retired and may not be reissued by the Corporation.</w:t>
      </w:r>
    </w:p>
    <w:p>
      <w:pPr>
        <w:spacing w:after="0" w:line="10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Board of Directors of the Corporation has adopted resolutions retiring the 830 shares of LT50 Common Stock that converted into 830 shares of Class A Common Stock.</w:t>
      </w:r>
    </w:p>
    <w:p>
      <w:pPr>
        <w:spacing w:after="0" w:line="102"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830 shares, such that the total number of authorized shares of the Corporation shall be 1,059,998,500, such shares consisting of 1,000,000,000 shares designated Class A Common Stock, 24,999,330 shares designated LT10 Common Stock, 24,999,170 shares designated LT50 common stock, par value $0.0001 per share, of the Corporation, and 10,000,000 shares designated preferred stock, par value $0.0001 per share, of the Corporation.</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220"/>
          </w:cols>
          <w:pgMar w:left="320" w:top="1417" w:right="35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IN WITNESS WHEREOF, the Corporation has caused this Certificate of Retirement to be signed by its duly authorized officer, this 27th day of May, 2022.</w:t>
      </w:r>
    </w:p>
    <w:p>
      <w:pPr>
        <w:spacing w:after="0" w:line="312"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Arial" w:cs="Arial" w:eastAsia="Arial" w:hAnsi="Arial"/>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14605</wp:posOffset>
            </wp:positionV>
            <wp:extent cx="1303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Cole Eason</w:t>
      </w:r>
    </w:p>
    <w:p>
      <w:pPr>
        <w:spacing w:after="0" w:line="23"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1220"/>
      </w:cols>
      <w:pgMar w:left="320" w:top="14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2022-05-28T13:53:33Z</dcterms:created>
  <dcterms:modified xsi:type="dcterms:W3CDTF">2022-05-28T13:53:33Z</dcterms:modified>
</cp:coreProperties>
</file>