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80" w:type="dxa"/>
            <w:vAlign w:val="bottom"/>
          </w:tcPr>
          <w:p>
            <w:pPr>
              <w:ind w:left="40"/>
              <w:spacing w:after="0"/>
              <w:rPr>
                <w:sz w:val="20"/>
                <w:szCs w:val="20"/>
                <w:color w:val="auto"/>
              </w:rPr>
            </w:pPr>
            <w:r>
              <w:rPr>
                <w:rFonts w:ascii="Arial" w:cs="Arial" w:eastAsia="Arial" w:hAnsi="Arial"/>
                <w:sz w:val="22"/>
                <w:szCs w:val="22"/>
                <w:color w:val="auto"/>
              </w:rPr>
              <w:t>0001891077</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80" w:type="dxa"/>
            <w:vAlign w:val="bottom"/>
          </w:tcPr>
          <w:p>
            <w:pPr>
              <w:spacing w:after="0"/>
              <w:rPr>
                <w:sz w:val="24"/>
                <w:szCs w:val="24"/>
                <w:color w:val="auto"/>
              </w:rPr>
            </w:pPr>
          </w:p>
        </w:tc>
        <w:tc>
          <w:tcPr>
            <w:tcW w:w="3300" w:type="dxa"/>
            <w:vAlign w:val="bottom"/>
          </w:tcPr>
          <w:p>
            <w:pPr>
              <w:ind w:left="1220"/>
              <w:spacing w:after="0"/>
              <w:rPr>
                <w:sz w:val="20"/>
                <w:szCs w:val="20"/>
                <w:color w:val="auto"/>
              </w:rPr>
            </w:pPr>
            <w:r>
              <w:rPr>
                <w:rFonts w:ascii="Arial" w:cs="Arial" w:eastAsia="Arial" w:hAnsi="Arial"/>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80" w:type="dxa"/>
            <w:vAlign w:val="bottom"/>
          </w:tcPr>
          <w:p>
            <w:pPr>
              <w:spacing w:after="0"/>
              <w:rPr>
                <w:sz w:val="24"/>
                <w:szCs w:val="24"/>
                <w:color w:val="auto"/>
              </w:rPr>
            </w:pPr>
          </w:p>
        </w:tc>
        <w:tc>
          <w:tcPr>
            <w:tcW w:w="3300" w:type="dxa"/>
            <w:vAlign w:val="bottom"/>
          </w:tcPr>
          <w:p>
            <w:pPr>
              <w:ind w:left="122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300" w:type="dxa"/>
            <w:vAlign w:val="bottom"/>
          </w:tcPr>
          <w:p>
            <w:pPr>
              <w:ind w:left="1220"/>
              <w:spacing w:after="0"/>
              <w:rPr>
                <w:sz w:val="20"/>
                <w:szCs w:val="20"/>
                <w:color w:val="auto"/>
              </w:rPr>
            </w:pPr>
            <w:r>
              <w:rPr>
                <w:rFonts w:ascii="Arial" w:cs="Arial" w:eastAsia="Arial" w:hAnsi="Arial"/>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980" w:type="dxa"/>
            <w:vAlign w:val="bottom"/>
          </w:tcPr>
          <w:p>
            <w:pPr>
              <w:spacing w:after="0"/>
              <w:rPr>
                <w:sz w:val="21"/>
                <w:szCs w:val="21"/>
                <w:color w:val="auto"/>
              </w:rPr>
            </w:pPr>
          </w:p>
        </w:tc>
        <w:tc>
          <w:tcPr>
            <w:tcW w:w="3300" w:type="dxa"/>
            <w:vAlign w:val="bottom"/>
          </w:tcPr>
          <w:p>
            <w:pPr>
              <w:ind w:left="122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00" w:type="dxa"/>
            <w:vAlign w:val="bottom"/>
            <w:vMerge w:val="restart"/>
          </w:tcPr>
          <w:p>
            <w:pPr>
              <w:ind w:left="122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300" w:type="dxa"/>
            <w:vAlign w:val="bottom"/>
          </w:tcPr>
          <w:p>
            <w:pPr>
              <w:ind w:left="122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80" w:type="dxa"/>
            <w:vAlign w:val="bottom"/>
          </w:tcPr>
          <w:p>
            <w:pPr>
              <w:spacing w:after="0"/>
              <w:rPr>
                <w:sz w:val="24"/>
                <w:szCs w:val="24"/>
                <w:color w:val="auto"/>
              </w:rPr>
            </w:pPr>
          </w:p>
        </w:tc>
        <w:tc>
          <w:tcPr>
            <w:tcW w:w="3300" w:type="dxa"/>
            <w:vAlign w:val="bottom"/>
          </w:tcPr>
          <w:p>
            <w:pPr>
              <w:ind w:left="1220"/>
              <w:spacing w:after="0"/>
              <w:rPr>
                <w:sz w:val="20"/>
                <w:szCs w:val="20"/>
                <w:color w:val="auto"/>
              </w:rPr>
            </w:pPr>
            <w:r>
              <w:rPr>
                <w:rFonts w:ascii="Arial" w:cs="Arial" w:eastAsia="Arial" w:hAnsi="Arial"/>
                <w:sz w:val="22"/>
                <w:szCs w:val="22"/>
                <w:color w:val="auto"/>
              </w:rPr>
              <w:t>9713653939</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00" w:type="dxa"/>
            <w:vAlign w:val="bottom"/>
          </w:tcPr>
          <w:p>
            <w:pPr>
              <w:ind w:left="1220"/>
              <w:spacing w:after="0"/>
              <w:rPr>
                <w:sz w:val="20"/>
                <w:szCs w:val="20"/>
                <w:color w:val="auto"/>
              </w:rPr>
            </w:pPr>
            <w:r>
              <w:rPr>
                <w:rFonts w:ascii="Arial" w:cs="Arial" w:eastAsia="Arial" w:hAnsi="Arial"/>
                <w:sz w:val="22"/>
                <w:szCs w:val="22"/>
                <w:color w:val="auto"/>
                <w:w w:val="89"/>
              </w:rPr>
              <w:t>Anuradha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8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47"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Raymond James &amp;</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Class A 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13000</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47248.5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33716</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120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6"/>
              <w:spacing w:after="0"/>
              <w:rPr>
                <w:sz w:val="20"/>
                <w:szCs w:val="20"/>
                <w:color w:val="auto"/>
              </w:rPr>
            </w:pPr>
            <w:r>
              <w:rPr>
                <w:rFonts w:ascii="Arial" w:cs="Arial" w:eastAsia="Arial" w:hAnsi="Arial"/>
                <w:sz w:val="22"/>
                <w:szCs w:val="22"/>
                <w:color w:val="auto"/>
                <w:w w:val="85"/>
              </w:rPr>
              <w:t>68420787</w:t>
            </w:r>
          </w:p>
        </w:tc>
        <w:tc>
          <w:tcPr>
            <w:tcW w:w="1280" w:type="dxa"/>
            <w:vAlign w:val="bottom"/>
          </w:tcPr>
          <w:p>
            <w:pPr>
              <w:ind w:left="20"/>
              <w:spacing w:after="0"/>
              <w:rPr>
                <w:sz w:val="20"/>
                <w:szCs w:val="20"/>
                <w:color w:val="auto"/>
              </w:rPr>
            </w:pPr>
            <w:r>
              <w:rPr>
                <w:rFonts w:ascii="Arial" w:cs="Arial" w:eastAsia="Arial" w:hAnsi="Arial"/>
                <w:sz w:val="22"/>
                <w:szCs w:val="22"/>
                <w:color w:val="auto"/>
              </w:rPr>
              <w:t>09/15/2023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7"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47"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47"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120" w:type="dxa"/>
            <w:vAlign w:val="bottom"/>
          </w:tcPr>
          <w:p>
            <w:pPr>
              <w:jc w:val="center"/>
              <w:spacing w:after="0"/>
              <w:rPr>
                <w:sz w:val="20"/>
                <w:szCs w:val="20"/>
                <w:color w:val="auto"/>
              </w:rPr>
            </w:pPr>
            <w:r>
              <w:rPr>
                <w:rFonts w:ascii="Arial" w:cs="Arial" w:eastAsia="Arial" w:hAnsi="Arial"/>
                <w:sz w:val="22"/>
                <w:szCs w:val="22"/>
                <w:b w:val="1"/>
                <w:bCs w:val="1"/>
                <w:color w:val="auto"/>
                <w:w w:val="87"/>
              </w:rPr>
              <w:t>Payment</w:t>
            </w:r>
          </w:p>
        </w:tc>
        <w:tc>
          <w:tcPr>
            <w:tcW w:w="1360" w:type="dxa"/>
            <w:vAlign w:val="bottom"/>
          </w:tcPr>
          <w:p>
            <w:pPr>
              <w:ind w:left="360"/>
              <w:spacing w:after="0"/>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tcPr>
          <w:p>
            <w:pPr>
              <w:spacing w:after="0"/>
              <w:rPr>
                <w:sz w:val="20"/>
                <w:szCs w:val="20"/>
                <w:color w:val="auto"/>
              </w:rPr>
            </w:pPr>
            <w:r>
              <w:rPr>
                <w:rFonts w:ascii="Arial" w:cs="Arial" w:eastAsia="Arial" w:hAnsi="Arial"/>
                <w:sz w:val="22"/>
                <w:szCs w:val="22"/>
                <w:color w:val="auto"/>
              </w:rPr>
              <w:t>Class A</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06/23/2020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Employee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w w:val="96"/>
              </w:rPr>
              <w:t>Expensify, Inc.</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13000</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w w:val="98"/>
              </w:rPr>
              <w:t>06/23/2020</w:t>
            </w:r>
          </w:p>
        </w:tc>
        <w:tc>
          <w:tcPr>
            <w:tcW w:w="1360" w:type="dxa"/>
            <w:vAlign w:val="bottom"/>
          </w:tcPr>
          <w:p>
            <w:pPr>
              <w:ind w:left="20"/>
              <w:spacing w:after="0"/>
              <w:rPr>
                <w:sz w:val="20"/>
                <w:szCs w:val="20"/>
                <w:color w:val="auto"/>
              </w:rPr>
            </w:pPr>
            <w:r>
              <w:rPr>
                <w:rFonts w:ascii="Arial" w:cs="Arial" w:eastAsia="Arial" w:hAnsi="Arial"/>
                <w:sz w:val="22"/>
                <w:szCs w:val="22"/>
                <w:color w:val="auto"/>
                <w:w w:val="88"/>
              </w:rPr>
              <w:t>Upon Exercise,</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Common</w:t>
            </w: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Options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9800" w:type="dxa"/>
            <w:vAlign w:val="bottom"/>
          </w:tcPr>
          <w:p>
            <w:pPr>
              <w:ind w:left="200"/>
              <w:spacing w:after="0"/>
              <w:rPr>
                <w:sz w:val="20"/>
                <w:szCs w:val="20"/>
                <w:color w:val="auto"/>
              </w:rPr>
            </w:pPr>
            <w:r>
              <w:rPr>
                <w:rFonts w:ascii="Arial" w:cs="Arial" w:eastAsia="Arial" w:hAnsi="Arial"/>
                <w:sz w:val="22"/>
                <w:szCs w:val="22"/>
                <w:color w:val="auto"/>
                <w:w w:val="89"/>
              </w:rPr>
              <w:t>Note for 3(e): As of August 4, 2023, as stated in Issuer's quarterly report on Form 10-Q for the quarterly period</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9800" w:type="dxa"/>
            <w:vAlign w:val="bottom"/>
            <w:vMerge w:val="restart"/>
          </w:tcPr>
          <w:p>
            <w:pPr>
              <w:ind w:left="200"/>
              <w:spacing w:after="0"/>
              <w:rPr>
                <w:sz w:val="20"/>
                <w:szCs w:val="20"/>
                <w:color w:val="auto"/>
              </w:rPr>
            </w:pPr>
            <w:r>
              <w:rPr>
                <w:rFonts w:ascii="Arial" w:cs="Arial" w:eastAsia="Arial" w:hAnsi="Arial"/>
                <w:sz w:val="22"/>
                <w:szCs w:val="22"/>
                <w:color w:val="auto"/>
              </w:rPr>
              <w:t>ending June 30, 2023.</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rPr>
              <w:t>Date of</w:t>
            </w:r>
          </w:p>
        </w:tc>
        <w:tc>
          <w:tcPr>
            <w:tcW w:w="9800" w:type="dxa"/>
            <w:vAlign w:val="bottom"/>
            <w:vMerge w:val="restart"/>
          </w:tcPr>
          <w:p>
            <w:pPr>
              <w:ind w:left="200"/>
              <w:spacing w:after="0"/>
              <w:rPr>
                <w:sz w:val="20"/>
                <w:szCs w:val="20"/>
                <w:color w:val="auto"/>
              </w:rPr>
            </w:pPr>
            <w:r>
              <w:rPr>
                <w:rFonts w:ascii="Arial" w:cs="Arial" w:eastAsia="Arial" w:hAnsi="Arial"/>
                <w:sz w:val="22"/>
                <w:szCs w:val="22"/>
                <w:color w:val="auto"/>
              </w:rPr>
              <w:t>09/15/2023</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9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9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22"/>
          <w:szCs w:val="22"/>
          <w:color w:val="auto"/>
        </w:rPr>
        <w:t>Signature</w:t>
        <w:tab/>
        <w:t>/s/ Cole Eason as attorney-in-fact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144</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With respect to holdings of and transactions in securities issued by Expensify,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199" w:lineRule="exact"/>
        <w:rPr>
          <w:sz w:val="20"/>
          <w:szCs w:val="20"/>
          <w:color w:val="auto"/>
        </w:rPr>
      </w:pPr>
    </w:p>
    <w:p>
      <w:pPr>
        <w:ind w:left="660" w:hanging="328"/>
        <w:spacing w:after="0" w:line="32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electronic Notice of Proposed Sale of Securities Pursuant to Rule 144 (</w:t>
      </w:r>
      <w:r>
        <w:rPr>
          <w:rFonts w:ascii="Arial" w:cs="Arial" w:eastAsia="Arial" w:hAnsi="Arial"/>
          <w:sz w:val="16"/>
          <w:szCs w:val="16"/>
          <w:b w:val="1"/>
          <w:bCs w:val="1"/>
          <w:i w:val="1"/>
          <w:iCs w:val="1"/>
          <w:color w:val="auto"/>
        </w:rPr>
        <w:t>“Form 144”</w:t>
      </w:r>
      <w:r>
        <w:rPr>
          <w:rFonts w:ascii="Arial" w:cs="Arial" w:eastAsia="Arial" w:hAnsi="Arial"/>
          <w:sz w:val="16"/>
          <w:szCs w:val="16"/>
          <w:color w:val="auto"/>
        </w:rPr>
        <w:t>) relating to such sales, in accordance with the requirements of Rule 144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w:t>
      </w:r>
    </w:p>
    <w:p>
      <w:pPr>
        <w:spacing w:after="0" w:line="15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14605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Anu Muralidharan</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2023-09-18T16:48:16Z</dcterms:created>
  <dcterms:modified xsi:type="dcterms:W3CDTF">2023-09-18T16:48:16Z</dcterms:modified>
</cp:coreProperties>
</file>