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David Barrett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7389</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17659.71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11/28/2023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7389</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11/28/2023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11/08/2023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10/11/2023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95700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09/13/2023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09/12/2023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09/11/2023 66667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258667.96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09/08/2023 263333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1042798.68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Note for 3(e): As of November 3, 2023, as stated in Issuer's quarterly report on Form 10-Q for the quarterly period</w:t>
      </w:r>
    </w:p>
    <w:p>
      <w:pPr>
        <w:spacing w:after="0" w:line="14" w:lineRule="exact"/>
        <w:rPr>
          <w:sz w:val="20"/>
          <w:szCs w:val="20"/>
          <w:color w:val="auto"/>
        </w:rPr>
      </w:pPr>
    </w:p>
    <w:p>
      <w:pPr>
        <w:ind w:left="940" w:right="1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ending September 30, 2023. Note for Table II: Barrett Trust LLC is a manager-managed limited liability company. The investment and voting decisions of Barrett Trust LLC are made by its manager, David Barrett, and its controlling</w:t>
      </w:r>
    </w:p>
    <w:p>
      <w:pPr>
        <w:ind w:left="940"/>
        <w:spacing w:after="0"/>
        <w:rPr>
          <w:sz w:val="20"/>
          <w:szCs w:val="20"/>
          <w:color w:val="auto"/>
        </w:rPr>
      </w:pPr>
      <w:r>
        <w:rPr>
          <w:rFonts w:ascii="Times New Roman" w:cs="Times New Roman" w:eastAsia="Times New Roman" w:hAnsi="Times New Roman"/>
          <w:sz w:val="22"/>
          <w:szCs w:val="22"/>
          <w:color w:val="auto"/>
        </w:rPr>
        <w:t>member is the Barrett Family Trust, for which David Barrett serves as trustee.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11/29/2023</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ectPr>
          <w:pgSz w:w="11900" w:h="16838" w:orient="portrait"/>
          <w:cols w:equalWidth="0" w:num="1">
            <w:col w:w="11240"/>
          </w:cols>
          <w:pgMar w:left="320" w:top="98" w:right="339" w:bottom="765"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765"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2023-11-29T19:42:33Z</dcterms:created>
  <dcterms:modified xsi:type="dcterms:W3CDTF">2023-11-29T19:42:33Z</dcterms:modified>
</cp:coreProperties>
</file>