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gif" ContentType="image/gif"/>
  <Override PartName="/word/media/image6.gif" ContentType="image/gif"/>
  <Override PartName="/word/media/image7.jpeg" ContentType="image/jpeg"/>
  <Override PartName="/word/media/image8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400" w:before="0" w:after="0"/>
        <w:jc w:val="left"/>
        <w:rPr>
          <w:rFonts w:ascii="Expensify Neue;sans-serif" w:hAnsi="Expensify Neue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Expensify Neue;sans-serif" w:hAnsi="Expensify Neue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 xml:space="preserve">UNITED STATES </w:t>
      </w:r>
    </w:p>
    <w:p>
      <w:pPr>
        <w:pStyle w:val="TextBody"/>
        <w:bidi w:val="0"/>
        <w:spacing w:lineRule="atLeast" w:line="400" w:before="0" w:after="0"/>
        <w:jc w:val="left"/>
        <w:rPr>
          <w:rFonts w:ascii="Expensify Neue;sans-serif" w:hAnsi="Expensify Neue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Expensify Neue;sans-serif" w:hAnsi="Expensify Neue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 xml:space="preserve">SECURITIES AND EXCHANGE COMMISSION </w:t>
      </w:r>
    </w:p>
    <w:p>
      <w:pPr>
        <w:pStyle w:val="TextBody"/>
        <w:bidi w:val="0"/>
        <w:spacing w:lineRule="atLeast" w:line="280" w:before="0" w:after="0"/>
        <w:jc w:val="left"/>
        <w:rPr>
          <w:rFonts w:ascii="Expensify Neue;sans-serif" w:hAnsi="Expensify Neue;sans-serif"/>
          <w:b/>
          <w:i w:val="false"/>
          <w:caps w:val="false"/>
          <w:smallCaps w:val="false"/>
          <w:strike w:val="false"/>
          <w:dstrike w:val="false"/>
          <w:sz w:val="28"/>
          <w:u w:val="none"/>
          <w:effect w:val="none"/>
        </w:rPr>
      </w:pPr>
      <w:r>
        <w:rPr>
          <w:rFonts w:ascii="Expensify Neue;sans-serif" w:hAnsi="Expensify Neue;sans-serif"/>
          <w:b/>
          <w:i w:val="false"/>
          <w:caps w:val="false"/>
          <w:smallCaps w:val="false"/>
          <w:strike w:val="false"/>
          <w:dstrike w:val="false"/>
          <w:sz w:val="28"/>
          <w:u w:val="none"/>
          <w:effect w:val="none"/>
        </w:rPr>
        <w:t xml:space="preserve">Washington, D.C. 20549 </w:t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400" w:before="0" w:after="0"/>
        <w:jc w:val="left"/>
        <w:rPr>
          <w:rFonts w:ascii="Expensify Neue;sans-serif" w:hAnsi="Expensify Neue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</w:pPr>
      <w:r>
        <w:rPr>
          <w:rFonts w:ascii="Expensify Neue;sans-serif" w:hAnsi="Expensify Neue;sans-serif"/>
          <w:b/>
          <w:i w:val="false"/>
          <w:caps w:val="false"/>
          <w:smallCaps w:val="false"/>
          <w:strike w:val="false"/>
          <w:dstrike w:val="false"/>
          <w:sz w:val="40"/>
          <w:u w:val="none"/>
          <w:effect w:val="none"/>
        </w:rPr>
        <w:t>SCHEDULE 14A</w:t>
      </w:r>
    </w:p>
    <w:p>
      <w:pPr>
        <w:pStyle w:val="TextBody"/>
        <w:bidi w:val="0"/>
        <w:spacing w:lineRule="atLeast" w:line="280" w:before="0" w:after="0"/>
        <w:jc w:val="left"/>
        <w:rPr>
          <w:rFonts w:ascii="Expensify Neue;sans-serif" w:hAnsi="Expensify Neue;sans-serif"/>
          <w:b/>
          <w:i w:val="false"/>
          <w:caps w:val="false"/>
          <w:smallCaps w:val="false"/>
          <w:strike w:val="false"/>
          <w:dstrike w:val="false"/>
          <w:sz w:val="28"/>
          <w:u w:val="none"/>
          <w:effect w:val="none"/>
        </w:rPr>
      </w:pPr>
      <w:r>
        <w:rPr>
          <w:rFonts w:ascii="Expensify Neue;sans-serif" w:hAnsi="Expensify Neue;sans-serif"/>
          <w:b/>
          <w:i w:val="false"/>
          <w:caps w:val="false"/>
          <w:smallCaps w:val="false"/>
          <w:strike w:val="false"/>
          <w:dstrike w:val="false"/>
          <w:sz w:val="28"/>
          <w:u w:val="none"/>
          <w:effect w:val="none"/>
        </w:rPr>
        <w:t>Proxy Statement Pursuant to Section 14(a) of the</w:t>
      </w:r>
    </w:p>
    <w:p>
      <w:pPr>
        <w:pStyle w:val="TextBody"/>
        <w:bidi w:val="0"/>
        <w:spacing w:lineRule="atLeast" w:line="280" w:before="0" w:after="0"/>
        <w:jc w:val="left"/>
        <w:rPr>
          <w:rFonts w:ascii="Expensify Neue;sans-serif" w:hAnsi="Expensify Neue;sans-serif"/>
          <w:b/>
          <w:i w:val="false"/>
          <w:caps w:val="false"/>
          <w:smallCaps w:val="false"/>
          <w:strike w:val="false"/>
          <w:dstrike w:val="false"/>
          <w:sz w:val="28"/>
          <w:u w:val="none"/>
          <w:effect w:val="none"/>
        </w:rPr>
      </w:pPr>
      <w:r>
        <w:rPr>
          <w:rFonts w:ascii="Expensify Neue;sans-serif" w:hAnsi="Expensify Neue;sans-serif"/>
          <w:b/>
          <w:i w:val="false"/>
          <w:caps w:val="false"/>
          <w:smallCaps w:val="false"/>
          <w:strike w:val="false"/>
          <w:dstrike w:val="false"/>
          <w:sz w:val="28"/>
          <w:u w:val="none"/>
          <w:effect w:val="none"/>
        </w:rPr>
        <w:t>Securities Exchange Act of 1934</w:t>
      </w:r>
    </w:p>
    <w:p>
      <w:pPr>
        <w:pStyle w:val="TextBody"/>
        <w:bidi w:val="0"/>
        <w:spacing w:lineRule="atLeast" w:line="280" w:before="0" w:after="0"/>
        <w:jc w:val="left"/>
        <w:rPr>
          <w:rFonts w:ascii="Expensify Neue;sans-serif" w:hAnsi="Expensify Neue;sans-serif"/>
          <w:b/>
          <w:i w:val="false"/>
          <w:caps w:val="false"/>
          <w:smallCaps w:val="false"/>
          <w:strike w:val="false"/>
          <w:dstrike w:val="false"/>
          <w:sz w:val="28"/>
          <w:u w:val="none"/>
          <w:effect w:val="none"/>
        </w:rPr>
      </w:pPr>
      <w:r>
        <w:rPr>
          <w:rFonts w:ascii="Expensify Neue;sans-serif" w:hAnsi="Expensify Neue;sans-serif"/>
          <w:b/>
          <w:i w:val="false"/>
          <w:caps w:val="false"/>
          <w:smallCaps w:val="false"/>
          <w:strike w:val="false"/>
          <w:dstrike w:val="false"/>
          <w:sz w:val="28"/>
          <w:u w:val="none"/>
          <w:effect w:val="none"/>
        </w:rPr>
        <w:t>(Amendment No.    )</w:t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Filed by the Registrant ☒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Filed by a Party other than the Registrant ☐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Check the appropriate box: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9016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Preliminary Proxy Statement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☒</w:t>
            </w:r>
          </w:p>
        </w:tc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Definitive Proxy Statement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Definitive Additional Materials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901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lineRule="atLeast" w:line="560" w:before="0" w:after="0"/>
        <w:jc w:val="left"/>
        <w:rPr>
          <w:rFonts w:ascii="Expensify Neue;sans-serif" w:hAnsi="Expensify Neue;sans-serif"/>
          <w:b/>
          <w:i w:val="false"/>
          <w:caps w:val="false"/>
          <w:smallCaps w:val="false"/>
          <w:strike w:val="false"/>
          <w:dstrike w:val="false"/>
          <w:sz w:val="56"/>
          <w:u w:val="none"/>
          <w:effect w:val="none"/>
        </w:rPr>
      </w:pPr>
      <w:r>
        <w:rPr>
          <w:rFonts w:ascii="Expensify Neue;sans-serif" w:hAnsi="Expensify Neue;sans-serif"/>
          <w:b/>
          <w:i w:val="false"/>
          <w:caps w:val="false"/>
          <w:smallCaps w:val="false"/>
          <w:strike w:val="false"/>
          <w:dstrike w:val="false"/>
          <w:sz w:val="56"/>
          <w:u w:val="none"/>
          <w:effect w:val="none"/>
        </w:rPr>
        <w:t>EXPENSIFY, INC.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(Name of the Registrant as Specified In Its Charter)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(Name of Person(s) Filing Proxy Statement, if other than the Registrant)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Payment of Filing Fee (Check all boxes that apply):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1"/>
        <w:gridCol w:w="4088"/>
        <w:gridCol w:w="5786"/>
      </w:tblGrid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☒</w:t>
            </w:r>
          </w:p>
        </w:tc>
        <w:tc>
          <w:tcPr>
            <w:tcW w:w="9874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 fee required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9874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Fee paid previously with preliminary materials</w:t>
            </w:r>
          </w:p>
        </w:tc>
      </w:tr>
      <w:tr>
        <w:trPr/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☐</w:t>
            </w:r>
          </w:p>
        </w:tc>
        <w:tc>
          <w:tcPr>
            <w:tcW w:w="9874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Fee computed on table in exhibit required by Item 25(b) per Exchange Act Rules 14a-6(i)(1) and 0-11</w:t>
            </w:r>
          </w:p>
        </w:tc>
      </w:tr>
    </w:tbl>
    <w:tbl>
      <w:tblPr>
        <w:tblW w:w="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9"/>
      </w:tblGrid>
      <w:tr>
        <w:trPr/>
        <w:tc>
          <w:tcPr>
            <w:tcW w:w="1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9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665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4"/>
        <w:gridCol w:w="1726"/>
        <w:gridCol w:w="2371"/>
      </w:tblGrid>
      <w:tr>
        <w:trPr/>
        <w:tc>
          <w:tcPr>
            <w:tcW w:w="25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13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Table of Contents</w:t>
              </w:r>
            </w:hyperlink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7655" cy="36576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655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  <w:t>401 SW 5th Ave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  <w:t>Portland, OR 97204</w:t>
            </w:r>
          </w:p>
        </w:tc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  <w:t>David Barrett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  <w:t>Founder, CEO and Director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25, 2025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Dear Stockholder,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We cordially invite you to attend our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Annual Meeting of Stockholders, to be held on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Friday, June 13,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 at 10:00 a.m. (Pacific Time)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. The annual meeting will be a completely “virtual” meeting, conducted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via live audio webcast, and you will not be able to attend the meeting in person. We believe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environmentally friendly virtual meeting format will provide expanded access, improved communication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cost savings for us and our stockholders. You will be able to attend the annual meeting, as well as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vote and submit your questions during the live webcast of the meeting, by visiting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www.virtualshareholdermeeting.com/EXFY2025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entering the company number and control number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included on your proxy card or in the instructions that accompany your proxy materials.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Notice of Annual Meeting of Stockholders and the proxy statement that follow describe the business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to be conducted at the meeting.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Whether or not you plan to attend the virtual annual meeting, your vote is very important and we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encourage you to vote promptly. You may vote in advance by either marking, signing and returning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enclosed proxy card or using telephone or internet voting. For specific instructions on voting, please refer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to the instructions on your enclosed proxy card if you received paper copies of the proxy materials, or 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Notice of Internet Availability of Proxy Materials. If you are a record holder and attend the virtual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annual meeting, you will have the right to revoke your proxy and vote your shares virtually at the meeting.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If you hold your shares through an account with a brokerage firm, bank, broker-dealer or other nominee,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please follow the instructions you receive from them.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Sincerely,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400175" cy="53340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David Barrett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Founder, CEO and Director</w:t>
      </w:r>
    </w:p>
    <w:tbl>
      <w:tblPr>
        <w:tblW w:w="782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4"/>
        <w:gridCol w:w="1726"/>
        <w:gridCol w:w="3541"/>
      </w:tblGrid>
      <w:tr>
        <w:trPr/>
        <w:tc>
          <w:tcPr>
            <w:tcW w:w="25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4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13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Table of Contents</w:t>
              </w:r>
            </w:hyperlink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5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7655" cy="365760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7655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  <w:t>401 SW 5th Ave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  <w:t>Portland, OR 97204</w:t>
            </w:r>
          </w:p>
        </w:tc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  <w:t>Cole Eason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  <w:t xml:space="preserve">Chief Compliance Officer and Corporate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2E22"/>
                <w:sz w:val="16"/>
                <w:u w:val="none"/>
                <w:effect w:val="none"/>
              </w:rPr>
              <w:t>Secretary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20" w:before="0" w:after="0"/>
        <w:jc w:val="left"/>
        <w:rPr>
          <w:rFonts w:ascii="Expensify New Kansas Medium;sans-serif" w:hAnsi="Expensify New Kansas Medium;sans-serif"/>
          <w:b w:val="false"/>
          <w:i w:val="false"/>
          <w:caps w:val="false"/>
          <w:smallCaps w:val="false"/>
          <w:strike w:val="false"/>
          <w:dstrike w:val="false"/>
          <w:color w:val="03D47C"/>
          <w:sz w:val="32"/>
          <w:u w:val="none"/>
          <w:effect w:val="none"/>
        </w:rPr>
      </w:pPr>
      <w:r>
        <w:rPr>
          <w:rFonts w:ascii="Expensify New Kansas Medium;sans-serif" w:hAnsi="Expensify New Kansas Medium;sans-serif"/>
          <w:b w:val="false"/>
          <w:i w:val="false"/>
          <w:caps w:val="false"/>
          <w:smallCaps w:val="false"/>
          <w:strike w:val="false"/>
          <w:dstrike w:val="false"/>
          <w:color w:val="03D47C"/>
          <w:sz w:val="32"/>
          <w:u w:val="none"/>
          <w:effect w:val="none"/>
        </w:rPr>
        <w:t>NOTICE OF ANNUAL MEETING OF STOCKHOLDERS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02"/>
        <w:gridCol w:w="373"/>
        <w:gridCol w:w="7118"/>
        <w:gridCol w:w="512"/>
      </w:tblGrid>
      <w:tr>
        <w:trPr/>
        <w:tc>
          <w:tcPr>
            <w:tcW w:w="22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When</w:t>
            </w:r>
          </w:p>
        </w:tc>
        <w:tc>
          <w:tcPr>
            <w:tcW w:w="8003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Friday, June 13, 2025 at 10:00 a.m. PDT</w:t>
            </w:r>
          </w:p>
        </w:tc>
      </w:tr>
      <w:tr>
        <w:trPr/>
        <w:tc>
          <w:tcPr>
            <w:tcW w:w="220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Where</w:t>
            </w:r>
          </w:p>
        </w:tc>
        <w:tc>
          <w:tcPr>
            <w:tcW w:w="8003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 xml:space="preserve">Virtually at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www.virtualshareholdermeeting.com/EXFY2025</w:t>
            </w:r>
          </w:p>
        </w:tc>
      </w:tr>
      <w:tr>
        <w:trPr/>
        <w:tc>
          <w:tcPr>
            <w:tcW w:w="220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Items of Business</w:t>
            </w:r>
          </w:p>
        </w:tc>
        <w:tc>
          <w:tcPr>
            <w:tcW w:w="8003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 xml:space="preserve">1.Election of the eight director nominees named in this Proxy Statement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 xml:space="preserve">serve on our Board of Directors until the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 xml:space="preserve">Annual Meeting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 xml:space="preserve">Stockholders and until their respective successors shall have been duly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 xml:space="preserve">elected and qualified. The Executive Committee of the Board of Directors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 xml:space="preserve">(the “Executive Committee”) on behalf of the Board of Directors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>recommends a vote “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>FOR</w:t>
            </w:r>
            <w:r>
              <w:rPr>
                <w:caps w:val="false"/>
                <w:smallCaps w:val="false"/>
              </w:rPr>
              <w:t xml:space="preserve">”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>each nominee.</w:t>
            </w:r>
          </w:p>
        </w:tc>
      </w:tr>
      <w:tr>
        <w:trPr/>
        <w:tc>
          <w:tcPr>
            <w:tcW w:w="220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03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 xml:space="preserve">2.Ratification of the appointment of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KPMG LLP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 xml:space="preserve">as our independent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 xml:space="preserve">registered public accounting firm for the fiscal year ended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December 31,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2025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 xml:space="preserve">. The Executive Committee on behalf of the Board of Directors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>recommends a vote “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>FOR</w:t>
            </w:r>
            <w:r>
              <w:rPr>
                <w:caps w:val="false"/>
                <w:smallCaps w:val="false"/>
              </w:rPr>
              <w:t xml:space="preserve">”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>this proposal.</w:t>
            </w:r>
          </w:p>
        </w:tc>
      </w:tr>
      <w:tr>
        <w:trPr/>
        <w:tc>
          <w:tcPr>
            <w:tcW w:w="220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03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 xml:space="preserve">3.Approval, on an advisory basis, of the compensation of our named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 xml:space="preserve">executive officers. The Executive Committee on behalf of the Board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>Directors recommends a vote “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>FOR</w:t>
            </w:r>
            <w:r>
              <w:rPr>
                <w:caps w:val="false"/>
                <w:smallCaps w:val="false"/>
              </w:rPr>
              <w:t xml:space="preserve">”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>this proposal.</w:t>
            </w:r>
          </w:p>
        </w:tc>
      </w:tr>
      <w:tr>
        <w:trPr/>
        <w:tc>
          <w:tcPr>
            <w:tcW w:w="220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03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 xml:space="preserve">4.Transaction of any other business which may properly come before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 xml:space="preserve">Annual Meeting of Stockholders (the “Annual Meeting”) or any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>adjournment, continuation or postponement of the Annual Meeting.</w:t>
            </w:r>
          </w:p>
        </w:tc>
      </w:tr>
      <w:tr>
        <w:trPr/>
        <w:tc>
          <w:tcPr>
            <w:tcW w:w="220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Who Can Vote</w:t>
            </w:r>
          </w:p>
        </w:tc>
        <w:tc>
          <w:tcPr>
            <w:tcW w:w="8003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 xml:space="preserve">Only stockholders of record as of the close of business on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April 22, 2025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 xml:space="preserve">will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>be entitled to notice of, and to vote at the Annual Meeting.</w:t>
            </w:r>
          </w:p>
        </w:tc>
      </w:tr>
      <w:tr>
        <w:trPr/>
        <w:tc>
          <w:tcPr>
            <w:tcW w:w="1020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As permitted by the rules of the Securities and Exchange Commission, we have elected to furnish our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proxy materials to stockholders by providing access to the proxy materials on the internet. Accordingly,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we are sending our stockholders a Notice of Internet Availability of Proxy Materials (the “Notice”) rather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than a paper set of the proxy materials, unless a stockholder has previously requested printed materials.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The Notice includes instructions on how to access our proxy materials over the internet, as well as how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 request the materials in paper form.</w:t>
            </w:r>
          </w:p>
        </w:tc>
      </w:tr>
      <w:tr>
        <w:trPr/>
        <w:tc>
          <w:tcPr>
            <w:tcW w:w="1020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Your vote is important. We encourage you to vote by proxy in advance of the meeting, whether or not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you plan to attend the virtual meeting. The Notice includes instructions on how to vote, including by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internet or telephone. If you hold your shares through a brokerage firm, bank, broker-dealer or other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nominee, please follow the instructions you receive from them.</w:t>
            </w:r>
          </w:p>
        </w:tc>
      </w:tr>
      <w:tr>
        <w:trPr/>
        <w:tc>
          <w:tcPr>
            <w:tcW w:w="1020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IMPORTANT NOTICE REGARDING THE AVAILABILITY OF PROXY MATERIALS FOR THE ANNUAL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MEETING OF STOCKHOLDERS TO BE HELD ON 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JUNE 13, 2025</w:t>
            </w:r>
          </w:p>
        </w:tc>
      </w:tr>
      <w:tr>
        <w:trPr/>
        <w:tc>
          <w:tcPr>
            <w:tcW w:w="1020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 xml:space="preserve">This notice of the Annual Meeting, the Proxy Statement and the form of proxy are being distributed and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 xml:space="preserve">made available on or about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April 25, 2025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 xml:space="preserve">. The Proxy Statement and our Annual Report on Form 10-K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 xml:space="preserve">the year ended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December 31, 2024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 xml:space="preserve">are also available on our website, ir.expensify.com, as well 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>www.proxyvote.com.</w:t>
            </w:r>
          </w:p>
        </w:tc>
      </w:tr>
      <w:tr>
        <w:trPr/>
        <w:tc>
          <w:tcPr>
            <w:tcW w:w="22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3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By order of the Board of Directors,</w:t>
            </w:r>
          </w:p>
        </w:tc>
      </w:tr>
      <w:tr>
        <w:trPr/>
        <w:tc>
          <w:tcPr>
            <w:tcW w:w="22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3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0" cy="6000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2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Cole Eason</w:t>
            </w:r>
          </w:p>
        </w:tc>
        <w:tc>
          <w:tcPr>
            <w:tcW w:w="5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2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April 25, 2025</w:t>
            </w:r>
          </w:p>
        </w:tc>
        <w:tc>
          <w:tcPr>
            <w:tcW w:w="3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8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Corporate Secretary</w:t>
            </w:r>
          </w:p>
        </w:tc>
        <w:tc>
          <w:tcPr>
            <w:tcW w:w="51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Table of Contents</w:t>
      </w:r>
    </w:p>
    <w:tbl>
      <w:tblPr>
        <w:tblW w:w="88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31"/>
        <w:gridCol w:w="391"/>
      </w:tblGrid>
      <w:tr>
        <w:trPr/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16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General Information</w:t>
              </w:r>
            </w:hyperlink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16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1</w:t>
              </w:r>
            </w:hyperlink>
          </w:p>
        </w:tc>
      </w:tr>
      <w:tr>
        <w:trPr/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19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Proposal 1: Election of Directors</w:t>
              </w:r>
            </w:hyperlink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19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7</w:t>
              </w:r>
            </w:hyperlink>
          </w:p>
        </w:tc>
      </w:tr>
      <w:tr>
        <w:trPr/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22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Corporate Governance</w:t>
              </w:r>
            </w:hyperlink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22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8</w:t>
              </w:r>
            </w:hyperlink>
          </w:p>
        </w:tc>
      </w:tr>
      <w:tr>
        <w:trPr/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28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 xml:space="preserve">Proposal 2: Ratification of Appointment of Independent Registered Public Accounting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28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Firm</w:t>
              </w:r>
            </w:hyperlink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28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15</w:t>
              </w:r>
            </w:hyperlink>
          </w:p>
        </w:tc>
      </w:tr>
      <w:tr>
        <w:trPr/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34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Audit Committee Report</w:t>
              </w:r>
            </w:hyperlink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34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18</w:t>
              </w:r>
            </w:hyperlink>
          </w:p>
        </w:tc>
      </w:tr>
      <w:tr>
        <w:trPr/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40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Director Compensation</w:t>
              </w:r>
            </w:hyperlink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40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19</w:t>
              </w:r>
            </w:hyperlink>
          </w:p>
        </w:tc>
      </w:tr>
      <w:tr>
        <w:trPr/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43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Executive Compensation</w:t>
              </w:r>
            </w:hyperlink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43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21</w:t>
              </w:r>
            </w:hyperlink>
          </w:p>
        </w:tc>
      </w:tr>
      <w:tr>
        <w:trPr/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46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Compensation Discussion and Analysis</w:t>
              </w:r>
            </w:hyperlink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46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21</w:t>
              </w:r>
            </w:hyperlink>
          </w:p>
        </w:tc>
      </w:tr>
      <w:tr>
        <w:trPr/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55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Pay vs Performance</w:t>
              </w:r>
            </w:hyperlink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55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27</w:t>
              </w:r>
            </w:hyperlink>
          </w:p>
        </w:tc>
      </w:tr>
      <w:tr>
        <w:trPr/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58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Proposal 3: Advisory Vote to Approve the Company’s Executive Compensation</w:t>
              </w:r>
            </w:hyperlink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58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30</w:t>
              </w:r>
            </w:hyperlink>
          </w:p>
        </w:tc>
      </w:tr>
      <w:tr>
        <w:trPr/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61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Equity Compensation Plan Information</w:t>
              </w:r>
            </w:hyperlink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61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31</w:t>
              </w:r>
            </w:hyperlink>
          </w:p>
        </w:tc>
      </w:tr>
      <w:tr>
        <w:trPr/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64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Stock Ownership of Certain Beneficial Owners and Management</w:t>
              </w:r>
            </w:hyperlink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64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32</w:t>
              </w:r>
            </w:hyperlink>
          </w:p>
        </w:tc>
      </w:tr>
      <w:tr>
        <w:trPr/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67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Certain Relationships and Related Party Transactions</w:t>
              </w:r>
            </w:hyperlink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67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35</w:t>
              </w:r>
            </w:hyperlink>
          </w:p>
        </w:tc>
      </w:tr>
      <w:tr>
        <w:trPr/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70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Stockholder Proposals</w:t>
              </w:r>
            </w:hyperlink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70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38</w:t>
              </w:r>
            </w:hyperlink>
          </w:p>
        </w:tc>
      </w:tr>
      <w:tr>
        <w:trPr/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73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Delinquent Section 16(a) Reports</w:t>
              </w:r>
            </w:hyperlink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73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38</w:t>
              </w:r>
            </w:hyperlink>
          </w:p>
        </w:tc>
      </w:tr>
      <w:tr>
        <w:trPr/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76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Other Matters</w:t>
              </w:r>
            </w:hyperlink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317ac705d2884b9eb57cd8abcee38fab_76">
              <w:r>
                <w:rPr>
                  <w:rStyle w:val="InternetLink"/>
                  <w:rFonts w:ascii="Expensify Neue;sans-serif" w:hAnsi="Expensify Neue;sans-serif"/>
                  <w:b w:val="false"/>
                  <w:i w:val="false"/>
                  <w:caps w:val="false"/>
                  <w:smallCaps w:val="false"/>
                  <w:color w:val="03D47C"/>
                  <w:sz w:val="20"/>
                  <w:u w:val="single"/>
                </w:rPr>
                <w:t>39</w:t>
              </w:r>
            </w:hyperlink>
          </w:p>
        </w:tc>
      </w:tr>
    </w:tbl>
    <w:tbl>
      <w:tblPr>
        <w:tblW w:w="278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109"/>
        <w:gridCol w:w="109"/>
        <w:gridCol w:w="27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1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 xml:space="preserve">Proxy Statement </w:t>
      </w: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For the 2024 Annual Meeting of Stockholders</w:t>
      </w:r>
    </w:p>
    <w:p>
      <w:pPr>
        <w:pStyle w:val="TextBody"/>
        <w:bidi w:val="0"/>
        <w:spacing w:lineRule="atLeast" w:line="320" w:before="0" w:after="0"/>
        <w:jc w:val="left"/>
        <w:rPr>
          <w:rFonts w:ascii="Expensify New Kansas Medium;sans-serif" w:hAnsi="Expensify New Kansas Medium;sans-serif"/>
          <w:b w:val="false"/>
          <w:i w:val="false"/>
          <w:caps w:val="false"/>
          <w:smallCaps w:val="false"/>
          <w:strike w:val="false"/>
          <w:dstrike w:val="false"/>
          <w:color w:val="03D47C"/>
          <w:sz w:val="32"/>
          <w:u w:val="none"/>
          <w:effect w:val="none"/>
        </w:rPr>
      </w:pPr>
      <w:r>
        <w:rPr>
          <w:rFonts w:ascii="Expensify New Kansas Medium;sans-serif" w:hAnsi="Expensify New Kansas Medium;sans-serif"/>
          <w:b w:val="false"/>
          <w:i w:val="false"/>
          <w:caps w:val="false"/>
          <w:smallCaps w:val="false"/>
          <w:strike w:val="false"/>
          <w:dstrike w:val="false"/>
          <w:color w:val="03D47C"/>
          <w:sz w:val="32"/>
          <w:u w:val="none"/>
          <w:effect w:val="none"/>
        </w:rPr>
        <w:t>General Information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This Proxy Statement is furnished in connection with the solicitation of proxies by the Board of Directors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(the “Board of Directors” or the “Board”) of Expensify, Inc., a Delaware corporation, for use at the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Annual Meeting of Stockholders (the “Annual Meeting”). The Annual Meeting will take place virtually at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www.virtualshareholdermeeting.com/EXFY2025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on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Friday, June 13, 2025 at 10:00 a.m. (Pacific Time)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. You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will not be able to attend in person. This Proxy Statement, form of proxy and other related materials are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first being mailed to stockholders on or about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25, 2025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. References in this Proxy Statement to “we,”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us,” “our” or the “Company” refer to Expensify, Inc. and its consolidated subsidiaries. When we refer to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Company’s fiscal year, we mean the annual period ended on December 31. This Proxy Statement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covers our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fiscal year, which was from January 1,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through December 31,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(“fiscal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>”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).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Certain information contained in this Proxy Statement is incorporated by reference into Part III of our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Annual Report on Form 10-K for the fiscal year ended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2024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as filed by the Company with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U.S. Securities and Exchange Commission (the “SEC”) on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February 27, 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(the “Annual Report”).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References to the “IPO” refer to the initial public offering of our Class A common stock in November 2021.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We use the term “LT Holders” herein to refer to our current and former employees and service providers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who hold shares of our LT10 common stock and/or our LT50 common stock through a voting trust (the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Voting Trust”) governed by a trust agreement, dated November 9, 2021, by and among the Company,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each LT Holder and the trustees named therein (the “Voting Trust Agreement”). All outstanding shares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our LT10 common stock and LT50 common stock are held directly by the Voting Trust.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Below are answers to common questions stockholders may have about the Proxy Materials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Annual Meeting.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What are the Proxy Materials?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“Proxy Materials” are a reference to the Proxy Statement and our Annual Report. If you request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printed versions of the Proxy Materials, and you are entitled to vote at the Annual Meeting, you will also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receive a proxy card.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Why did I receive a Notice of Internet Availability of Proxy Materials instead of a full set of materials?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Under rules adopted by the SEC, we are electing to furnish the Proxy Materials to our stockholders by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providing access to the Proxy Materials on the internet, rather than mailing printed copies. If you received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 Notice of Internet Availability of Proxy Materials (the “Notice”) by mail, you will not receive printed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copies of the Proxy Materials unless you request them. Instead, the Notice will instruct you how to access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review the Proxy Materials on the internet. If you would like printed copies of the Proxy Materials,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please follow the instructions in the Notice.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Why are you holding a virtual Annual Meeting?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We believe holding our Annual Meeting via live webcast is an environmentally friendly way to provide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expanded access, improved communication and cost savings for us and our stockholders. The virtual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meeting provides the same rights to participate as an in-person meeting. Stockholders will not be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permitted to physically attend the Annual Meeting.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Who can participate in the Annual Meeting?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Persons with evidence of stock ownership as of the Record Date (as defined below), including both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stockholders of record and stockholders whose shares are held in street name (as described below), can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participate in the Annual Meeting by visiting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www.virtualshareholdermeeting.com/EXFY2025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. You will </w:t>
      </w:r>
    </w:p>
    <w:tbl>
      <w:tblPr>
        <w:tblW w:w="278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1"/>
        <w:gridCol w:w="109"/>
        <w:gridCol w:w="109"/>
        <w:gridCol w:w="2326"/>
      </w:tblGrid>
      <w:tr>
        <w:trPr/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need the 16-digit control number included on your Notice, on your proxy card or on the instructions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accompany your Proxy Materials. If you do not have a control number, please contact your brokerage firm,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bank, broker-dealer or other nominee as soon as possible so that you can be provided with one. You may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also submit pertinent questions in advance of the Annual Meeting by visiting www.proxyvote.com and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entering your control number. Questions pertinent to meeting matters will be answered during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Meeting, subject to time limitations. We will endeavor to answer as many questions submitted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stockholders as time permits. We reserve the right to edit profanity or other inappropriate language and to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exclude questions regarding topics that are not pertinent to meeting matters or company business. If we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receive substantially similar questions, we may group questions together and provide a single response to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avoid repetition. Additional information regarding stockholder questions and participation, rules governing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conduct of the Annual Meeting, procedures and technical support can be viewed 15 minutes prior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meeting at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www.virtualshareholdermeeting.com/EXFY2025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. If you encounter any difficulties while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accessing the virtual meeting during the check-in or meeting time, you should call the technical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assistance phone number that will be posted on the virtual stockholder meeting log in page, which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made available 15 minutes prior to the start time of the meeting. We encourage you to access the meeting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prior to the meeting start time.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Who may vote at the meeting?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Holders of our Class A common stock, LT10 common stock and LT50 common stock as of the close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business on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22,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(the “Record Date”) may attend and vote at the Annual Meeting. Pursuant to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Voting Trust Agreement, each LT Holder has agreed that the trustees of the Voting Trust (the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Trustees”), currently David Barrett, Garrett Knight and Jason Mills, have full authority to vote his or her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shares on all matters in the Trustees’ sole and absolute discretion. </w:t>
      </w: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  <w:u w:val="single"/>
        </w:rPr>
        <w:t xml:space="preserve">Because all outstanding shares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  <w:u w:val="single"/>
        </w:rPr>
        <w:t xml:space="preserve">LT10 common stock and LT50 common stock are held by the Voting Trust and voted by the Trustees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  <w:u w:val="single"/>
        </w:rPr>
        <w:t xml:space="preserve">the Voting Trust, individual LT Holders will not receive proxy cards and are not eligible to cast votes at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  <w:u w:val="single"/>
        </w:rPr>
        <w:t>the Annual Meeting.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How many votes do I have?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Holders of our Class A common stock are entitled to one vote for each share held as of the Record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Holders of our LT10 common stock are entitled to ten votes for each share held as of the Record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Holders of our LT50 common stock are entitled to fifty votes for each share held as of the Record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Holders of our Class A common stock, LT10 common stock and LT50 common stock will vote as a single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class on all matters at the Annual Meeting. Pursuant to the Voting Trust Agreement, each LT Holder has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agreed that the Trustees of the Voting Trust have full authority to vote his or her shares on all matters in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Trustees’ sole and absolute discretion at the Annual Meeting. </w:t>
      </w: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  <w:u w:val="single"/>
        </w:rPr>
        <w:t xml:space="preserve">Because all outstanding shares of LT10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  <w:u w:val="single"/>
        </w:rPr>
        <w:t xml:space="preserve">common stock and LT50 common stock are held by the Voting Trust and voted by the Trustees,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  <w:u w:val="single"/>
        </w:rPr>
        <w:t xml:space="preserve">individual LT Holders will not receive proxy cards and are not eligible to cast votes at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  <w:u w:val="single"/>
        </w:rPr>
        <w:t>Meeting.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 xml:space="preserve">What items will be voted on at the Annual Meeting and how does the Board of Directors recommend that I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vote?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There are three proposals to be voted on at the Annual Meeting: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1.to elect eight directors to our Board of Directors;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2.to ratify the appointment of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 LLP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(“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>”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) as our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accounting firm for the fiscal year ending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; and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3.to approve, on an advisory basis, the compensation of our named executive officers.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Executive Committee of the Board of Directors (the “Executive Committee”) on behalf of our Board of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Directors recommends a vote “</w:t>
      </w: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</w:rPr>
        <w:t>FOR</w:t>
      </w:r>
      <w:r>
        <w:rPr>
          <w:caps w:val="false"/>
          <w:smallCaps w:val="false"/>
        </w:rPr>
        <w:t xml:space="preserve">”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each nominee as a director for Proposal 1, “</w:t>
      </w: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</w:rPr>
        <w:t>FOR</w:t>
      </w:r>
      <w:r>
        <w:rPr>
          <w:caps w:val="false"/>
          <w:smallCaps w:val="false"/>
        </w:rPr>
        <w:t xml:space="preserve">”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Proposal 2 and 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“</w:t>
      </w: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</w:rPr>
        <w:t>FOR</w:t>
      </w:r>
      <w:r>
        <w:rPr>
          <w:caps w:val="false"/>
          <w:smallCaps w:val="false"/>
        </w:rPr>
        <w:t xml:space="preserve">”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Proposal 3. Our amended and restated bylaws require that we receive advance notice of any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proposals to be brought before the Annual Meeting by our stockholders. We have not received any such </w:t>
      </w:r>
    </w:p>
    <w:tbl>
      <w:tblPr>
        <w:tblW w:w="278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109"/>
        <w:gridCol w:w="109"/>
        <w:gridCol w:w="27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3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proposals. We do not anticipate any other matters will come before the Annual Meeting. If any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matter properly comes before the Annual Meeting, the proxy holders appointed by our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Committee on behalf of our Board of Directors will have discretion to vote the shares subject to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proxies on those matters.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What vote is required for each proposal?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For Proposal 1, each director must be elected by a plurality of the votes cast. This means that the eight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nominees receiving the largest number of “for” votes will be elected as directors. We do not have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cumulative voting.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For Proposal 2, the ratification of the appointment of our independent registered public accounting firm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for the fiscal year ending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will be determined by the affirmative vote of the holders of a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majority in voting power of the votes cast (excluding abstentions and broker non-votes).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For Proposal 3, the advisory vote to approve the compensation of our named executive officers, will be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determined by the affirmative vote of the holders of a majority in voting power of the votes cast (excluding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abstentions and broker non-votes).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 xml:space="preserve">How will Expensify’s multi-class ownership structure and Voting Trust impact the outcome of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Meeting?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Holders of our Class A common stock are entitled to one vote for each share held as of the Record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Holders of our LT10 common stock are entitled to ten votes for each share held as of the Record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Holders of our LT50 common stock are entitled to fifty votes for each share held as of the Record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Holders of our Class A common stock, LT10 common stock and LT50 common stock will vote as a single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class on all matters at the Annual Meeting. At the close of business on the Record Date, we had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outstanding and entitled to vote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80,375,990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shares of Class A common stock,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4,209,827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shares of LT10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common stock and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7,794,109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shares of LT50 common stock. All outstanding shares of our LT10 common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stock and LT50 common stock are held directly by the Voting Trust, and pursuant to the Voting Trust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Agreement, each LT Holder has agreed that the Trustees of the Voting Trust have full authority to vote his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or her shares on all matters at the Annual Meeting in the Trustees’ sole and absolute discretion. As a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result, the Trustees of the Voting Trust will be entitled to an aggregate of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431,803,720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votes on all matters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to be voted upon at the Annual Meeting, representing approximately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84.3%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 the total voting power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outstanding common stock.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We expect the Voting Trust to vote “</w:t>
      </w: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</w:rPr>
        <w:t>FOR”</w:t>
      </w:r>
      <w:r>
        <w:rPr>
          <w:caps w:val="false"/>
          <w:smallCaps w:val="fals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each of the nominees for director. As of the Record Date,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Voting Trust held sufficient shares of our common stock to ensure the election of such nominees at the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Annual Meeting. We also expect the Voting Trust to vote “</w:t>
      </w: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</w:rPr>
        <w:t>FOR”</w:t>
      </w:r>
      <w:r>
        <w:rPr>
          <w:caps w:val="false"/>
          <w:smallCaps w:val="fals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ratification of our independent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registered public accounting firm for the fiscal year ending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caps w:val="false"/>
          <w:smallCaps w:val="false"/>
          <w:sz w:val="24"/>
        </w:rPr>
        <w:t>”</w:t>
      </w: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</w:rPr>
        <w:t>FOR”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compensation of our named executive officers.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What is an abstention and how will votes withheld and abstentions be treated?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 “vote withheld,” in the case of the proposal regarding the election of directors, or an “abstention,”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case of the two other proposals to be voted on at the Annual Meeting, represents a stockholder’s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affirmative choice to decline to vote on a proposal. Votes withheld and abstentions are counted as present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entitled to vote for purposes of determining a quorum. Votes withheld have no effect on the election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 directors and abstentions are not counted as votes cast and as such will have no effect on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ratification of the appointment of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or the advisory vote to approve the compensation of our named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executive officers.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What are broker non-votes?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Generally, broker non-votes occur when shares held by a broker in “street name” for a beneficial owner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are not voted with respect to a particular proposal because the broker (1) has not received voting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instructions from the beneficial owner and (2) lacks discretionary voting power to vote those shares. A </w:t>
      </w:r>
    </w:p>
    <w:tbl>
      <w:tblPr>
        <w:tblW w:w="278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1"/>
        <w:gridCol w:w="109"/>
        <w:gridCol w:w="109"/>
        <w:gridCol w:w="2326"/>
      </w:tblGrid>
      <w:tr>
        <w:trPr/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4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broker is entitled to vote shares held for a beneficial owner on routine matters, such as the ratification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appointment of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as our independent registered public accounting firm, without instructions from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beneficial owner of those shares, and therefore we do not expect any broker non-votes on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proposal. On the other hand, absent instructions from the beneficial owner of such shares, a broker is not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entitled to vote shares held for a beneficial owner on non-routine matters, such as the election of directors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the advisory vote to approve the compensation of our named executive officers, and as such, broker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non-votes will have no effect on those proposals. Broker non-votes count for purposes of determining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whether a quorum is present.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 xml:space="preserve">What is the difference between a stockholder of record and a beneficial owner of shares held in street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name?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Expensify Neue;sans-serif" w:hAnsi="Expensify Neue;sans-serif"/>
          <w:b w:val="false"/>
          <w:i/>
          <w:sz w:val="20"/>
        </w:rPr>
        <w:t xml:space="preserve">Stockholder of Record.   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If your shares are registered directly in your name with our transfer agent,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Computershare Trust Company, N.A., you are a stockholder of record. Each LT Holder is not a stockholder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of record by virtue of shares he or she beneficially holds through the Voting Trust.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Expensify Neue;sans-serif" w:hAnsi="Expensify Neue;sans-serif"/>
          <w:b w:val="false"/>
          <w:i/>
          <w:sz w:val="20"/>
        </w:rPr>
        <w:t xml:space="preserve">Beneficial Owner of Shares Held in Street Name.   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If your shares are held in an account at a brokerage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firm, bank, broker-dealer or other nominee, then you are a beneficial owner of shares held in “street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name.” The organization holding your account is considered the stockholder of record for purposes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voting at the Annual Meeting. As a beneficial owner, you have the right to direct the organization holding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your account on how to vote the shares you hold in your account.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How do stockholders of record vote?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There are four ways for stockholders of record to vote: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a.</w:t>
      </w: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</w:rPr>
        <w:t>In Advance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i.</w:t>
      </w: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</w:rPr>
        <w:t>Via the internet:</w:t>
      </w:r>
      <w:r>
        <w:rPr>
          <w:caps w:val="false"/>
          <w:smallCaps w:val="fals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You may vote via the internet until 11:59 p.m. (Eastern Time) on the day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before the Annual Meeting by visiting www.proxyvote.com and entering the unique control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number for your shares located on your Notice or proxy card. If you submit a proxy over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the internet, you do not need to return a written proxy card or voting instructions by mail.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ii.</w:t>
      </w: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</w:rPr>
        <w:t>By telephone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: You may vote by phone until 11:59 p.m. (Eastern Time) on the day before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Annual Meeting by calling (800) 690-6903. You will need the control number from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your Notice or proxy card. If you submit a proxy by telephone, you do not need to return a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written proxy card or voting instructions by mail.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iii.</w:t>
      </w: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</w:rPr>
        <w:t>By mail:</w:t>
      </w:r>
      <w:r>
        <w:rPr>
          <w:caps w:val="false"/>
          <w:smallCaps w:val="fals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If you requested that the Proxy Materials be mailed to you, you will receive a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proxy card with your Proxy Materials. You may vote by filling out and signing the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card and returning it in the envelope provided. The proxy card must be received by 8:00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p.m. (Eastern Time) on the day before the Annual Meeting.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b.</w:t>
      </w: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</w:rPr>
        <w:t xml:space="preserve">During the Meeting: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You may also vote your shares during the live webcast of the Annual Meeting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by visiting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www.virtualshareholdermeeting.com/EXFY2025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entering the company number and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control number from your Notice or proxy card. Any previous votes that you submitted by mail,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telephone or internet will be superseded.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How do beneficial owners of shares held in street name vote?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If you hold your shares through a brokerage firm, bank, broker-dealer or other similar organization, please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follow their instructions. You may also elect to participate in the Annual Meeting via live webcast, through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which you may vote online during the Annual Meeting prior to the closing of the polls, and any previous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votes that you submitted will be superseded.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Can I change my vote after submitting a proxy?</w:t>
      </w:r>
    </w:p>
    <w:tbl>
      <w:tblPr>
        <w:tblW w:w="278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109"/>
        <w:gridCol w:w="109"/>
        <w:gridCol w:w="27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5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Stockholders of record may revoke their proxy before the Annual Meeting (1) by delivering to the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Company’s Corporate Secretary at 401 SW 5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13"/>
        </w:rPr>
        <w:t>th</w:t>
      </w:r>
      <w:r>
        <w:rPr>
          <w:caps w:val="false"/>
          <w:smallCaps w:val="fals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Ave, Portland, OR 97204 a written notice stating that a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proxy is revoked, (2) by signing and delivering a proxy bearing a later date, (3) by voting again via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internet or by telephone or (4) by attending and voting during the Annual Meeting.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Beneficial owners of shares held in street name who wish to change their votes should contact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organization that holds their shares.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If I hold shares in street name through a broker, can the broker vote my shares for me?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If you hold your shares in street name and you do not vote, the broker or other organization holding your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shares can vote on certain “routine” proposals but cannot vote on other proposals. Proposals 1 and 3 are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not considered “routine” proposals. Proposal 2 is considered a “routine” proposal. If you hold shares in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street name and do not vote on Proposals 1 or 3, your shares will be counted as “broker non-votes.”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Because Proposal 2 is considered “routine,” brokerage firms, banks, broker-dealers and other nominees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have discretionary authority to vote without receiving instructions.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What constitutes a quorum?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Presence at the Annual Meeting, virtually or by proxy, of the holders of a majority in voting power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stock issued and outstanding and entitled to vote at the Annual Meeting will constitute a quorum,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permitting the Annual Meeting to proceed and business to be conducted. Proxies received but with items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marked as abstentions or containing broker non-votes will be included in the calculation of the number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votes considered to be present at the meeting for purposes of determining whether a quorum is present.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Who is paying for this proxy solicitation?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Company is paying the costs of the solicitation of proxies. Members of our Board and officers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employees may solicit proxies by mail, telephone, fax, email or in person. We will not pay directors,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officers or employees any extra amounts for soliciting proxies. We may, upon request, reimburse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brokerage firms, banks, broker-dealers or other nominees representing street name holders for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expenses in forwarding Proxy Materials to their customers who are street name holders and obtaining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their voting instructions.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Who will count the votes?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Representatives of Broadridge Investor Communications Services (“Broadridge”) will tabulate the votes,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and a representative of Broadridge will act as inspector of elections.</w:t>
      </w:r>
      <w:r>
        <w:rPr/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Where can I find voting results?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We will file a Current Report on Form 8-K with the SEC including the final voting results from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Meeting within four business days of the Annual Meeting.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I share an address with another stockholder. Why did we receive only one set of Proxy Materials?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Some brokerage firms, banks, broker-dealers and other nominees may be participating in the practice of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householding” Proxy Materials. This means that only one copy of our Proxy Materials may be sent to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multiple stockholders in your household. If you hold your shares in street name and want to receive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separate copies of the Proxy Materials in the future, or if you are receiving multiple copies and would like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to receive only one copy for your household, you should contact the brokerage firm, bank, broker-dealer or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other nominee that holds your shares. If your shares are registered in your own name and you want to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receive separate copies of the Proxy Materials in the future, or if you are receiving multiple copies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would like to receive only one copy for your household, please contact our transfer agent by writing to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them at Computershare Trust Company, N.A., P.O. Box 505000, Louisville, KY 40233-5000, or by calling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1-(800)-736-3001.</w:t>
      </w:r>
    </w:p>
    <w:tbl>
      <w:tblPr>
        <w:tblW w:w="278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1"/>
        <w:gridCol w:w="109"/>
        <w:gridCol w:w="109"/>
        <w:gridCol w:w="2326"/>
      </w:tblGrid>
      <w:tr>
        <w:trPr/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6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Upon written request, we will promptly deliver a separate copy of the Proxy Materials to any stockholder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at a shared address to which a single copy of any of those documents was delivered. To receive a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separate copy of the Proxy Materials, you can contact Expensify Investor Relations at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investors@expensify.com or by mail at EXFY Investor Relations, 401 SW 5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13"/>
        </w:rPr>
        <w:t>th</w:t>
      </w:r>
      <w:r>
        <w:rPr>
          <w:caps w:val="false"/>
          <w:smallCaps w:val="fals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Ave, Portland, OR 97204.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ue;sans-serif" w:hAnsi="Expensify Neue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Who should I contact if I have additional questions?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You can contact Expensify Investor Relations at investors@expensify.com if you have additional questions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related to the Annual Meeting. Stockholders who hold their shares in street name should contact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organization that holds their shares for additional information related to the Annual Meeting on how to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vote.</w:t>
      </w:r>
    </w:p>
    <w:tbl>
      <w:tblPr>
        <w:tblW w:w="278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109"/>
        <w:gridCol w:w="109"/>
        <w:gridCol w:w="27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7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Proposal 1: Election of Directors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amended and restated bylaws provide that our Board of Directors shall consist of such number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directors as shall from time to time be fixed by resolution of our Board of Directors. Currently, our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 Directors is composed of eight members, three of whom have been determined by the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Committee on behalf of the Board of Directors to be independent directors as defined under the rules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Nasdaq Stock Market LLC (“Nasdaq”). We do not have a classified board of directors. At each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meeting of our stockholders, each of our directors will be elected by our stockholders to serve until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next annual meeting of our stockholders and until his or her successor is duly elected and qualified.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At the Annual Meeting, the stockholders will vote on the election of the eight director nominees named 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this Proxy Statement. Each of the directors elected at the Annual Meeting will hold office until the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Annual Meeting of Stockholders (the “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Annual Meeting”) and until his or her successor has been duly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elected and qualified. The Board of Directors has nominated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David Barrett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Ryan Schaffer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Anuradha Muralidharan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Jason Mills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Daniel Vidal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Timothy L. Christen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Ellen Pao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Ying (Vivian)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for re-election to serve as the directors of the Company. The persons named as proxies in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enclosed proxy card will vote to elect each director nominee named in this Proxy Statement unless a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stockholder indicates that his or her shares should be withheld with respect to one or more of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nominees.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We expect the Voting Trust to vote in favor of the eight nominees for directors. Please see “Certain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Relationships and Related Party Transactions” below for a description of the Voting Trust Agreement.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 the event that any nominee for director becomes unavailable or declines to serve as a director at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time of the Annual Meeting, the persons named as proxies will vote the proxies in their discretion for any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nominee who is designated by the current Board of Directors to fill the vacancy. All of the nominees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currently serving as directors and we do not expect that any of the nominees will be unavailable or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decline to serve. Each of the nominees for director has agreed to be named in this Proxy Statement and to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serve as a director if elected.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 determining that each director should be nominated for re-election, our Board of Directors considered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his or her service, business experience, prior directorships and the qualifications, attributes and skills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described in the nominee’s biography set forth below under “Corporate Governance—Executive Officers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Directors.” We believe that our directors provide an appropriate mix of experience and skills relevant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to the size and nature of our business.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51"/>
        <w:gridCol w:w="109"/>
        <w:gridCol w:w="2795"/>
        <w:gridCol w:w="2795"/>
        <w:gridCol w:w="3955"/>
      </w:tblGrid>
      <w:tr>
        <w:trPr/>
        <w:tc>
          <w:tcPr>
            <w:tcW w:w="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85750" cy="28575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Our Executive Committee on behalf of our Board of Directors unanimously recommends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that you vote “FOR” the election of each of 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Mr. Barrett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, 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Mr. Schaffer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, 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Ms. Muralidharan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, 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 xml:space="preserve">Mr.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Mills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, 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Mr. Vidal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, 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Mr. Christen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, 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Ms. Pao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and 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Ms. Liu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>.</w:t>
            </w:r>
          </w:p>
        </w:tc>
      </w:tr>
    </w:tbl>
    <w:tbl>
      <w:tblPr>
        <w:tblW w:w="278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1"/>
        <w:gridCol w:w="109"/>
        <w:gridCol w:w="109"/>
        <w:gridCol w:w="2326"/>
      </w:tblGrid>
      <w:tr>
        <w:trPr/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8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Corporate Governance</w:t>
      </w:r>
    </w:p>
    <w:p>
      <w:pPr>
        <w:pStyle w:val="TextBody"/>
        <w:bidi w:val="0"/>
        <w:spacing w:lineRule="atLeast" w:line="320" w:before="0" w:after="0"/>
        <w:jc w:val="left"/>
        <w:rPr>
          <w:rFonts w:ascii="Expensify New Kansas Medium;sans-serif" w:hAnsi="Expensify New Kansas Medium;sans-serif"/>
          <w:b w:val="false"/>
          <w:i w:val="false"/>
          <w:caps w:val="false"/>
          <w:smallCaps w:val="false"/>
          <w:strike w:val="false"/>
          <w:dstrike w:val="false"/>
          <w:color w:val="03D47C"/>
          <w:sz w:val="32"/>
          <w:u w:val="none"/>
          <w:effect w:val="none"/>
        </w:rPr>
      </w:pPr>
      <w:r>
        <w:rPr>
          <w:rFonts w:ascii="Expensify New Kansas Medium;sans-serif" w:hAnsi="Expensify New Kansas Medium;sans-serif"/>
          <w:b w:val="false"/>
          <w:i w:val="false"/>
          <w:caps w:val="false"/>
          <w:smallCaps w:val="false"/>
          <w:strike w:val="false"/>
          <w:dstrike w:val="false"/>
          <w:color w:val="03D47C"/>
          <w:sz w:val="32"/>
          <w:u w:val="none"/>
          <w:effect w:val="none"/>
        </w:rPr>
        <w:t>Executive Officers and Directors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Below is a list of the names and ages, as of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25, 2025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of our directors and executive officers, and a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description of the business experience of each of them. There are no family relationships among any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our executive officers or directors.</w:t>
      </w:r>
    </w:p>
    <w:tbl>
      <w:tblPr>
        <w:tblW w:w="677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86"/>
        <w:gridCol w:w="109"/>
        <w:gridCol w:w="526"/>
        <w:gridCol w:w="109"/>
        <w:gridCol w:w="3646"/>
      </w:tblGrid>
      <w:tr>
        <w:trPr/>
        <w:tc>
          <w:tcPr>
            <w:tcW w:w="23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Name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Age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4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Position</w:t>
            </w:r>
          </w:p>
        </w:tc>
      </w:tr>
      <w:tr>
        <w:trPr/>
        <w:tc>
          <w:tcPr>
            <w:tcW w:w="23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David Barrett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Chief Executive Officer and Director</w:t>
            </w:r>
          </w:p>
        </w:tc>
      </w:tr>
      <w:tr>
        <w:trPr/>
        <w:tc>
          <w:tcPr>
            <w:tcW w:w="23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Ryan Schaffer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Chief Financial Officer and Director</w:t>
            </w:r>
          </w:p>
        </w:tc>
      </w:tr>
      <w:tr>
        <w:trPr/>
        <w:tc>
          <w:tcPr>
            <w:tcW w:w="23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Anuradha Muralidharan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Chief Operating Officer and Director</w:t>
            </w:r>
          </w:p>
        </w:tc>
      </w:tr>
      <w:tr>
        <w:trPr/>
        <w:tc>
          <w:tcPr>
            <w:tcW w:w="23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Jason Mills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Director</w:t>
            </w:r>
          </w:p>
        </w:tc>
      </w:tr>
      <w:tr>
        <w:trPr/>
        <w:tc>
          <w:tcPr>
            <w:tcW w:w="23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Daniel Vidal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Director</w:t>
            </w:r>
          </w:p>
        </w:tc>
      </w:tr>
      <w:tr>
        <w:trPr/>
        <w:tc>
          <w:tcPr>
            <w:tcW w:w="23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Timothy L. Christen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Director</w:t>
            </w:r>
          </w:p>
        </w:tc>
      </w:tr>
      <w:tr>
        <w:trPr/>
        <w:tc>
          <w:tcPr>
            <w:tcW w:w="23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Ellen Pao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Director</w:t>
            </w:r>
          </w:p>
        </w:tc>
      </w:tr>
      <w:tr>
        <w:trPr/>
        <w:tc>
          <w:tcPr>
            <w:tcW w:w="23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Ying (Vivian) Liu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Director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/>
          <w:i/>
          <w:strike w:val="false"/>
          <w:dstrike w:val="false"/>
          <w:sz w:val="20"/>
          <w:u w:val="none"/>
          <w:effect w:val="none"/>
        </w:rPr>
        <w:t>David Barrett</w:t>
      </w:r>
      <w:r>
        <w:rPr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founded Expensify and has served as our Chief Executive Officer and as a member of our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board of directors since 2009. Prior to Expensify,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Barrett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led engineering for Red Swoosh, Inc., a peer-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to-peer file sharing company, which was acquired by Akamai Technologies, Inc. in 2007.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Barrett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holds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 B.S.E. in engineering from the University of Michigan. We believe that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Barrett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is qualified to serve as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 member of our board of directors due to his strategic vision and leadership in conceptualizing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developing our brand and business, his expertise in technology and the perspective and experience 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brings as our founder and Chief Executive Officer.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/>
          <w:i/>
          <w:strike w:val="false"/>
          <w:dstrike w:val="false"/>
          <w:sz w:val="20"/>
          <w:u w:val="none"/>
          <w:effect w:val="none"/>
        </w:rPr>
        <w:t>Ryan Schaffer</w:t>
      </w:r>
      <w:r>
        <w:rPr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has served as our Chief Financial Officer and a member of our board of directors since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2017, and he previously served as our Director of Marketing and Strategy from 2013-2017.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Schaffer</w:t>
      </w:r>
      <w:r>
        <w:rPr>
          <w:caps w:val="false"/>
          <w:smallCaps w:val="false"/>
          <w:sz w:val="24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worked in marketing at various companies prior to joining Expensify.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Schaffer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holds a B.S. in business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from the University of Dayton. We believe that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Schaffer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is qualified to serve as a member of our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 directors due to his perspective and experience as our Chief Financial Officer, his experience leading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board meetings since 2019 and his significant knowledge of and history with our company.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/>
          <w:i/>
          <w:strike w:val="false"/>
          <w:dstrike w:val="false"/>
          <w:sz w:val="20"/>
          <w:u w:val="none"/>
          <w:effect w:val="none"/>
        </w:rPr>
        <w:t>Anuradha Muralidharan</w:t>
      </w:r>
      <w:r>
        <w:rPr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has served as our Chief Operating Officer since January 2021 and a member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board of directors since our IPO.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Muralidharan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previously served as our Director of Product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Operations from January 2018 to January 2021 and as our Head of Payment Operations from August 2015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to January 2018. Prior to joining Expensify, she held Vice President positions at Citibank and Marqeta Inc.,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various engineering roles at Oracle.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Muralidharan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holds a B.E. in electrical and electronics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engineering from Birla Institute of Technology and Science, Pilani in Pilani, India and an M.B.A from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Cornell University. We believe that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Muralidharan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is qualified to serve as a member of our board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directors due to her long history and experience in the payments industry, comprehensive knowledge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payments systems, and perspective and experience as our Chief Operating Officer.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/>
          <w:i/>
          <w:strike w:val="false"/>
          <w:dstrike w:val="false"/>
          <w:sz w:val="20"/>
          <w:u w:val="none"/>
          <w:effect w:val="none"/>
        </w:rPr>
        <w:t>Jason Mills</w:t>
      </w:r>
      <w:r>
        <w:rPr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has served as a member of our board of directors since our IPO.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Mills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has served as our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Chief Product Officer since May 2021, and he previously served as our Director of Product and Customers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from January 2013 to May 2021. Prior to Expensify,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Mills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served as an analyst intern at Zurich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from February 2010 to August 2010 and as an analyst intern at Goldman Sachs from June 2009 to August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2009.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Mills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holds a B.S. in Business Administration from the University of California, Berkeley, Haas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School of Business and a Master of Arts in International Economics from Johns Hopkins University,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School of Advanced International Studies. We believe that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Mills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is qualified to serve as a member of </w:t>
      </w:r>
    </w:p>
    <w:tbl>
      <w:tblPr>
        <w:tblW w:w="278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109"/>
        <w:gridCol w:w="109"/>
        <w:gridCol w:w="27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9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board of directors due to his long history of leadership with our company, his perspective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experience as our Chief Product Officer and his comprehensive knowledge of our business.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/>
          <w:i/>
          <w:strike w:val="false"/>
          <w:dstrike w:val="false"/>
          <w:sz w:val="20"/>
          <w:u w:val="none"/>
          <w:effect w:val="none"/>
        </w:rPr>
        <w:t>Daniel Vidal</w:t>
      </w:r>
      <w:r>
        <w:rPr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has served as a member of our board of directors since our IPO.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Vidal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has served as our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Chief Strategy Officer since May 2021, and he previously served as our Director of Corporate Development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&amp; Strategy from February 2019 to May 2021 and Head of Business Development from August 2013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February 2019.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Vidal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holds a B.S. in Kinesiology from Arizona State University and a Masters in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Commerce from the University of Virginia. We believe that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Vidal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is qualified to serve as a member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board of directors due to his long history of employment with our company, his perspective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experience as our Chief Strategy Officer and his leadership developing our Strategic Partnership program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ExpensifyApproved! Accountants program.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/>
          <w:i/>
          <w:strike w:val="false"/>
          <w:dstrike w:val="false"/>
          <w:sz w:val="20"/>
          <w:u w:val="none"/>
          <w:effect w:val="none"/>
        </w:rPr>
        <w:t>Timothy L. Christen</w:t>
      </w:r>
      <w:r>
        <w:rPr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has served on our board of directors since the effectiveness of our IPO registration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statement.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Christen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has served as a director of Mayville Engineering Company, a publicly traded value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added manufacturer, since June 2016 and serves as the Chairman of the Board and a member of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Audit Committee.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Christen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served as Chairman and Chief Executive Officer of Baker Tilly US, LLP, a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national public accounting firm, from June 1999 to May 2016.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Christen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also served as the non-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executive Chairman of Baker Tilly International Ltd. from October 2017 to October 2021 and as a director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 CPA.com, a CPA firm solutions and strategies provider, since February 2018.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Christen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also served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as director of the American Institute of CPAs from 2014 to 2017, serving as Chairman from 2015 to 2016,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since January 2021 serves as a trustee of the Financial Accounting Foundation.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Christen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holds a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B.S. in accounting from the University of Wisconsin-Platteville and is a licensed certified public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accountant. We believe that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Christen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is qualified to serve as a member of our board of directors due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to his over 38 years of accounting expertise and substantial strategy, risk and management experience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over his 16 years as the Chief Executive Officer of a national public accounting firm and membership 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board of a publicly traded company.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/>
          <w:i/>
          <w:strike w:val="false"/>
          <w:dstrike w:val="false"/>
          <w:sz w:val="20"/>
          <w:u w:val="none"/>
          <w:effect w:val="none"/>
        </w:rPr>
        <w:t>Ellen Pao</w:t>
      </w:r>
      <w:r>
        <w:rPr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has served on our board of directors since our IPO.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Pao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cofounded and has lead Project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Include, a nonprofit advocating for diversity, equity and inclusion in technology companies, since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December 2015.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Pao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has served as Chief Executive Officer and as a board member of Project Include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since January 2017. Prior to Project Include,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Pao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served as Interim Chief Executive Officer and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Executive Vice President of Business Development of Reddit, a social media platform, from April 2012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until July 2015. Prior to Reddit,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Pao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served as Chief Diversity and Inclusion Officer at Kapor Center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Venture Partner at Kapor Capital from January 2017 until March 2018.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Pao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holds a B.S.E in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electrical engineering from Princeton University, a J.D. from Harvard Law School and an M.B.A from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Harvard Business School. We believe that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Pao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is qualified to serve as a member of our board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directors due to her focus on diversity and inclusion and her experience as a board observer,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member, investor and advisor to technology startups since 2005.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/>
          <w:i/>
          <w:strike w:val="false"/>
          <w:dstrike w:val="false"/>
          <w:sz w:val="20"/>
          <w:u w:val="none"/>
          <w:effect w:val="none"/>
        </w:rPr>
        <w:t>Ying (Vivian) Liu</w:t>
      </w:r>
      <w:r>
        <w:rPr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has served on our board of directors since our IPO.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has served as the Chief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Financial Officer of Proficium, Inc. since April 2025. Prior to Proficium, Inc.,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served as President,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Chief Operating Officer and Chief Financial Officer of ContextLogic, Inc. (d/b/a Wish), a mobile e-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commerce platform from November 2021 to October 2024. Prior to Wish,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served as Chief Financial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Officer of Shutterfly, Inc., a retailer and manufacturing platform for personalized products, from April 2020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to November 2021. Prior to Shutterfly, Inc.,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served as the Chief Financial Officer and Senior Vice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President of Lexmark Inc., a printing solutions company, from July 2017 to April 2020. Prior to Lexmark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Inc.,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served as VP, Finance of Huawei Technology, an enterprise networking solutions company,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from October 2016 until July 2017. Prior to Huawei,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spent eight years at Cisco in multiple finance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leadership positions. Earlier in her career,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worked at Deloitte &amp; Touche, Goldman Sachs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China Merchants Bank.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served on the board of Chijet Motor Company, Inc., a publicly traded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electric vehicle manufacturer, from January 2023 to January 2025.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holds a B.A. in international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finance from Shanghai University of Finance and Economics, an M.B.A from the University of Washington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is a licensed chartered financial analyst and certified public accountant. We believe that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qualified to serve as a member of our board of directors due to her extensive finance and leadership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experience. 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09"/>
        <w:gridCol w:w="109"/>
        <w:gridCol w:w="2326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10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CONTROLLED COMPANY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Because the Voting Trust controls more than 50% of the voting power of our outstanding common stock,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we are considered a “controlled company” within the meaning of the corporate governance standards of 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Nasdaq. As a “controlled company,” we are permitted to and elect not to comply with certain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governance requirements of Nasdaq, including the requirements that (i) a majority of our Board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Directors consist of independent directors, (ii) we either establish a nominating and corporate governance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committee composed entirely of independent directors or ensure that nominees for director are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determined or recommended to the Board of Directors by a majority of the independent members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Board of Directors and (iii) we establish a compensation committee composed entirely of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directors. For an indeterminate period, we intend to utilize these exemptions. As a result, although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Audit Committee of our Board (the “Audit Committee”) is fully independent as required by Nasdaq listing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standards, we do not have a nominating and corporate governance committee, and the members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Board’s Compensation Committee (the “Compensation Committee”) are not independent directors.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Additionally, a majority of our directors are not currently independent and we do not expect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immediate future that the majority of our directors will be independent. Accordingly, although we may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transition to a Board with a majority of independent directors prior to the time we cease to be a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controlled company,” for such period of time our stockholders will not have the same protections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afforded to stockholders of companies that are subject to all of these corporate governance requirements.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 the event that we cease to be a “controlled company” and our shares continue to be listed on Nasdaq,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we will be required to comply with these provisions within the applicable transition periods.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DIRECTOR INDEPENDENCE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Executive Committee on behalf of our Board of Directors undertook a review of the Board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Directors’ composition, the composition of its committees and the independence of our directors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considered whether any director has a material relationship with us that could compromise that director’s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ability to exercise independent judgment in carrying out that director’s responsibilities. Based upon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information requested from and provided by each director, our Executive Committee on behalf of our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Board of Directors has affirmatively determined that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Christen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Pao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are each an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“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independent director,” as defined under the Securities Exchange Act of 1934, as amended</w:t>
      </w:r>
      <w:r>
        <w:rPr/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(the “Exchange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Act”), and the rules of Nasdaq.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DIRECTOR NOMINATION PROCESS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Executive Committee on behalf of the Board of Directors is responsible for identifying, evaluating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nominating candidates to serve on the Board of Directors and its committees. In evaluating director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candidates, the Executive Committee considers the criteria set forth in our Corporate Governance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Guidelines, as well as any other factors that they deem to be relevant, including: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the candidate’s executive and directorial experience;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the candidate’s professional and academic experience relevant to the Company’s industry;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the strength of the candidate’s leadership skills;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the candidate’s experience in finance and accounting and/or executive compensation practices;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whether the candidate has the time required for preparation, participation, and attendance at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meetings of the Board of Directors and committee meetings, if applicable;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whether the candidate contributes to the mix of experience, backgrounds, qualifications and skills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of the Board of Directors;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candidate’s experience at the Company, in the case of director candidates intended to sit 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the Executive Committee.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109"/>
        <w:gridCol w:w="109"/>
        <w:gridCol w:w="39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11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Generally, the Executive Committee will consider candidates who have a high level of personal and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professional integrity, strong ethics and the ability to make mature business judgments. The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Committee and the Board monitor the mix of specific experience, qualifications and skills of its directors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 order to assure that the Board, as a whole, has the necessary tools to perform its oversight function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effectively in light of the Company’s business and structure. Although the Executive Committee may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consider whether nominees assist in achieving a mix of board members that represents a diversity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background and experience, which is not only limited to race, gender or national origin, we have no formal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policy regarding board diversity.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Executive Committee will consider a candidate nominated by a stockholder in a manner consistent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with its evaluation of potential nominees. Any recommendation submitted to the Company should be in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writing and should include any supporting material the stockholder considers appropriate in support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that recommendation, but must include information that would be required under the rules of the SEC to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be included in a proxy statement soliciting proxies for the election of such candidate and a written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consent of the candidate to serve as one of our directors if elected, and must otherwise comply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requirements under our amended and restated bylaws for stockholders to recommend director nominees.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Stockholder nominees should be submitted to the Company’s Corporate Secretary at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principal executive offices. All recommendations for director nominations received by the Corporate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Secretary that satisfy requirements set forth in the SEC rules and in our amended and restated bylaws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relating to such nominations will be presented to the Executive Committee for its consideration.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Stockholders must also satisfy the notification, timeliness, consent and information requirements set forth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 our amended and restated bylaws. These timing requirements are also described in this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Statement under the caption “Stockholder Proposals.”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MEETINGS OF BOARD OF DIRECTORS AND ATTENDANCE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During fiscal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our Board of Directors held four meetings, our Compensation Committee held four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meetings and our Audit Committee held four meetings. During fiscal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each director attended at least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75% of the total number of meetings of the Board of Directors and committees on which the director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served. Members of our Board of Directors are encouraged to attend annual meetings of stockholders;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however we do not have a formal policy regarding attendance of directors at our annual meetings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stockholders. All but one of our directors attended our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Annual Meeting of Stockholders.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chair of the Audit Committee, or in his or her absence a director designated by the chair of the Audit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Committee, presides over executive sessions of the independent directors, which are held on a regularly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scheduled basis, not less than once per year.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COMMUNICATION WITH THE BOARD OF DIRECTORS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Any stockholder or other interested party who would like to communicate with the Board of Directors,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independent directors as a group or any specific member or members of the Board of Directors should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send such communications to the attention of our Corporate Secretary at Expensify, Inc., 401 SW 5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13"/>
        </w:rPr>
        <w:t>th</w:t>
      </w:r>
      <w:r>
        <w:rPr>
          <w:caps w:val="false"/>
          <w:smallCaps w:val="fals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Ave,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Portland, OR 97204. Communications should contain instructions specifying for which member or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members of the Board of Directors the communication is intended. Such communications generally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be forwarded to the intended recipients. However, our Corporate Secretary may, in his sole discretion,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decline to forward any communications that are inappropriate.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COMMITTEES OF OUR BOARD OF DIRECTORS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Board of Directors directs the management of our business and affairs, as provided by Delaware law,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conducts its business through meetings and actions by unanimous written consent of the Board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Directors and duly authorized committees of the Board of Directors. For as long as the Voting Trust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controls a majority of the voting power of our outstanding common stock, we will have a standing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Executive Committee and Audit Committee. We established a Compensation Committee in 2022. As a 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“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controlled company” under Nasdaq’s rules and corporate governance standards, we are not required to 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09"/>
        <w:gridCol w:w="109"/>
        <w:gridCol w:w="2326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12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have a nominating and corporate governance committee. In addition, from time to time, other committees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may be established by the Board of Directors when necessary.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 xml:space="preserve">Executive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amended and restated certificate of incorporation provides that for as long as the Voting Trust holds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securities representing at least 50% of the voting power of our outstanding capital stock, the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Committee will be authorized to exercise all of the powers and authority of the Board of Directors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management of our business and affairs, except for (i) matters that must be approved by the Audit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Committee, (ii) matters that must be approved by a committee qualified to grant equity to persons subject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to Section 16 of the Exchange Act for purposes of exempting transactions pursuant to Section 16b-3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thereunder, (iii) matters required under Delaware law to be approved by the full Board of Directors, or (iv)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as otherwise required by SEC rules and the rules of Nasdaq. The Executive Committee may not delegate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any or all of its powers and authority to a subcommittee. Our Executive Committee consists of Messrs.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Barrett, Schaffer, Mills and Vidal and Ms. Muralidharan.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 xml:space="preserve">Audit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Audit Committee is responsible for, among other things: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appointing, compensating, retaining, evaluating, terminating and overseeing our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registered public accounting firm;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discussing with our independent registered public accounting firm its independence from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management;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reviewing with our independent registered public accounting firm the scope and results of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audit;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approving all audit and permissible non-audit services to be performed by our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registered public accounting firm;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overseeing the financial reporting process and discussing with management and our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registered public accounting firm the interim and annual financial statements that we file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SEC;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reviewing and monitoring our accounting principles, accounting policies, financial and accounting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controls and compliance with legal and regulatory requirements;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reviewing our policies on risk assessment and risk management;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reviewing related party transactions; and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establishing procedures for the confidential anonymous submission of concerns regarding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questionable accounting, internal controls or auditing matters.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Audit Committee consists of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Christen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Liu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Ms. Pao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with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Mr. Christen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serving as chair.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Rule 10A-3 of the Exchange Act and Nasdaq rules require that our Audit Committee be composed entirely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 independent members. Our Executive Committee on behalf of our Board of Directors has affirmatively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determined that Mr. Christen, Ms. Liu and Ms. Pao each meet the definition of “independent director” for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purposes of serving on the Audit Committee under Rule 10A-3 and Nasdaq rules. Each member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Audit Committee meets the financial literacy requirements of the Nasdaq listing standards. In addition,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Executive Committee on behalf of our Board of Directors has determined that Mr. Christen qualifies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as an “audit committee financial expert,” as such term is defined in Item 407(d)(5) of Regulation S-K. Our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Audit Committee operates under a written charter which satisfies the applicable listing standards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Nasdaq and which is available on our website at ir.expensify.com. The information on or accessed through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website is deemed not to be incorporated in or part of this Proxy Statement or any other document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filed with or furnished to the SEC.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109"/>
        <w:gridCol w:w="109"/>
        <w:gridCol w:w="39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13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Compensation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Our Compensation Committee is responsible for, among other things: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reviewing and approving our compensation algorithm used to determine the compensation of all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employees, including the Chief Executive Officer and all other executive officers. To the extent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compensation of any executive officer, including the Chief Executive Officer, is addressed outside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 the algorithm, the Compensation Committee, excluding the applicable officer, reviews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approves such compensation;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reviewing and recommending to our Executive Committee, or, if required, our Board of Directors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the compensation of our directors;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selecting independent compensation consultants and advisors and assessing whether there are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any conflicts of interest with any of the Compensation Committee’s compensation consultants or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advisors;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</w:rPr>
        <w:t>•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reviewing and approving, or recommending that our Executive Committee, or, if required, our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Board of Directors approve, incentive compensation and equity plans.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Compensation Committee currently consists of Messrs. Barrett, Schaffer, Mills and Vidal and Ms.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Muralidharan with Mr. Barrett serving as chair. Mr. Barrett, Mr. Schaffer and Ms. Muralidharan, each an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executive officer, participate in the deliberations of the Compensation Committee in determining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executive officer and director compensation, except as otherwise determined by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Committee. As a controlled company, we rely upon the exemption from the requirement that we have a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Compensation Committee composed entirely of independent directors. The Compensation Committee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may delegate any or all of its responsibilities to a subcommittee of the committee. The Compensation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Committee did not engage a compensation consultant in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or make any changes to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 our executive officers. Our Compensation Committee operates under a written charter which satisfies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applicable listing standards of Nasdaq and which is available on our website at ir.expensify.com.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information on or accessed through our website is deemed not to be incorporated in or part of this Proxy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Statement or any other document filed with or furnished to the SEC.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COMPENSATION COMMITTEE INTERLOCKS AND INSIDER PARTICIPATION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Compensation Committee, including our executive officers Mr. Barrett and Mr. Schaffer, participated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 deliberations regarding the algorithm used to determine the compensation of all employees, including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all executive officers. To the extent compensation of one of our executive officers was addressed outside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 the algorithm, the applicable executive officer did not participate in such deliberations. Except as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described below in the section titled “Certain Relationships and Related Party Transactions,” none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members of the Compensation Committee had or have any relationships with the company during the last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completed fiscal year that are required to be disclosed under Item 404 of Regulation S-K. None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executive officers currently serve, or have served during the last completed fiscal year,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compensation committee or board of directors of any other entity that has one or more executive officers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serving as a member of our Compensation Committee.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BOARD LEADERSHIP STRUCTURE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Corporate Governance Guidelines provide our independent directors the flexibility to elect a lead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director if the chairperson of the Board of Directors is a member of management or does not otherwise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qualify as independent. Our Board of Directors currently does not have a chairperson (or a lead director)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currently believes that our existing leadership structure is effective. Our Board of Directors will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continue to periodically review our leadership structure and may make such changes in the future as it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deems appropriate.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RISK OVERSIGHT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09"/>
        <w:gridCol w:w="109"/>
        <w:gridCol w:w="2326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14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Board of Directors is responsible for overseeing our risk management process. Our Board of Directors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focuses on our general risk management strategy, the most significant risks facing us, our material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environmental, social and governance (“ESG”) risks and oversees the implementation of risk mitigation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strategies by management, including management’s implementation of our cybersecurity risk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management program. Our Board of Directors is also apprised of particular risk management matters in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connection with its general oversight and approval of corporate matters and significant transactions.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CODE OF ETHICS AND CONDUCT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We have adopted a written code of ethics and conduct that applies to our directors, officers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employees, including our principal executive officer, principal financial officer, principal accounting officer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or controller, or persons performing similar functions. A copy of the code is available on our investor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relations website at ir.expensify.com. In addition, we intend to post on our investor relations website all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disclosures that are required by law or the listing standards concerning any amendments to, or waivers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from, any provision of the code. The information on or accessed through our website is deemed not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incorporated in or part of this Proxy Statement or any other document filed with or furnished to the SEC.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CORPORATE GOVERNANCE GUIDELINES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We have adopted written corporate governance guidelines to assist the Board in the exercise of its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responsibilities. A copy of the corporate governance guidelines is available on our investor relations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website at ir.expensify.com. The information on or accessed through our website is deemed not to be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incorporated in or part of this Proxy Statement or any other document filed with or furnished to the SEC.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INSIDER-TRADING POLICY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Board of Directors has adopted an Insider Trading Policy that governs the purchase, sale, and/or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other dispositions of our securities by officers, directors, contractors, consultants and employees that is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reasonably designed to promote compliance with insider trading laws, rules and regulations,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listing requirements of Nasdaq. The policy prohibits our directors, officers and employees from engaging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 transactions intended to hedge or offset the market value of Expensify stock owned by them. A copy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our Insider Trading Policy was filed as Exhibit 19.1 to our Annual Report.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109"/>
        <w:gridCol w:w="109"/>
        <w:gridCol w:w="39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15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 xml:space="preserve">Proposal 2: Ratification of Appointment of </w:t>
      </w: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Independent Registered Public Accounting Firm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Ratification of Appointment of KPMG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Audit Committee is directly responsible for the appointment, compensation, retention and oversight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 the independent external audit firm retained to audit the Company’s financial statements. Our Audit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Committee has selected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to serve as our independent registered public accounting firm to audit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consolidated financial statements of the Company for the fiscal year ending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. This is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first year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has been engaged to serve as our independent registered public accounting firm.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Stockholders are not required to ratify the appointment of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as our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accounting firm. However, as a matter of good corporate governance, we are asking our stockholders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ratify the selection of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as our independent registered public accounting firm for the fiscal year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ending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2025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. If stockholders fail to ratify the appointment, the Audit Committee will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consider whether or not to retain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. Even if the appointment is ratified, the Audit Committee, in its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discretion, may direct the appointment of a different independent registered public accounting firm at any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time during the year if it determines that such a change would be in the best interests of the Company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and our stockholders.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Representatives of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Ernst &amp; Young LLP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(“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caps w:val="false"/>
          <w:smallCaps w:val="false"/>
          <w:sz w:val="24"/>
        </w:rPr>
        <w:t>”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) and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will be present at the Annual Meeting, will have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opportunity to make a statement if they desire to do so and will be available to respond to appropriate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questions.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51"/>
        <w:gridCol w:w="109"/>
        <w:gridCol w:w="2791"/>
        <w:gridCol w:w="2791"/>
        <w:gridCol w:w="3963"/>
      </w:tblGrid>
      <w:tr>
        <w:trPr/>
        <w:tc>
          <w:tcPr>
            <w:tcW w:w="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85750" cy="285750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Our Executive Committee on behalf of our Board of Directors unanimously recommends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that you vote “FOR” the ratification of 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KPMG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as our independent registered public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accounting firm for the fiscal year ending 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December 31, 2025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>.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Change in Independent Registered Public Accounting Firm in 2025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audited our consolidated financial statements for the fiscal years ended December 31, 2024 and 2023.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As reported on our Current Report on Form 8-K filed on March 10, 2025 (the “Auditor 8-K”), on March 5,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2025, the Audit Committee (i) dismissed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(ii) engaged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as our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accounting firm for the fiscal year ending December 31, 2025. The reports of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on the Company’s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consolidated financial statements for the years ended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did not contain an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adverse opinion or disclaimer of opinion, nor were such reports qualified or modified as to uncertainty,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audit scope or accounting principles.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During the fiscal years ended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and the subsequent interim period through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March 5, 2025 (preceding such dismissal), there were no “disagreements” (as defined in Item 304(a)(1)(iv)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 Regulation S-K and the related instructions) with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on any matter of accounting principles or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practices, financial statement disclosure or auditing scope or procedure, which disagreements, if not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resolved to the satisfaction of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, would have caused them to make a reference thereto in their reports.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During the fiscal years ended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and the subsequent interim period through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March 5, 2025 (preceding such dismissal), there were no “reportable events” requiring disclosure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pursuant to paragraph (a)(1)(v) of Item 304 of Regulation S-K.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We provided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with a copy of the Auditor 8-K and requested that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provide a letter addressed to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Securities and Exchange Commission stating whether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agrees with the statements contained in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Auditor 8-K as they relate to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. A copy of such letter, dated March 10, 2025, was filed as Exhibit 16.1 to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the Auditor 8-K.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During the fiscal years ended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and the subsequent interim period through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March 5, 2025 (prior to engagement of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), neither the Company nor anyone on its behalf consulted 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09"/>
        <w:gridCol w:w="109"/>
        <w:gridCol w:w="2326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16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regarding: (i) either: the application of accounting principles to a specified transaction, either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completed or proposed, or the type of audit opinion that might be rendered on the Company’s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consolidated financial statements, and either a written report was provided to the Company or oral advice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was provided that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KPMG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concluded was an important factor considered by the Company in reaching a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decision as to the accounting, auditing or financial reporting issue; or (ii) any matter that was the subject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 a “disagreement” or “reportable event” (within the meaning of paragraph (a)(1)(iv) of Item 304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Regulation S-K and paragraph (a)(1)(v) of Item 304 of Regulation S-K, respectively).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109"/>
        <w:gridCol w:w="109"/>
        <w:gridCol w:w="39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17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</w:rPr>
        <w:t>Principal Accountant Fees and Services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following table sets forth the aggregate fees billed by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our former independent registered public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accounting firm, to the Company for the fiscal years ended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2023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:</w:t>
      </w:r>
    </w:p>
    <w:tbl>
      <w:tblPr>
        <w:tblW w:w="44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66"/>
        <w:gridCol w:w="1186"/>
        <w:gridCol w:w="109"/>
        <w:gridCol w:w="1231"/>
      </w:tblGrid>
      <w:tr>
        <w:trPr/>
        <w:tc>
          <w:tcPr>
            <w:tcW w:w="19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2023</w:t>
            </w:r>
          </w:p>
        </w:tc>
      </w:tr>
      <w:tr>
        <w:trPr/>
        <w:tc>
          <w:tcPr>
            <w:tcW w:w="19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>Audit Fees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13"/>
              </w:rPr>
              <w:t>(1)</w:t>
            </w:r>
          </w:p>
        </w:tc>
        <w:tc>
          <w:tcPr>
            <w:tcW w:w="118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$2,992,760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$2,837,726</w:t>
            </w:r>
          </w:p>
        </w:tc>
      </w:tr>
      <w:tr>
        <w:trPr/>
        <w:tc>
          <w:tcPr>
            <w:tcW w:w="19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Audit-Related Fees</w:t>
            </w:r>
          </w:p>
        </w:tc>
        <w:tc>
          <w:tcPr>
            <w:tcW w:w="118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19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Tax Fees</w:t>
            </w:r>
          </w:p>
        </w:tc>
        <w:tc>
          <w:tcPr>
            <w:tcW w:w="118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</w:tr>
      <w:tr>
        <w:trPr/>
        <w:tc>
          <w:tcPr>
            <w:tcW w:w="19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>All Other Fees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13"/>
              </w:rPr>
              <w:t>(2)</w:t>
            </w:r>
          </w:p>
        </w:tc>
        <w:tc>
          <w:tcPr>
            <w:tcW w:w="118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$7,200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$6,959</w:t>
            </w:r>
          </w:p>
        </w:tc>
      </w:tr>
      <w:tr>
        <w:trPr/>
        <w:tc>
          <w:tcPr>
            <w:tcW w:w="19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  <w:tc>
          <w:tcPr>
            <w:tcW w:w="1186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$2,999,960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$2,844,685</w:t>
            </w:r>
          </w:p>
        </w:tc>
      </w:tr>
    </w:tbl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(1)For fiscal 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and fiscal 2024, Audit Fees consist of fees billed for audit services related to the audit of our 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and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annual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consolidated financial statements, review of our quarterly consolidated financial statements; audit services provided in connection with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other statutory and regulatory filings; and other accounting and financial reporting consultation and research work billed as audit fees or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necessary to comply with the standards of the Public Company Accounting Oversight Board.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(2)All Other Fees consists of fees billed for permitted products and services not included in the first three categories.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AUDIT COMMITTEE PRE-APPROVAL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Consistent with the requirements of the SEC and the Public Company Accounting Oversight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regarding auditor independence, our Audit Committee is responsible for appointing, setting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for, and overseeing the work of our independent registered public accounting firm.  In recognition of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responsibility, our Audit Committee pre-approves all audit and permissible non-audit services provided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the independent registered public accounting firm. These services may include audit services, audit-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related services, tax services and other services. All services provided to the Company and its subsidiaries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by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i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n 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we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 pre-approved by the Audit Committee. 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09"/>
        <w:gridCol w:w="109"/>
        <w:gridCol w:w="2326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18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Report of the Audit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/>
          <w:sz w:val="20"/>
        </w:rPr>
      </w:pPr>
      <w:r>
        <w:rPr>
          <w:rFonts w:ascii="Expensify Neue;sans-serif" w:hAnsi="Expensify Neue;sans-serif"/>
          <w:b w:val="false"/>
          <w:i/>
          <w:sz w:val="20"/>
        </w:rPr>
        <w:t xml:space="preserve">The material in this report is being furnished and shall not be deemed “filed” with the SEC for purposes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/>
          <w:sz w:val="20"/>
        </w:rPr>
      </w:pPr>
      <w:r>
        <w:rPr>
          <w:rFonts w:ascii="Expensify Neue;sans-serif" w:hAnsi="Expensify Neue;sans-serif"/>
          <w:b w:val="false"/>
          <w:i/>
          <w:sz w:val="20"/>
        </w:rPr>
        <w:t xml:space="preserve">Section 18 of the Exchange Act, or otherwise subject to the liability of that section, nor shall the material in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/>
          <w:sz w:val="20"/>
        </w:rPr>
      </w:pPr>
      <w:r>
        <w:rPr>
          <w:rFonts w:ascii="Expensify Neue;sans-serif" w:hAnsi="Expensify Neue;sans-serif"/>
          <w:b w:val="false"/>
          <w:i/>
          <w:sz w:val="20"/>
        </w:rPr>
        <w:t xml:space="preserve">this section be deemed to be “soliciting material” or incorporated by reference in any registration statement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/>
          <w:sz w:val="20"/>
        </w:rPr>
      </w:pPr>
      <w:r>
        <w:rPr>
          <w:rFonts w:ascii="Expensify Neue;sans-serif" w:hAnsi="Expensify Neue;sans-serif"/>
          <w:b w:val="false"/>
          <w:i/>
          <w:sz w:val="20"/>
        </w:rPr>
        <w:t xml:space="preserve">or other document filed with the SEC under the Securities Act of 1933, as amended (the “Securities Act”), or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/>
          <w:sz w:val="20"/>
        </w:rPr>
      </w:pPr>
      <w:r>
        <w:rPr>
          <w:rFonts w:ascii="Expensify Neue;sans-serif" w:hAnsi="Expensify Neue;sans-serif"/>
          <w:b w:val="false"/>
          <w:i/>
          <w:sz w:val="20"/>
        </w:rPr>
        <w:t>the Exchange Act, except as otherwise expressly stated in such filing.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principal purpose of the Audit Committee is to assist the Board of Directors in its general oversight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accounting practices, system of internal controls, audit processes and financial reporting processes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is governed by its charter. The Audit Committee is responsible for appointing and retaining our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independent auditor and approving the audit and non-audit services to be provided by the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auditor.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Management is responsible for preparing the financial statements and ensuring they are complete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accurate and prepared in accordance with generally accepted accounting principles. Our independent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registered public accounting firm, is responsible for performing an independent audit of our consolidated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financial statements and expressing an opinion on the conformity of those financial statements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generally accepted accounting principles.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Prior to the filing of our Annual Report on Form 10-K for the year ended December 31, 2024 with the SEC,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Audit Committee reviewed and discussed with our management and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our independent registered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public accounting firm at such time, our audited consolidated financial statements for the year ended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2024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. Our Audit Committee also discussed with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matters required to be discussed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the applicable requirements of the Public Company Accounting Oversight Board and the SEC.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Audit Committee received and reviewed the written disclosures and the letter from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required by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applicable requirements of the Public Company Accounting Oversight Board regarding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caps w:val="false"/>
          <w:smallCaps w:val="false"/>
          <w:sz w:val="24"/>
        </w:rPr>
        <w:t>’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communications with our Audit Committee concerning independence, and discussed with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EY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its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independence from us.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Based on the above-mentioned review and discussions, the Audit Committee recommended to our Board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 Directors that the audited consolidated financial statements be included in our Annual Report on Form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10-K for the year ended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for filing with the SEC.</w:t>
      </w:r>
    </w:p>
    <w:tbl>
      <w:tblPr>
        <w:tblW w:w="504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56"/>
        <w:gridCol w:w="109"/>
        <w:gridCol w:w="109"/>
        <w:gridCol w:w="1150"/>
        <w:gridCol w:w="1625"/>
      </w:tblGrid>
      <w:tr>
        <w:trPr/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Audit Committee</w:t>
            </w:r>
          </w:p>
        </w:tc>
      </w:tr>
      <w:tr>
        <w:trPr/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Tim Christen (Chairperson)</w:t>
            </w:r>
          </w:p>
        </w:tc>
      </w:tr>
      <w:tr>
        <w:trPr/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Ellen Pao</w:t>
            </w:r>
          </w:p>
        </w:tc>
      </w:tr>
      <w:tr>
        <w:trPr/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Vivian Liu</w:t>
            </w:r>
          </w:p>
        </w:tc>
      </w:tr>
      <w:tr>
        <w:trPr/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 xml:space="preserve">Date: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April 25, 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7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109"/>
        <w:gridCol w:w="109"/>
        <w:gridCol w:w="39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19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Director Compensation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OVERVIEW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We maintain a Non-Employee Director Compensation Program that is applicable to our directors who are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not serving as our employees (each a “Non-Employee Director”). Directors who are employed by us did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not receive additional compensation for their services as directors in fiscal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ANNUAL RETAINER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Each Non-Employee Director receives an annual cash retainer for his or her services equal to $30,000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plus any committee specific retainers (together the “Annual Retainer”), payable quarterly in arrears, and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pro-rated to reflect any partial year served. Audit Committee members are paid an additional $10,000,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except that the chair of the Audit Committee is paid an additional $20,000. Non-Employee Directors may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elect to receive 0 - 100% of their retainer in the form of a grant of restricted stock units (“RSUs”) instead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 cash (each, a “Retainer RSU Award”).  Each RSU constitutes the right to receive a single share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Class A common stock. Each Retainer RSU Award will automatically be granted on the fifth day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month immediately following the end of the quarter for which the corresponding portion of the 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Retainer was earned.  The number of RSUs granted is calculated by dividing the dollar value of the portion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 the annual retainer that would have otherwise been paid to such Non-Employee Director in cash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applicable grant date by (ii) the average per share closing trading price of our Class A common stock over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30 consecutive trading days ending on the trading day immediately preceding the grant date.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Retainer RSU Award is fully vested on the grant date.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EQUITY COMPENSATION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Pursuant to the Non-Employee Director Compensation Program, each Non-Employee Director who was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initially elected or appointed to serve on our Board on or after our IPO was granted an award of a number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 RSUs equal to (i) $250,000 divided by (ii) the average per share closing trading price of our Class A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common stock over the 30 consecutive trading days ending on the trading day immediately preceding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grant date or, solely for Non-Employee Directors who commenced service on the date of the IPO,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offering price to the public in the IPO (the “Initial RSU Award”). The Initial RSU Award is automatically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granted on the date on which such Non-Employee Director commences service on the Board.  The Initial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RSU Award vests over a three year period in twelve substantially equal quarterly installments, subject to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the Non-Employee Director’s continued service on the Board through each such vesting date.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Additionally, each Non-Employee Director who (i) has been serving on the Board for at least four months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as of each annual meeting of our stockholders after the IPO and (ii) will continue to serve as a Non-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Employee Director immediately following such meeting, will be granted an award of a number of RSUs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calculated by dividing (i) $125,000 by (ii) the average per share closing trading price of our Class A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common stock over the 30 consecutive trading days ending on the trading day immediately preceding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grant date (each, an “Annual RSU Award”). The Annual RSU Award will be automatically granted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date of the applicable annual meeting of stockholders, and will vest in full on the earlier of (i) the first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anniversary of the grant date and (ii) immediately before the annual meeting of stockholders following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grant date, subject to the Non-Employee Director’s continued service on the Board through such vesting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date.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following table provides additional detail regarding the fiscal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compensation of our Non-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Employee Directors: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09"/>
        <w:gridCol w:w="109"/>
        <w:gridCol w:w="2326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tbl>
      <w:tblPr>
        <w:tblW w:w="762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66"/>
        <w:gridCol w:w="109"/>
        <w:gridCol w:w="2671"/>
        <w:gridCol w:w="109"/>
        <w:gridCol w:w="2206"/>
        <w:gridCol w:w="109"/>
        <w:gridCol w:w="1051"/>
      </w:tblGrid>
      <w:tr>
        <w:trPr/>
        <w:tc>
          <w:tcPr>
            <w:tcW w:w="1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36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Name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7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>Fees Paid in Cash ($)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3"/>
              </w:rPr>
              <w:t>(1)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>Stock Awards ($)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3"/>
              </w:rPr>
              <w:t>(2)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</w:t>
            </w:r>
          </w:p>
        </w:tc>
      </w:tr>
      <w:tr>
        <w:trPr/>
        <w:tc>
          <w:tcPr>
            <w:tcW w:w="13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Tim Christen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$50,000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$107,611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$157,611</w:t>
            </w:r>
          </w:p>
        </w:tc>
      </w:tr>
      <w:tr>
        <w:trPr/>
        <w:tc>
          <w:tcPr>
            <w:tcW w:w="136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Vivian Liu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$40,000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$107,461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$147,461</w:t>
            </w:r>
          </w:p>
        </w:tc>
      </w:tr>
      <w:tr>
        <w:trPr/>
        <w:tc>
          <w:tcPr>
            <w:tcW w:w="13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Ellen Pao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$40,000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$107,363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$147,363</w:t>
            </w:r>
          </w:p>
        </w:tc>
      </w:tr>
      <w:tr>
        <w:trPr/>
        <w:tc>
          <w:tcPr>
            <w:tcW w:w="136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(1)Amounts reported represent fees paid in cash and the value of cash fees that directors elected to receive in the form of RSUs rather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than in cash. Cash amounts exchanged for RSUs for Mr. Christen, Ms. Liu, and Ms. Pao for the year ended December 31,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were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$50,000, $20,000, and $0, respectively.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(2)Amounts reported represent the grant date fair value of Annual RSU Awards granted during fiscal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which vest on the earlier of the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first anniversary of the date of grant or the date of the next annual meeting of stockholders plus the grant date fair value of RSUs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granted in lieu of cash fees that exceeds the amount of cash fees earned during fiscal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which vested immediately, in each case, as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calculated in accordance with ASC Topic 718. The grant date fair value of RSUs granted in lieu of cash fees that exceeded the amount of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cash fees earned for Mr. Christen, Ms. Liu and Ms. Pao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are $248, $98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and $0, respectively. See Note 9 of the audited consolidated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financial statements for the fiscal year ended December 31,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included in our Annual Report. As of December 31, 2024, Mr. Christen,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Ms. Liu and Ms. Pao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held 198,524, 114,849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and 117,778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RSUs, respectively. None of our Non-Employee Directors held stock options as of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December 31, 2024.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Each director is also reimbursed for their travel expenses incurred in connection with his or her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attendance at full board of directors or committee meetings.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109"/>
        <w:gridCol w:w="109"/>
        <w:gridCol w:w="39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21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Executive Compensation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This section discusses the material components of the executive compensation program for our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officers who are named in the “Summary Compensation Table” below.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As a “smaller reporting company” as defined in Item 10(f), we are not required to include a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Discussion and Analysis section and have elected to comply with the scaled disclosure requirements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applicable to smaller reporting companies. Nonetheless, we have included some additional information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regarding our compensation setting process and our compensation program beyond what Item 10(f)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requires of smaller reporting companies.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Our NEOs for fiscal year 2024, which constitute all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executive officers, were as follows: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David Barrett, our Chief Executive Officer;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Ryan Schaffer, our Chief Financial Officer; and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•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Anu Muralidharan, our Chief Operating Officer.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DETERMINATION OF EXECUTIVE COMPENSATION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At the core of our compensation program for our employees, including our NEOs, is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algorithm we use to establish all of our employees’ target compensation level.  Our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Committee, of which all of our NEOs are members, approves the compensation algorithm used for all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employees each year.  Our Compensation Committee approves any exceptions to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algorithm, provided, that if an exception is sought for a member of the Compensation Committee, that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Compensation Committee member is not present for deliberations regarding the exception and abstains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from any vote to approve the exception.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compensation algorithm’s principal input is a semi-annual compensation review process.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compensation review cycle, our Compensation Committee  reviews the compensation of all employees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service providers who have been employed with or provided services to the Company for at least 6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months and wish to participate. Participation is mandatory for those in the Company’s leadership track,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including our NEOs. For each compensation review cycle the sum of all raises must be less than 10%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current sum of all compensation for all employees. Each employee may receive a maximum raise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25% of their current compensation.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Each participant in the process uses a tool developed by the Company to perform head to head matches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 every employee who is eligible for their compensation to be reviewed. Each of our NEOs, including our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CEO, is matched with every other employee who is eligible. Eligible employees, including NEOs, may use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their discretion in determining which employee in each match should be compensated higher than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other. An employee’s position in the Company’s leadership track has a multiplier effect on their results,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higher in the leadership track they are, the more heavily their votes are weighted. The weighting for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each tier adjusts based on how many total participants there are from each tier. Each NEO had an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estimated multiplier of 3.8 for compensation review periods in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. Once all matches are completed for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all participating employees, any outlier data, defined as data over two standard deviations from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average weighted wins for that employee, is removed, up to 10% of the data per employee. The results are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aggregated into a ranked list sorted by the weighted number of wins each employee had. Each employee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is placed on an asymptotic curve according to their weighted number of wins such that if an employee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had the exact same number of weighted wins during the last compensation review cycle they would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receive a raise equal to the inflation rate.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output of the compensation algorithm is used to produce a target compensation number for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employee, including each NEO. Unless an employee has changed roles at the company during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compensation review period, an employee’s target compensation is never adjusted down. The highest tier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 our leadership track, which includes each NEO, reviews the output to ensure it aligns with expectations 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09"/>
        <w:gridCol w:w="109"/>
        <w:gridCol w:w="2326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22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make any changes based on their knowledge of each employee. They then provide the output to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Compensation Committee for review and approval.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Compensation Committee has the authority to retain a compensation consultant, and to approve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consultant’s fees and all other terms of its engagement. During fiscal 2023, the committee retained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Semler Brossy as its compensation consultant. Semler Brossy assisted the Compensation Committee by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providing data with respect to compensation paid to executive officers of public companies in our industry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 a similar size and scope and discussing named executive officer pay recommendations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Compensation Committee. While we review this third-party survey information to understand competitive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compensation practices and levels, we do not benchmark to a specific level when referencing this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information. Further, pursuant to SEC rules, the Compensation Committee conducted a conflicts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interest assessment and determined that there is no conflict of interest resulting from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Committee’s retention of Semler Brossy. During fiscal 2024, no changes were made to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paid to our executive officers, as a result an updated report was not commissioned from Semler Brossy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and the commitee continued to rely on the report from fiscal 2023.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2024</w:t>
      </w:r>
      <w:r>
        <w:rPr>
          <w:caps w:val="false"/>
          <w:smallCaps w:val="false"/>
          <w:strike w:val="false"/>
          <w:dstrike w:val="false"/>
          <w:color w:val="002E22"/>
          <w:sz w:val="24"/>
          <w:u w:val="none"/>
          <w:effect w:val="none"/>
        </w:rPr>
        <w:t xml:space="preserve"> </w:t>
      </w: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SUMMARY COMPENSATION TABLE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The following table sets forth certain information with respect to the compensation for the years ended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 31,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and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earned by, awarded to, or paid to our NEOs.</w:t>
      </w:r>
    </w:p>
    <w:tbl>
      <w:tblPr>
        <w:tblW w:w="986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61"/>
        <w:gridCol w:w="109"/>
        <w:gridCol w:w="526"/>
        <w:gridCol w:w="109"/>
        <w:gridCol w:w="931"/>
        <w:gridCol w:w="109"/>
        <w:gridCol w:w="751"/>
        <w:gridCol w:w="109"/>
        <w:gridCol w:w="796"/>
        <w:gridCol w:w="109"/>
        <w:gridCol w:w="856"/>
        <w:gridCol w:w="109"/>
        <w:gridCol w:w="1501"/>
        <w:gridCol w:w="109"/>
        <w:gridCol w:w="976"/>
      </w:tblGrid>
      <w:tr>
        <w:trPr/>
        <w:tc>
          <w:tcPr>
            <w:tcW w:w="27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6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Name and Principal Position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Year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Salary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6"/>
              </w:rPr>
              <w:t xml:space="preserve">Bonus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6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6"/>
              </w:rPr>
              <w:t xml:space="preserve">Stock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6"/>
              </w:rPr>
              <w:t>Awards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6"/>
              </w:rPr>
              <w:t>($)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0"/>
              </w:rPr>
              <w:t>(1)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6"/>
              </w:rPr>
              <w:t xml:space="preserve">Option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6"/>
              </w:rPr>
              <w:t xml:space="preserve">Awards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6"/>
              </w:rPr>
              <w:t>($)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0"/>
              </w:rPr>
              <w:t>(1)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6"/>
              </w:rPr>
              <w:t xml:space="preserve">All Other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6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6"/>
              </w:rPr>
              <w:t>($)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0"/>
              </w:rPr>
              <w:t>(2)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Total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27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David Barrett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1,859,229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221,526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2,080,755</w:t>
            </w:r>
          </w:p>
        </w:tc>
      </w:tr>
      <w:tr>
        <w:trPr/>
        <w:tc>
          <w:tcPr>
            <w:tcW w:w="27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Chief Executive Officer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1,670,564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166,550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1,837,114</w:t>
            </w:r>
          </w:p>
        </w:tc>
      </w:tr>
      <w:tr>
        <w:trPr/>
        <w:tc>
          <w:tcPr>
            <w:tcW w:w="27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Ryan Schaffer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1,064,689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164,395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7,772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1,236,856</w:t>
            </w:r>
          </w:p>
        </w:tc>
      </w:tr>
      <w:tr>
        <w:trPr/>
        <w:tc>
          <w:tcPr>
            <w:tcW w:w="276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Chief Financial Officer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1,035,779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89,736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7,910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1,133,425</w:t>
            </w:r>
          </w:p>
        </w:tc>
      </w:tr>
      <w:tr>
        <w:trPr/>
        <w:tc>
          <w:tcPr>
            <w:tcW w:w="27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Anu Muralidharan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860,371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319,242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9,665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1,189,278</w:t>
            </w:r>
          </w:p>
        </w:tc>
      </w:tr>
      <w:tr>
        <w:trPr/>
        <w:tc>
          <w:tcPr>
            <w:tcW w:w="276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Chief Operating Officer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GT America Exp;sans-serif" w:hAnsi="GT America Exp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710,601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220,354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12,556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943,511</w:t>
            </w:r>
          </w:p>
        </w:tc>
      </w:tr>
      <w:tr>
        <w:trPr/>
        <w:tc>
          <w:tcPr>
            <w:tcW w:w="276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(1)Amounts reported represent the grant date fair value of stock awards granted as calculated in accordance with ASC Topic 718.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Assumptions used in the calculations of these amounts are included in Note 9 of the audited consolidated financial statements for the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fiscal year ended December 31,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included in our Annual Report on Form 10-K filed with the SEC on February 27, 2024.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(2)Amounts reported represent employer matching contributions under our 401(k) Plan.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NARRATIVE TO THE SUMMARY COMPENSATION TABLE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Target Compensation and Base Salaries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We use a compensation algorithm that produces a target compensation number for each employee,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including each NEO, which the Compensation Committee reviews and approves. The target compensation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 our NEOs was not adjusted in fiscal year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We require each of our NEOs to contribute at least a combined 30% of his or her target compensation to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2021 Stock Purchase and Matching Plan and legacy equity programs, and each NEO may elect to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contribute additional amounts, up to 100%, of his or her target compensation, to the 2021 Stock Purchase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Matching Plan. Under the 2021 Stock Purchase and Matching Plan, contributions are accumulated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from payroll deductions over consecutive quarterly purchase periods. At the end of each purchase period,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shares are purchased based on the closing trading price of our Class A common stock on the date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purchase using the accumulated contributions. We then make a matching contribution based on shares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purchased and retained. For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the matching rate was 5%, meaning for each share purchased and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retained as of a quarterly purchase date, we issued 1/20th of a share of Class A common stock at no cost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to the NEO. For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Mr. Barrett, Mr. Schaffer and Ms. Muralidharan contributed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65%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25%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32%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respectively, of their target compensation to our equity programs, of which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0%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13%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was 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109"/>
        <w:gridCol w:w="109"/>
        <w:gridCol w:w="39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23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contributed to the 2021 Stock Purchase and Matching Plan.  See “Equity-Based Compensation” below for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a description of the matching shares issued to each NEO.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actual amount of target compensation paid to each NEO during fiscal year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including amounts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contributed by the NEO to the 2021 Stock Purchase and Matching Plan, is set forth above in the Summary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Compensation Table under the column titled “Base Salary.”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While no discretion was applied during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our Compensation Committee may adjust target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compensation from time to time outside of the compensation review cycle and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algorithm in their discretion.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Bonuses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We do not maintain a performance-based bonus program.  However, our board of directors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Compensation Committee have the authority to provide additional discretionary bonuses to our NEOs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whenever it determines it is necessary or appropriate to incentivize them or reward them for past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performance.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 xml:space="preserve">Equity-based Compensation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principal form of equity compensation for our NEOs in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was through our 2021 Stock Purchase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Matching Plan, in which all of our employees and service providers are eligible to participate. Under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2021 Stock Purchase and Matching Plan, our employees, including our NEOs, can purchase shares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Class A common stock using accumulated payroll deductions over quarterly purchase periods.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purchase price for shares of our Class A common stock is equal to the closing trading price of our Class A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common stock on the date of purchase. We match a portion of shares purchased or otherwise awarded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under the 2021 Stock Purchase and Matching Plan by issuing fully vested shares of our Class A common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stock on the date of purchase. In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, the matching rate was 1/20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13"/>
        </w:rPr>
        <w:t>th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per share purchased and retained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under the 2021 Stock Purchase and Matching Plan. Our NEOs purchased the following shares and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received the following matching shares during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9"/>
        <w:gridCol w:w="109"/>
        <w:gridCol w:w="2067"/>
        <w:gridCol w:w="109"/>
        <w:gridCol w:w="1895"/>
        <w:gridCol w:w="109"/>
        <w:gridCol w:w="1931"/>
        <w:gridCol w:w="109"/>
        <w:gridCol w:w="2127"/>
      </w:tblGrid>
      <w:tr>
        <w:trPr/>
        <w:tc>
          <w:tcPr>
            <w:tcW w:w="17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9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Name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7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Payroll Deductions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Applied Towards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the Purchase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95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Shares of our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Class A Common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Stock Purchased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Fully-Vested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Shares of our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Class A Common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Stock Issued 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Matching Shares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7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Value of Shares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issued as Matching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Shares as of the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>Date of Issuance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3"/>
              </w:rPr>
              <w:t>(1)</w:t>
            </w:r>
          </w:p>
        </w:tc>
      </w:tr>
      <w:tr>
        <w:trPr/>
        <w:tc>
          <w:tcPr>
            <w:tcW w:w="174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David Barrett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9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98,467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$162,324</w:t>
            </w:r>
          </w:p>
        </w:tc>
      </w:tr>
      <w:tr>
        <w:trPr/>
        <w:tc>
          <w:tcPr>
            <w:tcW w:w="174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Ryan Schaffer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$33,762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9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16,003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12,536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$32,393</w:t>
            </w:r>
          </w:p>
        </w:tc>
      </w:tr>
      <w:tr>
        <w:trPr/>
        <w:tc>
          <w:tcPr>
            <w:tcW w:w="174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Anu Muralidharan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95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3,792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$7,491</w:t>
            </w:r>
          </w:p>
        </w:tc>
      </w:tr>
      <w:tr>
        <w:trPr/>
        <w:tc>
          <w:tcPr>
            <w:tcW w:w="174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7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95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27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(1)Value reported based on the closing trading price of our Class A common stock as of the date the matching shares were issued.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We also made certain discretionary grants of shares under the 2021 Stock Purchase and Matching Plan to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employees including our NEOs. These shares are eligible for matching at the same matching rate as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shares awarded or purchase under the 2021 Stock Purchase and Matching Plan. These grants were based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on various factors and varied in size. Our NEOs were granted the following discretionary shares during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74"/>
        <w:gridCol w:w="109"/>
        <w:gridCol w:w="4116"/>
        <w:gridCol w:w="109"/>
        <w:gridCol w:w="4097"/>
      </w:tblGrid>
      <w:tr>
        <w:trPr/>
        <w:tc>
          <w:tcPr>
            <w:tcW w:w="17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74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Name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1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Fully-Vested Shares of our Class A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Common Stock Issued as Discretionary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7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Value of Shares issued as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Discretionary Shares as of the Date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>Issuance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3"/>
              </w:rPr>
              <w:t>(1)</w:t>
            </w:r>
          </w:p>
        </w:tc>
      </w:tr>
      <w:tr>
        <w:trPr/>
        <w:tc>
          <w:tcPr>
            <w:tcW w:w="1774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David Barrett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23,971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7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$59,203</w:t>
            </w:r>
          </w:p>
        </w:tc>
      </w:tr>
      <w:tr>
        <w:trPr/>
        <w:tc>
          <w:tcPr>
            <w:tcW w:w="1774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Ryan Schaffer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55,417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7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$132,002</w:t>
            </w:r>
          </w:p>
        </w:tc>
      </w:tr>
      <w:tr>
        <w:trPr/>
        <w:tc>
          <w:tcPr>
            <w:tcW w:w="1774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>Anu Muralidharan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134,023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7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$311,751</w:t>
            </w:r>
          </w:p>
        </w:tc>
      </w:tr>
      <w:tr>
        <w:trPr/>
        <w:tc>
          <w:tcPr>
            <w:tcW w:w="1774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7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09"/>
        <w:gridCol w:w="109"/>
        <w:gridCol w:w="2326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24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(1)Value reported based on the closing trading price of our Class A common stock as of the date the discretionary shares were issued.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 xml:space="preserve">OTHER ELEMENTS OF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Retirement Savings and Health and Welfare Benefits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Company currently maintains a 401(k) retirement savings plan for our employees, including our NEOs,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who satisfy certain eligibility requirements. Our NEOs are eligible to participate in the 401(k) plan on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same terms as other full-time employees.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All of our full-time employees, including our NEOs, are eligible to participate in our health and welfare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plans, including medical, dental and vision benefits; medical and dependent care flexible spending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accounts; short-term and long-term disability insurance; and life and AD&amp;D insurance.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Perquisites and Other Personal Benefits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compensation committee from time to time may provide perquisites and personal benefits to our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NEOs when it determines that it is necessary or advisable to fairly compensate or incentivize our NEOs.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No perquisites or other personal benefits were provided to any of our NEOs in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Policy Prohibiting Speculative Transactions and Hedging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 accordance with our insider trading policy, which is reviewed by our Executive Committee annually, we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do not permit any officer, director or employee, or their respective family members, to directly or indirectly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participate in certain trading activities related to our common stock that are considered aggressive or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speculative in nature, including short sales, publicly-traded options, hedging transactions, and margin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purchases.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Limited Pledging Policy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 limited circumstances and in accordance with pre-approved guidelines, employees of the company,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including NEOs, may pledge up to 25% of their Expensify stock holdings as collateral for a loan, excluding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margin loans.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Equity Award Timing Policies and Practices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We generally grant equity awards at regularly scheduled Compensation Committee meetings or pursuant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to pre-established purchase periods under our 2021 Stock Purchase and Matching Plan. We do not grant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equity awards in anticipation of the release of material nonpublic information and we do not time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release of material nonpublic information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 the purpose of affecting the value of executive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compensation. In the event material nonpublic information becomes known to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Committee before granting an equity award, the Compensation Committee will consider such information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and use its business judgment to determine whether to delay the grant of equity to avoid any appearance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of impropriety.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During fiscal year 2024, we did not grant stock options or similar option‐like instruments to our NEOs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during the four business days prior to or the one business day following the filing of our periodic reports or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 filing or furnishing of a Form 8-K that discloses material nonpublic information.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Clawback Policy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Effective as of November 1, 2023, we adopted the Policy for Recovery of Erroneously Awarded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Compensation (the “Clawback Policy”), which is intended to comply with the Nasdaq listing standards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adopted pursuant to Rule 10D-1 under the Exchange Act. Under the Clawback Policy, if the Company is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required to prepare an accounting restatement due to any material noncompliance with financial reporting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requirements under applicable securities laws, we will be required to recover from current and former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NEOs any incentive-based compensation that was erroneously paid or provided to the NEOs during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three years preceding the date that the Company is required to prepare such restatement, unless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Audit Committee determines that recovery would be impracticable. Incentive-based compensation 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109"/>
        <w:gridCol w:w="109"/>
        <w:gridCol w:w="39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25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includes compensation that is granted, earned, or vested based wholly or in part on any financial reporting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measure(s).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If recovery is triggered under the Clawback Policy due to an accounting restatement, we are required to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recover the excess of the amount of incentive-based compensation actually received by the NEO over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amount of incentive-based compensation that he or she would have received had payment been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determined based on the restated financial measure.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OUTSTANDING EQUITY AWARDS AS AT 2024</w:t>
      </w:r>
      <w:r>
        <w:rPr>
          <w:caps w:val="false"/>
          <w:smallCaps w:val="false"/>
          <w:strike w:val="false"/>
          <w:dstrike w:val="false"/>
          <w:color w:val="002E22"/>
          <w:sz w:val="24"/>
          <w:u w:val="none"/>
          <w:effect w:val="none"/>
        </w:rPr>
        <w:t xml:space="preserve"> </w:t>
      </w: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FISCAL YEAR END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following table lists all outstanding equity awards held by our NEOs as of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2024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.</w:t>
      </w:r>
    </w:p>
    <w:tbl>
      <w:tblPr>
        <w:tblW w:w="100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26"/>
        <w:gridCol w:w="109"/>
        <w:gridCol w:w="1306"/>
        <w:gridCol w:w="109"/>
        <w:gridCol w:w="1036"/>
        <w:gridCol w:w="109"/>
        <w:gridCol w:w="1171"/>
        <w:gridCol w:w="109"/>
        <w:gridCol w:w="766"/>
        <w:gridCol w:w="109"/>
        <w:gridCol w:w="1066"/>
        <w:gridCol w:w="109"/>
        <w:gridCol w:w="931"/>
        <w:gridCol w:w="109"/>
        <w:gridCol w:w="976"/>
      </w:tblGrid>
      <w:tr>
        <w:trPr/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6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6" w:type="dxa"/>
            <w:gridSpan w:val="7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Option awards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16" w:type="dxa"/>
            <w:gridSpan w:val="3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Stock awards</w:t>
            </w:r>
          </w:p>
        </w:tc>
      </w:tr>
      <w:tr>
        <w:trPr/>
        <w:tc>
          <w:tcPr>
            <w:tcW w:w="202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Name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 xml:space="preserve">Vesting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 xml:space="preserve">commencement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 xml:space="preserve">date 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9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securities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underlying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unexercised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options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exercisable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(#)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Number of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securities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underlying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unexercised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options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unexercisable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(#)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Option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exercise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price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Option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expiration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date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Number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of shares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or units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of stock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that have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not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 xml:space="preserve">vested (#) 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Market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value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shares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of units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of stock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that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have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not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($)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9"/>
                <w:u w:val="none"/>
                <w:effect w:val="none"/>
              </w:rPr>
              <w:t>(2)</w:t>
            </w:r>
          </w:p>
        </w:tc>
      </w:tr>
      <w:tr>
        <w:trPr/>
        <w:tc>
          <w:tcPr>
            <w:tcW w:w="202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David Barrett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4/12/2019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(4)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1,302,720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1.07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4/11/2024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3/1/2020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41,550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1.60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6/21/2030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9/15/2021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10"/>
              </w:rPr>
              <w:t>(5)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549,598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1,841,153</w:t>
            </w:r>
          </w:p>
        </w:tc>
      </w:tr>
      <w:tr>
        <w:trPr/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Ryan Schaffer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1/1/2016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(3)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1,610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0.53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3/31/2026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10/30/2018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10"/>
              </w:rPr>
              <w:t>(3)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10,320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0.97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1/10/2029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2/1/2019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4,930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0.97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2/1/2019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3/1/2019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15,910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0.97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3/1/2019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4/12/2019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10"/>
              </w:rPr>
              <w:t>(4)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220,283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0.97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4/12/2019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9/1/2019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3,820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1.60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6/21/2030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3/1/2020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4,540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1.60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6/21/2030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1/1/2021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1,230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7.21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3/15/2031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3/1/2021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16,520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7.21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3/15/2031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9/16/2021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6,880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12.97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10/12/2031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9/15/2021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10"/>
              </w:rPr>
              <w:t>(5)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149,054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499,331</w:t>
            </w:r>
          </w:p>
        </w:tc>
      </w:tr>
      <w:tr>
        <w:trPr/>
        <w:tc>
          <w:tcPr>
            <w:tcW w:w="20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Anu Muralidharan </w:t>
            </w: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3/1/2021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30,800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7.21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3/15/2031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9/16/2021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5,500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12.97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10/12/2031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2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9/15/2021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10"/>
              </w:rPr>
              <w:t>(5)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120,400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403,340</w:t>
            </w:r>
          </w:p>
        </w:tc>
      </w:tr>
      <w:tr>
        <w:trPr/>
        <w:tc>
          <w:tcPr>
            <w:tcW w:w="202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6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(1)Except as otherwise noted, the option is exercisable immediately upon grant and vests as to 1/48th of the shares on each monthly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anniversary of the vesting commencement date, subject to the holder continuing to provide services to the Company through such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vesting date. Any shares acquired prior to vesting may be repurchased by us for the original exercise price upon any termination of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employment. The repurchase right lapses in accordance with the option’s vesting schedule.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(2)Amounts reported were calculated by multiplying the number of RSUs outstanding as of December 31,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by $3.35, the closing price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of our Class A Common Stock on December 31, 2024, the last trading day in 2024.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(3)The option is fully vested and exercisable.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(4)The option is exercisable immediately upon grant and vests as to 1/72nd of the shares on each monthly anniversary of the vesting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commencement date, subject to the holder continuing to provide services to the Company through such vesting date. Any shares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acquired prior to vesting may be repurchased by us for the original exercise price upon any termination of employment. The repurchase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right lapses in accordance with the option’s vesting schedule.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(5)Each RSU constitutes the right to receive one-half of one share of the Company’s Class A common stock and one-half of one share of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the Company’s LT50 common stock upon vesting. 12.5% of the RSUs in substantially equal installments on each quarterly anniversary of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the vesting commencement date through the 8th anniversary of the vesting commencement date, subject to the holder continuing to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provide services to the Company through the applicable vesting date.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09"/>
        <w:gridCol w:w="109"/>
        <w:gridCol w:w="2326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26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POTENTIAL PAYMENTS UPON TERMINATION OR CHANGE IN CONTROL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Executive Employment Agreements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We have entered into employment agreements with each of our NEOs that set forth the terms of their at-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will employment with us. Under the employment agreements, the NEOs are not entitled to any payments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or benefits upon an involuntary termination of employment. Each of our NEOs have also entered into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standard confidential information and invention assignment agreements with us.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CEO PAY RATIO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 accordance with applicable SEC rules, we are providing the ratio of the total annual compensation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CEO, David Barrett, to that of our median compensated employee for fiscal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. Mr. Barrett’s total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annual compensation for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as reported in the Summary Compensation Table above, was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$2,080,755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total annual compensation of the employee identified as our median compensated employee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(excluding our CEO) for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was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$316,222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. The ratio of our CEO’s total compensation for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to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total compensation of our median compensated employee was approximately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to 1.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To identify our median compensated employee for purposes of this pay ratio disclosure, we first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determined that on December 31,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we had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117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full-time, part-time, and temporary service providers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other than Mr. Barrett. We ranked the annual compensation of this employee population based 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compensation reportable on IRS Form W-2 in the United States and comparable tax reporting documents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 other countries. For employees paid in foreign currencies we converted their annual compensation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using foreign exchange rates as of December 31,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. After identifying the median compensated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employee from this ranking, we calculated annual total compensation for such employee during fiscal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using the same methodology we use to calculate the total compensation of our CEO as set forth in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the Summary Compensation Table above.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This pay ratio is a reasonable estimate calculated in a manner consistent with SEC rules based on our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payroll and employment records and the methodology described above. The SEC rules for identifying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median compensated employee and calculating the pay ratio based on his or her annual total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compensation allow companies to use a variety of methodologies, to apply certain exclusions, and to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make reasonable estimates and assumptions that reflect their compensation practices. As such, the pay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ratio reported by other companies may not be comparable to the pay ratio we report above, as 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companies may have different employment and compensation practices and may use different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methodologies, exclusions, estimates and assumptions to calculate their own pay ratios.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information disclosed in this section was developed and is provided solely to comply with specific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legal requirements. We do not use this information in managing our Company and the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Committee does not consider this in any of its deliberations.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109"/>
        <w:gridCol w:w="109"/>
        <w:gridCol w:w="39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27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PAY VERSUS PERFORMANCE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In accordance with rules adopted by the Securities and Exchange Commission pursuant to the Dodd-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Frank Wall Street Reform and Consumer Protection Act of 2010, we provide the following disclosure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regarding executive compensation for our principal executive officer (“PEO”) and Non-PEO NEOs and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Company performance for the fiscal years listed below. The Compensation Committee did not consider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the pay versus performance disclosure below in making its pay decisions for any of the years shown.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6"/>
        <w:gridCol w:w="109"/>
        <w:gridCol w:w="1578"/>
        <w:gridCol w:w="109"/>
        <w:gridCol w:w="1779"/>
        <w:gridCol w:w="109"/>
        <w:gridCol w:w="1411"/>
        <w:gridCol w:w="109"/>
        <w:gridCol w:w="1546"/>
        <w:gridCol w:w="109"/>
        <w:gridCol w:w="1583"/>
        <w:gridCol w:w="109"/>
        <w:gridCol w:w="1038"/>
      </w:tblGrid>
      <w:tr>
        <w:trPr/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Year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8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Summary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>Compensatio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n Table Total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>for PEO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3"/>
              </w:rPr>
              <w:t>(1)</w:t>
            </w:r>
            <w:r>
              <w:rPr>
                <w:caps w:val="false"/>
                <w:smallCaps w:val="fals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>($)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Actually Paid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>PEO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3"/>
              </w:rPr>
              <w:t>(1)(2)(3)</w:t>
            </w:r>
            <w:r>
              <w:rPr>
                <w:caps w:val="false"/>
                <w:smallCaps w:val="fals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>($)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Average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Summary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>Compensati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on Table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Total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Non-PEO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>NEOs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3"/>
              </w:rPr>
              <w:t>(1)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>($)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Average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>Compensatio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n Actually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>Paid to Non-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>NEOs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3"/>
              </w:rPr>
              <w:t>(1)(2)(3)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>($)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3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Value of Initial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Fixed $100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Investment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Based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Total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 xml:space="preserve">Shareholder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>Return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20"/>
              </w:rPr>
              <w:t>($)</w:t>
            </w: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z w:val="13"/>
              </w:rPr>
              <w:t>(4)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8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Net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Income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($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thousan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ds) </w:t>
            </w:r>
          </w:p>
        </w:tc>
      </w:tr>
      <w:tr>
        <w:trPr/>
        <w:tc>
          <w:tcPr>
            <w:tcW w:w="6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8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2,080,756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2,172,530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1,213,068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1,012,219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7.60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8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(10,055)</w:t>
            </w:r>
          </w:p>
        </w:tc>
      </w:tr>
      <w:tr>
        <w:trPr/>
        <w:tc>
          <w:tcPr>
            <w:tcW w:w="6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1,837,115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(910,783)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1,038,468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424,337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5.61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8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(41,455)</w:t>
            </w:r>
          </w:p>
        </w:tc>
      </w:tr>
      <w:tr>
        <w:trPr/>
        <w:tc>
          <w:tcPr>
            <w:tcW w:w="6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1,654,892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(22,452,927)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672,749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(4,718,732)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20.06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8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(27,009)</w:t>
            </w:r>
          </w:p>
        </w:tc>
      </w:tr>
      <w:tr>
        <w:trPr/>
        <w:tc>
          <w:tcPr>
            <w:tcW w:w="6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8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3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8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(1)Mr. Barrett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was our PEO and Mr. Schaffer and Ms. Muralidharan were our Non-PEO NEOs for each of the years reported.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(2)The amounts shown for Compensation Actually Paid have been calculated in accordance with Item 402(v) of Regulation S-K and do not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reflect compensation actually earned, realized, or received by the Company’s NEOs. These amounts reflect the Summary Compensation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Table Total with certain adjustments as described in footnote 3 below.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(3)Compensation Actually Paid reflects the exclusions and inclusions of certain amounts for the PEO and the Non-PEO NEOs as set forth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below. Equity values are calculated in accordance with FASB ASC Topic 718. Amounts in the Exclusion of Stock Awards and Option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Awards column are the totals from the Stock Awards and Option Awards columns set forth in the Summary Compensation Table.</w:t>
      </w:r>
    </w:p>
    <w:tbl>
      <w:tblPr>
        <w:tblW w:w="927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6"/>
        <w:gridCol w:w="109"/>
        <w:gridCol w:w="1801"/>
        <w:gridCol w:w="109"/>
        <w:gridCol w:w="2266"/>
        <w:gridCol w:w="109"/>
        <w:gridCol w:w="2206"/>
        <w:gridCol w:w="109"/>
        <w:gridCol w:w="1951"/>
      </w:tblGrid>
      <w:tr>
        <w:trPr/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Year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Summary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Table Total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PEO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Exclusion of Stock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and Option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for 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Inclusion of 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Values for 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Actually Paid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6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2,080,756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(221,526)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313,301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2,172,530</w:t>
            </w:r>
          </w:p>
        </w:tc>
      </w:tr>
      <w:tr>
        <w:trPr/>
        <w:tc>
          <w:tcPr>
            <w:tcW w:w="6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0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963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6"/>
        <w:gridCol w:w="109"/>
        <w:gridCol w:w="2161"/>
        <w:gridCol w:w="109"/>
        <w:gridCol w:w="2266"/>
        <w:gridCol w:w="109"/>
        <w:gridCol w:w="2206"/>
        <w:gridCol w:w="109"/>
        <w:gridCol w:w="1951"/>
      </w:tblGrid>
      <w:tr>
        <w:trPr/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Year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6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Summary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Table Average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for Non-PEO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NEOs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Exclusion of Stock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and Option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Awards for Non-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PEO NEOs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Inclusion of 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Values for Non-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PEO NEOs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Actually Paid to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Non-PEO NEOs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6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6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1,213,068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(241,819)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40,970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1,012,219</w:t>
            </w:r>
          </w:p>
        </w:tc>
      </w:tr>
      <w:tr>
        <w:trPr/>
        <w:tc>
          <w:tcPr>
            <w:tcW w:w="6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6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0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51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The amounts in the Inclusion of Equity Values in the tables above are derived from the amounts set forth in the following tables: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09"/>
        <w:gridCol w:w="109"/>
        <w:gridCol w:w="2326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28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6"/>
        <w:gridCol w:w="109"/>
        <w:gridCol w:w="1339"/>
        <w:gridCol w:w="109"/>
        <w:gridCol w:w="1332"/>
        <w:gridCol w:w="109"/>
        <w:gridCol w:w="1098"/>
        <w:gridCol w:w="109"/>
        <w:gridCol w:w="1325"/>
        <w:gridCol w:w="109"/>
        <w:gridCol w:w="1203"/>
        <w:gridCol w:w="109"/>
        <w:gridCol w:w="1209"/>
        <w:gridCol w:w="109"/>
        <w:gridCol w:w="1320"/>
      </w:tblGrid>
      <w:tr>
        <w:trPr/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Year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9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Year-End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Fair Value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Granted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During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That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Remained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Unvested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as of Last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Day of Year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for 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2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Change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Fair Value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from Last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Day of Prior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to Last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Day of Year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Unvested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8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Vesting-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Date Fair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Value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Granted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During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that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Vested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During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5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Change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Fair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Value from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Last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Day of Prior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Year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 Vesting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Date of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Unvested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Equity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Awards that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Vested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During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PEO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3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Fair Value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at Last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Day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Prior Year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Forfeited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During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9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Value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Dividends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or Other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Earnings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Paid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Otherwis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Included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for 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0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–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Inclusion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Values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6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2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228,094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8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162,324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(77,116)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313,301</w:t>
            </w:r>
          </w:p>
        </w:tc>
      </w:tr>
      <w:tr>
        <w:trPr/>
        <w:tc>
          <w:tcPr>
            <w:tcW w:w="6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2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8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5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3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0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6"/>
        <w:gridCol w:w="109"/>
        <w:gridCol w:w="1319"/>
        <w:gridCol w:w="109"/>
        <w:gridCol w:w="1305"/>
        <w:gridCol w:w="109"/>
        <w:gridCol w:w="1125"/>
        <w:gridCol w:w="109"/>
        <w:gridCol w:w="1299"/>
        <w:gridCol w:w="109"/>
        <w:gridCol w:w="1190"/>
        <w:gridCol w:w="109"/>
        <w:gridCol w:w="1203"/>
        <w:gridCol w:w="109"/>
        <w:gridCol w:w="1385"/>
      </w:tblGrid>
      <w:tr>
        <w:trPr/>
        <w:tc>
          <w:tcPr>
            <w:tcW w:w="6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16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Year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9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Year-End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Fair Value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Granted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During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That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Remained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Unvested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as of Last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Day of Year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for Non-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PEO NEOs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Change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Fair Value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from Last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Day of Prior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to Last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Day of Year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Unvested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Non-PEO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NEOs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Vesting-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Date Fair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Value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Granted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During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that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Vested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During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Non-PEO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NEOs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Change in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Fair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Value from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Last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Day of Prior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Year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 Vesting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Date of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Unvested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Equity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Awards that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Vested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During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Non-PEO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NEOs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0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Fair Value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at Last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Day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Prior Year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of 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Forfeited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During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Year for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Non-PEO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NEOs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3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Value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Dividends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or Other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Earnings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Paid on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Awards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Not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Otherwis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Included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for Non-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NEOs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5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Total –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Inclusion of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Values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for Non-PEO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NEOs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6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26,208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19,942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(5,180)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0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5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40,970</w:t>
            </w:r>
          </w:p>
        </w:tc>
      </w:tr>
      <w:tr>
        <w:trPr/>
        <w:tc>
          <w:tcPr>
            <w:tcW w:w="616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5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5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0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3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5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(4)Assumes $100 was invested for the period starting December 31, 2021, through the end of the listed year in each of the Company.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(5)Compensation Actually Paid to our PEO and Non-PEO NEOs in 2024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was not directly tied to any performance metric.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RELATIONSHIP BETWEEN COMPENSATION ACTUALLY PAID AND PERFORMANCE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below charts show the graphical relationship between Compensation Actually Paid to our PEO and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average of our Non-PEO NEOs (as shown in the above Pay versus Performance Table), and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following: Net Income (Loss) and TSR.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109"/>
        <w:gridCol w:w="109"/>
        <w:gridCol w:w="39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29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5838825" cy="3619500"/>
            <wp:effectExtent l="0" t="0" r="0" b="0"/>
            <wp:docPr id="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5838825" cy="3619500"/>
            <wp:effectExtent l="0" t="0" r="0" b="0"/>
            <wp:docPr id="8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09"/>
        <w:gridCol w:w="109"/>
        <w:gridCol w:w="2326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30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 xml:space="preserve">Proposal 3: Advisory Vote to Approve the </w:t>
      </w: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Company’s Executive Compensation (“Say-on-</w:t>
      </w: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Pay”)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 accordance with the requirements of Section 14A of the Exchange Act and Exchange Act Rule 14a-21(a),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we are requesting that our stockholders approve, on an advisory basis, the compensation paid to our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NEOs as disclosed in the “Executive Compensation” section of this Proxy Statement, including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compensation tables and the accompanying narrative disclosure contained therein, in accordance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the SEC’s compensation disclosure rules.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While the results of the vote are non-binding and advisory in nature, our Compensation Committee values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opinions expressed by stockholders in their vote on this proposal and intends to consider the results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of this vote in making future compensation decisions.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 considering their vote, stockholders are encouraged to read the "Executive Compensation" section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this Proxy Statement, including the accompanying compensation tables and the related narrative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disclosure.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Executive Committee on behalf of the Board endorses the Company’s executive compensation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program and unanimously recommends that stockholders vote in favor of the following resolution: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RESOLVED, that the compensation paid to the Company’s named executive officers, as disclosed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pursuant to Item 402 of Regulation S-K, including the compensation tables and narrative discussion, is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hereby APPROVED.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/>
          <w:strike w:val="false"/>
          <w:dstrike w:val="false"/>
          <w:color w:val="03D47C"/>
          <w:sz w:val="20"/>
          <w:u w:val="none"/>
          <w:effect w:val="none"/>
        </w:rPr>
        <w:t>Frequency of Say-on-Pay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At our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Annual Meeting of Stockholders, held on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June 21, 2023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our stockholders recommended an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annual say-on-pay vote, and our Executive Committee, on behalf of our Board of Directors, subsequently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adopted that recommendation. Accordingly, our next advisory say-on-pay vote (following the non-binding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advisory vote at this Annual Meeting) is expected to occur at our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Annual Meeting.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51"/>
        <w:gridCol w:w="109"/>
        <w:gridCol w:w="2791"/>
        <w:gridCol w:w="2791"/>
        <w:gridCol w:w="3963"/>
      </w:tblGrid>
      <w:tr>
        <w:trPr/>
        <w:tc>
          <w:tcPr>
            <w:tcW w:w="5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85750" cy="285750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4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Our Executive Committee on behalf of our Board of Directors unanimously recommends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that you vote “FOR” the approval, on an advisory basis, of the compensation of our named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executive officers.</w:t>
            </w:r>
          </w:p>
        </w:tc>
      </w:tr>
    </w:tbl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109"/>
        <w:gridCol w:w="109"/>
        <w:gridCol w:w="39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31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Equity Compensation Plan Information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following table provides information as of as of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2024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with respect to the shares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Company’s common stock that may be issued under the Company’s existing compensation plans.</w:t>
      </w:r>
    </w:p>
    <w:tbl>
      <w:tblPr>
        <w:tblW w:w="885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171"/>
        <w:gridCol w:w="109"/>
        <w:gridCol w:w="1291"/>
        <w:gridCol w:w="109"/>
        <w:gridCol w:w="1351"/>
        <w:gridCol w:w="109"/>
        <w:gridCol w:w="1711"/>
      </w:tblGrid>
      <w:tr>
        <w:trPr/>
        <w:tc>
          <w:tcPr>
            <w:tcW w:w="4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7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Plan Category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Securities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 be Issued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Upon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Exercise of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Outstanding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Options,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Warrants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and Rights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>Weighted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>Average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>Exercise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>Price of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>Outstanding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>Options,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>Warrants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20"/>
              </w:rPr>
              <w:t>and Rights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13"/>
              </w:rPr>
              <w:t>(1)</w:t>
            </w:r>
          </w:p>
        </w:tc>
        <w:tc>
          <w:tcPr>
            <w:tcW w:w="109" w:type="dxa"/>
            <w:tcBorders>
              <w:top w:val="single" w:sz="16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1" w:type="dxa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Securities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Remaining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Available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for Future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Issuance Under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Compensation 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Plans</w:t>
            </w:r>
          </w:p>
        </w:tc>
      </w:tr>
      <w:tr>
        <w:trPr/>
        <w:tc>
          <w:tcPr>
            <w:tcW w:w="417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compensation plans approved by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security holders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7,804,151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13"/>
              </w:rPr>
              <w:t>(2)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$2.29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20"/>
                <w:u w:val="none"/>
                <w:effect w:val="none"/>
              </w:rPr>
              <w:t>20,879,081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z w:val="13"/>
              </w:rPr>
              <w:t>(3)</w:t>
            </w:r>
          </w:p>
        </w:tc>
      </w:tr>
      <w:tr>
        <w:trPr/>
        <w:tc>
          <w:tcPr>
            <w:tcW w:w="417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 xml:space="preserve">Equity compensation plans not approved 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by security holders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17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Totals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7,804,151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$2.29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1" w:type="dxa"/>
            <w:tcBorders>
              <w:top w:val="single" w:sz="8" w:space="0" w:color="000000"/>
              <w:bottom w:val="double" w:sz="8" w:space="0" w:color="000000"/>
            </w:tcBorders>
            <w:shd w:fill="CCEE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20,879,081</w:t>
            </w:r>
          </w:p>
        </w:tc>
      </w:tr>
      <w:tr>
        <w:trPr/>
        <w:tc>
          <w:tcPr>
            <w:tcW w:w="4171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>
              <w:top w:val="doub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top w:val="doub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1" w:type="dxa"/>
            <w:tcBorders>
              <w:top w:val="double" w:sz="8" w:space="0" w:color="000000"/>
              <w:bottom w:val="single" w:sz="8" w:space="0" w:color="000000"/>
            </w:tcBorders>
            <w:shd w:fill="FFFFFF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(1)The weighted average exercise price is calculated based solely on the exercise prices of the outstanding options and does not reflect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the shares that will be issued upon the vesting of outstanding RSUs, which have no exercise price.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(2)Includes shares subject to outstanding awards granted, of which 3,759,580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shares are subject to outstanding options and 4,044,571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shares are subject to outstanding RSUs.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(3)Includes 20,879,081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available for future issuance under our 2021 Incentive Award Plan or our 2021 Stock Purchase and Matching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Plan.  The share reserve will be increased annually on January 1 of each year through January 1, 2031 by a number of shares equal to 6%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of the aggregate number of shares of all classes of the Company’s common stock outstanding on the last day of the immediately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preceding calendar year, or such lesser number of shares as determined by our Board or the Compensation Committee. 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09"/>
        <w:gridCol w:w="109"/>
        <w:gridCol w:w="2326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32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 xml:space="preserve">Security Ownership of Certain Beneficial Owners </w:t>
      </w: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and Management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following table sets forth information with respect to beneficial ownership of our common stock as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22,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for (i) each of our directors, (ii) each person known to us to be the beneficial owner of more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than five percent of any class of our voting securities, (iii) each of our named executive officers, and (iv) all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of our current executive officers and directors as a group.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We have determined beneficial ownership in accordance with the rules of the SEC, and thus it represents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sole or shared voting or investment power with respect to our securities. Unless otherwise indicated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below, to our knowledge, the persons and entities named in the table have sole voting and sole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investment power with respect to all shares that they beneficially owned as of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22, 2025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subject to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community property laws where applicable. We have deemed shares of our common stock subject to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stock options that are currently exercisable or will be exercisable within 60 days of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22,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or net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issuable pursuant to RSUs which are subject to vesting and settlement conditions expected to occur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within 60 days of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22, 2025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to be outstanding and to be beneficially owned by the person holding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stock option or RSU for the purpose of computing the percentage ownership of that person. However,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other than the shares of our Class A, LT10 or LT50 common stock net issued upon the vesting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settlement of RSUs as described below, we did not deem these shares subject to stock options or RSUs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outstanding for the purpose of computing the percentage ownership of any other person or entity. The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percentage of shares beneficially owned is based on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80,375,990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shares of Class A common stock,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4,209,827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shares of LT10 common stock and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7,794,109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shares of LT50 common stock outstanding as of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22, 2025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Unless otherwise indicated, the address of each beneficial owner listed in the table below is c/o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Expensify, Inc., 401 SW 5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13"/>
        </w:rPr>
        <w:t>th</w:t>
      </w:r>
      <w:r>
        <w:rPr>
          <w:caps w:val="false"/>
          <w:smallCaps w:val="fals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Ave, Portland, Oregon 97204.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109"/>
        <w:gridCol w:w="109"/>
        <w:gridCol w:w="39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33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Each of the stockholders listed has sole voting and investment power with respect to the shares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beneficially owned by the stockholder unless noted otherwise, subject to community property laws where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applicable.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883"/>
        <w:gridCol w:w="109"/>
        <w:gridCol w:w="931"/>
        <w:gridCol w:w="109"/>
        <w:gridCol w:w="611"/>
        <w:gridCol w:w="109"/>
        <w:gridCol w:w="931"/>
        <w:gridCol w:w="109"/>
        <w:gridCol w:w="716"/>
        <w:gridCol w:w="109"/>
        <w:gridCol w:w="931"/>
        <w:gridCol w:w="109"/>
        <w:gridCol w:w="716"/>
        <w:gridCol w:w="109"/>
        <w:gridCol w:w="723"/>
      </w:tblGrid>
      <w:tr>
        <w:trPr/>
        <w:tc>
          <w:tcPr>
            <w:tcW w:w="38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8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1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Class A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LT10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LT50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83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Name of Beneficial Owner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>
              <w:top w:val="single" w:sz="8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%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" w:type="dxa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% of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voting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power</w:t>
            </w:r>
          </w:p>
        </w:tc>
      </w:tr>
      <w:tr>
        <w:trPr/>
        <w:tc>
          <w:tcPr>
            <w:tcW w:w="388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 xml:space="preserve">Named Executive Officers, Directors and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Director Nominees: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" w:type="dxa"/>
            <w:tcBorders>
              <w:top w:val="single" w:sz="8" w:space="0" w:color="000000"/>
            </w:tcBorders>
            <w:shd w:fill="CCEEF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8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David Barrett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(1)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.................................................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3,237,598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4.0%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375,356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8.9%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3,785,733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48.6%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38.2%</w:t>
            </w:r>
          </w:p>
        </w:tc>
      </w:tr>
      <w:tr>
        <w:trPr/>
        <w:tc>
          <w:tcPr>
            <w:tcW w:w="388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Ryan Schaffer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(2)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...............................................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442,936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498,090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11.8%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54,915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1.6%</w:t>
            </w:r>
          </w:p>
        </w:tc>
      </w:tr>
      <w:tr>
        <w:trPr/>
        <w:tc>
          <w:tcPr>
            <w:tcW w:w="388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Anu Muralidharan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(3)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........................................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111,518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114,140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2.7%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134,208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1.7%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1.6%</w:t>
            </w:r>
          </w:p>
        </w:tc>
      </w:tr>
      <w:tr>
        <w:trPr/>
        <w:tc>
          <w:tcPr>
            <w:tcW w:w="388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Jason Mills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(4)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...................................................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321,106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585,322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13.9%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573,138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7.4%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6.8%</w:t>
            </w:r>
          </w:p>
        </w:tc>
      </w:tr>
      <w:tr>
        <w:trPr/>
        <w:tc>
          <w:tcPr>
            <w:tcW w:w="388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Daniel Vidal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(5)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..................................................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404,074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112,650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2.7%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152,194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2.0%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1.8%</w:t>
            </w:r>
          </w:p>
        </w:tc>
      </w:tr>
      <w:tr>
        <w:trPr/>
        <w:tc>
          <w:tcPr>
            <w:tcW w:w="388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Timothy L. Christen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........................................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198,524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388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Ying (Vivian) Liu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..............................................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114,849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388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Ellen Pao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..........................................................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117,778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388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All current executive officers, directors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and director nominees as a group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(8 persons)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(6)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...................................................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4,948,383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6.0%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1,685,558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40.0%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4,700,188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60.3%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50.0%</w:t>
            </w:r>
          </w:p>
        </w:tc>
      </w:tr>
      <w:tr>
        <w:trPr/>
        <w:tc>
          <w:tcPr>
            <w:tcW w:w="388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5% 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Stockholders: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8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Expensify Voting Trust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(7)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4,209,827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7,794,109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100.0%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84.3%</w:t>
            </w:r>
          </w:p>
        </w:tc>
      </w:tr>
      <w:tr>
        <w:trPr/>
        <w:tc>
          <w:tcPr>
            <w:tcW w:w="388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Octopus Head Inc.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(8)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.......................................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6,456,400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8.0%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" w:type="dxa"/>
            <w:tcBorders/>
            <w:shd w:fill="CCEE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1.3%</w:t>
            </w:r>
          </w:p>
        </w:tc>
      </w:tr>
      <w:tr>
        <w:trPr/>
        <w:tc>
          <w:tcPr>
            <w:tcW w:w="388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Steve McLaughlin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(9)</w:t>
            </w:r>
            <w:r>
              <w:rPr>
                <w:caps w:val="false"/>
                <w:smallCaps w:val="false"/>
              </w:rPr>
              <w:t xml:space="preserve"> </w:t>
            </w:r>
            <w:r>
              <w:rPr>
                <w:rFonts w:ascii="Times New Roman;sans-serif" w:hAnsi="Times New Roman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B4B4B4"/>
                <w:sz w:val="16"/>
                <w:u w:val="none"/>
                <w:effect w:val="none"/>
              </w:rPr>
              <w:t>........................................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9,892,832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12.3%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1.9%</w:t>
            </w:r>
          </w:p>
        </w:tc>
      </w:tr>
      <w:tr>
        <w:trPr/>
        <w:tc>
          <w:tcPr>
            <w:tcW w:w="388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6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3" w:type="dxa"/>
            <w:tcBorders>
              <w:bottom w:val="single" w:sz="8" w:space="0" w:color="000000"/>
            </w:tcBorders>
            <w:shd w:fill="CCEE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* Represents less than 1%.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(1)Consists of (i) 1,344,270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Class A common stock that may be acquired pursuant to the exercise of stock options within 60 days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of April 22, 2025, (ii) 219,584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shares of Class A common stock held directly by Mr. Barrett, 2,437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LT10 common stock and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202,484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 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shares of LT50 common stock held directly by Mr. Barrett through the Expensify Voting Trust and (iii) 1,673,744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Class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A common stock held directly by Barrett Trust LLC, 372,919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shares of LT10 common stock and 3,583,249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LT50 common stock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held directly by Barrett Trust LLC through the Expensify Voting Trust. Barrett Trust LLC is a manager-managed limited liability company.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The investment and voting decisions of Barrett Trust LLC are made by its manager, Mr. Barrett, and its controlling member is the Barrett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Family Trust, for which Mr. Barrett serves as trustee. In such capacities, Mr. Barrett may be deemed to beneficially own such shares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beneficially owned by Barrett Trust LLC. As of April 22, 2025, all of the 3,237,598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Class A common stock held directly by Mr.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Barrett and indirectly by Barrett Trust LLC were pledged as collateral to secure a personal loan.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(2)Includes 286,043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Class A common stock that may be acquired pursuant to the exercise of stock options within 60 days of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April 22, 2025.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(3)Includes 36,300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Class A common stock that may be acquired pursuant to the exercise of stock options within 60 days of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April 22, 2025.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(4)Consists of (i) 10,130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Class A common stock that may be acquired pursuant to the exercise of stock options within 60 days of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April 22, 2025, (ii) 310,976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shares of Class A common stock held directly by Mr. Mills, 8,602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shares of LT10 common stock and 38,213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shares of LT50 common stock held directly by Mr. Mills through the Expensify Voting Trust and (iii) 576,720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LT10 common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stock and 534,925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LT50 common stock held directly by LILJK LLC through the Expensify Voting Trust. LILIJK LLC is a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manager-managed limited liability company. The investment and voting decisions of LILIJK LLC are made by its manager, Mr. Mills, and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its controlling member is the Figueroa-Mills Family Revocable Trust, for which Mr. Mills serves as trustee. In such capacities, Mr. Mills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may be deemed to beneficially own such shares beneficially owned by LILIJK LLC.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(5)Includes 151,280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Class A common stock that may be acquired pursuant to the exercise of stock options within 60 days of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April 22, 2025.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(6)Includes 1,828,023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Class A common stock that may be acquired pursuant to the exercise of stock options within 60 days of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April 22, 2025.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(7)Consists of shares of LT10 and LT50 common stock held indirectly by the Trust Beneficiaries through a voting trust of which David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Barrett, Garrett Knight and Jason Mills are the trustees. All decisions with respect to the voting of the shares of LT10 and LT50 common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stock, as well as any other shares of any class of common stock held in the Voting Trust from time to time, will be made by the trustees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of the Voting Trust in their sole and absolute discretion, with no responsibility under the Voting Trust Agreement as stockholder, trustee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or otherwise, except for his or her own individual malfeasance.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(8)Based solely on information contained in a Schedule 13G filed with the SEC on January 27, 2023. According to the 13G, Octopus Head,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Inc. (“Octopus Head”) beneficially owns 6,456,400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Class A common stock, with shared power to vote and shared power to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dispose of all such shares. 415 Foundation is the sole stockholder of Octopus Head and in such capacity may be deemed to share voting 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09"/>
        <w:gridCol w:w="109"/>
        <w:gridCol w:w="2326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34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and dispositive power over such shares. Witold Stankiewicz is the sole director of Octopus Head and the controlling person of 415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Foundation, and in such capacity may be deemed to share voting and dispositive power over such shares. The principal business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address of Octopus Head, 415 Foundation and Mr. Stankiewicz is PH Panamera Residences, Apt. 2806, Calle 47 Este, Bella Vista,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Panama City, Panama.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(9)Based solely on information contained in a Schedule 13G filed with the SEC on November 13, 2023. According to the Schedule 13G, Mr. </w:t>
      </w:r>
    </w:p>
    <w:p>
      <w:pPr>
        <w:pStyle w:val="TextBody"/>
        <w:bidi w:val="0"/>
        <w:spacing w:lineRule="atLeast" w:line="15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McLaughlin beneficially owns 9,892,832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 xml:space="preserve">shares of Class A common stock, with sole power to vote and sole power to dispose of all such </w:t>
      </w:r>
    </w:p>
    <w:p>
      <w:pPr>
        <w:pStyle w:val="TextBody"/>
        <w:bidi w:val="0"/>
        <w:spacing w:lineRule="atLeast" w:line="15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15"/>
          <w:u w:val="none"/>
          <w:effect w:val="none"/>
        </w:rPr>
        <w:t>shares. The address of Mr. McLaughlin is 1521 Alton Road, #345, Miami Beach, FL 33139.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109"/>
        <w:gridCol w:w="109"/>
        <w:gridCol w:w="39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35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 xml:space="preserve">Certain Relationships and Related Party </w:t>
      </w: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Transactions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EMPLOYMENT ARRANGEMENTS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From January 1,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through March 31,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Mr. Mills received an aggregate of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$1,462,774.48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cash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compensation and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$390,964.33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stock based compensation in connection with his employment with us as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Chief Product Officer.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From January 1,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through March 31,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Mr. Vidal received an aggregate of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$1,113,046.89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cash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compensation and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$273,156.38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stock based compensation in connection with his employment with us as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a Chief Strategy Officer.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SHARE REPURCHASE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On August 28, 2024, we entered into a purchase and sale agreement with Barrett Trust LLC, pursuant to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which we purchased an aggregate of 645,938 shares of our Class A common stock from Barrett Trust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LLC. Barrett Trust LLC is a manager-managed limited liability company, and its investment and voting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decisions are made by its manager, David Barrett, who is also our CEO and a director of the Company.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aggregate purchase price for the repurchase transaction was $1,510,455.90. At the closing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transaction, which was made pursuant to our repurchase program, the 645,938 repurchased shares were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retired and resumed the status of authorized but unissued shares.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THE VOTING TRUST AND VOTING TRUST AGREEMENT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 connection with the exchange offer, we entered into the Voting Trust Agreement, dated as of November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9, 2021, with all LT Holders and the Trustees. The Voting Trust Agreement is intended to maintain a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centralized decision-making process centered around our employees, encourage our employees to hold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common stock for the long-term and provide an orderly process for the conversion and transfer of our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LT10 and LT50 common stock pursuant to our amended and restated certificate of incorporation. All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outstanding shares of our LT10 and LT50 common stock are held by the Voting Trust, and will be for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foreseeable future pursuant to the terms of the Voting Trust Agreement and our amended and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restated certificate of incorporation. From time to time, employees and other service providers may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deposit additional voting securities of the company in the Voting Trust, including Class A common stock,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will enter into a joinder agreement to become a party to the Voting Trust Agreement if such employee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is not then a party. Shares of Class A common stock held by the Voting Trust may be withdrawn by their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beneficial holder in certain circumstances.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current Trustees of the Voting Trust are David Barrett, our director and CEO, Garrett Knight, our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Director of Sales, and Jason Mills, our director and Chief Product Officer.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If at any time a Trustee (i) is unable or unwilling to serve as a Trustee by reason of death, incapacity or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otherwise, (ii) ceases to be an Expensify employee or other service provider to Expensify, or (iii) is, after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November 9, 2022, no longer one of the three holders of voting securities with the highest voting power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held by the Voting Trust, unless the holder or holders with higher voting power have rejected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opportunity to serve as Trustee or are otherwise unable or unwilling to serve as Trustee, then such Trustee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shall resign or be removed. Successor Trustees will be appointed by majority vote of the remaining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Trustees, or if there are no remaining Trustees, by our Board of Directors. The policy of the Trustees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respect to appointment of each successor Trustee is to offer the opportunity to serve as such Trustee to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the holder of voting securities held by the Voting Trust who is then an employee of or service provider to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Expensify and beneficially owns voting securities with the highest voting power (other than the then-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existing Trustees). The policy of the Trustees is to first offer the opportunity to serve as successor Trustee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to the Expensify employee or service provider holder holding voting securities with the next-highest voting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power held by the Voting Trust. If such holder does not accept this offer within ten days, then the Trustees 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09"/>
        <w:gridCol w:w="109"/>
        <w:gridCol w:w="2326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36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will offer the opportunity to serve as successor Trustee to the Expensify employee or service provider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holder holding voting securities with the next-highest voting power, and so on, until a holder accepts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offer to serve as Trustee. When calculating "voting power" in connection with Trustee service, if Notice (as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defined in our amended and restated certificate of incorporation) has been given with respect to any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shares held by the current or potential Trustee, then the number of votes attributed to each LT10 or LT50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share held by such individual shall be proportionately reduced by the amount of time that has passed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under the applicable notice period (i.e., a one-vote reduction for each one month that has passed since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Notice was given).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Under the Voting Trust Agreement, the Trustees make all decisions with respect to the voting (but not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disposition) of the shares of common stock contributed to the Voting Trust, together with any future voting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securities received in respect of such common stock by way of a stock dividend, distribution, conversion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or exchange, in their sole and absolute discretion (including in his or her own interest as a holder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Expensify voting securities), and shall incur no responsibility under the Voting Trust Agreement as a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stockholder, trustee or otherwise, except for his or her own individual malfeasance. The acting Trustees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have the power to vote all securities held by the Voting Trust in their sole and absolute discretion as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determined by a majority of the Trustees. Although the Voting Trust Agreement does not require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Trustees to use specific criteria when determining how to vote the securities held by the Voting Trust,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qualifications required for an individual to serve as a Trustee are intended to provide alignment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interests of the other beneficial holders. The three Trustees will at all times be employees or other service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providers of the Company, and will be among the largest holders of our restricted LT10 and LT50 common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stock. We believe that these qualifications will result in the Trustees making decisions based on the long-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term interests of the Company, its employees and service providers. Although it contains certain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arbitration provisions, nothing in the Voting Trust Agreement precludes stockholders' rights to pursue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claims under the United States federal securities laws. The Voting Trust is irrevocable and terminates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upon the earlier of the written agreement between us and the Trustees and the date on which all shares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LT10 and LT50 common stock automatically convert into shares of Class A common stock in accordance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with the terms of our amended and restated certificate of incorporation. As of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April 22, 2025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the Voting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Trust controlled approximately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84.3%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of the total voting power of the Company.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EXPENSIFY.ORG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 November 2019, Expensify.org was formed as a 501(c)(3) non-profit public benefit corporation to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empower individuals and communities to eliminate injustice around the world by making giving and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volunteering more convenient, meaningful and collaborative. We have the right to designate the members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terms of office of Expensify.org’s board of directors, and we have designated Messrs. Barrett and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Schaffer as members of the board.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INDEMNIFICATION AGREEMENTS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We have entered into indemnification agreements with each of our current directors and officers. Our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amended and restated certificate of incorporation provides rights to indemnification and advancement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expenses to our current and former officers, directors, employees and agents and to any person who is or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was serving at the request of the Company as a director, officer, employee or agent of another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corporation, partnership, joint venture, trust or other enterprise. Our amended and restated bylaws provide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that we will indemnify our directors and officers to the fullest extent permitted by applicable law.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20"/>
          <w:u w:val="none"/>
          <w:effect w:val="none"/>
        </w:rPr>
        <w:t>POLICIES AND PROCEDURES FOR RELATED PERSON TRANSACTIONS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Board has adopted a written policy that our executive officers, directors, nominees for election as a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director, beneficial owners of more than 5% of any class of our common stock and any members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immediate family of any of the foregoing persons are not permitted to enter into a related person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transaction with us without the approval or ratification of our Board of Directors or our Audit Committee.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Any request for us to enter into a transaction with an executive officer, director, nominee for election as a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director, beneficial owner of more than 5% of any class of our common stock or any member of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immediate family of any of the foregoing persons, in which the amount involved exceeds $120,000 and 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109"/>
        <w:gridCol w:w="109"/>
        <w:gridCol w:w="39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37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such person would have a direct or indirect interest, must be presented to our Board of Directors or our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Audit Committee for review, consideration and approval. In approving or rejecting any such proposal, our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Board of Directors or our Audit Committee is to consider the material facts of the transaction, including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whether the transaction is on terms no less favorable than terms generally available to an unaffiliated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third party under the same or similar circumstances and the extent of the related person’s interest in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transaction.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09"/>
        <w:gridCol w:w="109"/>
        <w:gridCol w:w="2326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38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Stockholder Proposals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Stockholders may present proposals for action at a future meeting only if they comply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requirements of the proxy rules established by the SEC and our amended and restated bylaws.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Pursuant to Rule 14a-8 under the Exchange Act, stockholder proposals that are intended to be presented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at our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Annual Meeting and included in the proxy statement, form of proxy and other proxy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solicitation materials related to that meeting must be received by us no later than December 26,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2025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.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Stockholders intending to present a proposal at our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Annual Meeting, but not include the proposal in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proxy statement, or to nominate a person for election as a director must comply with the requirements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set forth in our amended and restated bylaws, including requirements with respect to advance notice of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stockholder proposals and director nominations. Under our amended and restated bylaws, the deadline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for submitting such a stockholder proposal or a nomination for a director that you intend to present at our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Annual Meeting is no later than the close of business on March 15,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, nor earlier than February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13,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Stockholder proposals must comply with all requirements and applicable rules of the SEC, be in writing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and be addressed to our Corporate Secretary, at our principal executive offices at 401 SW 5th Ave,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Portland, OR 97204. It is recommended that stockholders submitting proposals utilize certified mail,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return receipt requested, in order to provide proof of timely receipt. The Chairman of the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Annual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Meeting reserves the right to reject, rule out of order or take other appropriate action with respect to any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proposal or director nominee that does not comply with these and other applicable requirements,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including conditions set forth in our amended and restated bylaws and requirements established by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SEC.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 addition to satisfying the requirements under our amended and restated bylaws, to comply with the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universal proxy rules, stockholders who intend to solicit proxies in support of director nominees other than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nominees must provide notice to the Company that sets forth the information required by Rule 14a-19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under the Exchange Act no later than April 14,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We intend to file a proxy statement and WHITE proxy card with the SEC in connection with the solicitation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of proxies for our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2026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Annual Meeting.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Delinquent Section 16(a) Reports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Section 16(a) of the Exchange Act requires our directors, executive officers and any persons who own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more than 10% of our common stock to file initial reports of ownership and reports of changes in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ownership with the SEC. Such persons are required by SEC regulation to furnish us with copies of all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Section 16(a) forms that they file. To our knowledge, based solely on our review of the copies of such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forms furnished to us and written representations from our directors and executive officers, we believe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that all Section 16(a) filing requirements were timely met in the year ended December 31, 2024,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except for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one Form 4 representing two transactions, two Form 4s each representing three transactions, four Form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4s each representing four transactions, three Form 4s each representing five transactions, one Form 4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representing seven transactions, two Form 4s each representing nine transactions and one Form 4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representing ten transactions for Mr. Barrett, one Form 4 representing one transaction, three Form 4s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representing two transactions and two Form 4s each representing five transactions for Mr. Schaffer, three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Form 4s each representing one transaction, two Form 4s each representing three transactions and two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Form 4s each representing four transactions for Ms. Muralidharan, one Form 4 representing one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transaction, two Form 4s each representing two transactions and two Form 4s each representing five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transactions for Mr. Mills, three Form 4s each representing one transaction, two Form 4s each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representing two transactions and two Form 4s each representing five transactions for Mr. Vidal and one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Form 4 representing one transaction for Mr. Christen.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109"/>
        <w:gridCol w:w="109"/>
        <w:gridCol w:w="39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39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Other Matters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We do not know of any business, other than as described in this Proxy Statement, that should be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considered at the Annual Meeting. If any other matters should properly come before the Annual Meeting,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 xml:space="preserve">it is the intention of the persons named in the accompanying form of proxy to vote the proxies held by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them in accordance with their best judgment.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60" w:before="0" w:after="0"/>
        <w:jc w:val="left"/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</w:pPr>
      <w:r>
        <w:rPr>
          <w:rFonts w:ascii="Expensify New Kansas Medium;sans-serif" w:hAnsi="Expensify New Kansas Medium;sans-serif"/>
          <w:b/>
          <w:i w:val="false"/>
          <w:caps w:val="false"/>
          <w:smallCaps w:val="false"/>
          <w:strike w:val="false"/>
          <w:dstrike w:val="false"/>
          <w:color w:val="002E22"/>
          <w:sz w:val="36"/>
          <w:u w:val="none"/>
          <w:effect w:val="none"/>
        </w:rPr>
        <w:t>Annual Report on Form 10-K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For stockholders receiving paper copies of this Proxy Statement, a copy of our Annual Report (which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includes our Form 10-K for the fiscal year ended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2024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) will accompany the proxy statement.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For stockholders receiving the Notice only, this Proxy Statement and our Annual Report (which includes 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our Form 10-K for the fiscal year ended 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2024</w:t>
      </w: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) will be available electronically.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</w:rPr>
        <w:t xml:space="preserve">Copies of our Annual Report on Form 10-K for the fiscal year ended </w:t>
      </w:r>
      <w:r>
        <w:rPr>
          <w:rFonts w:ascii="Expensify Neue;sans-serif" w:hAnsi="Expensify Neue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December 31, 2024</w:t>
      </w:r>
      <w:r>
        <w:rPr>
          <w:caps w:val="false"/>
          <w:smallCaps w:val="false"/>
          <w:sz w:val="24"/>
        </w:rPr>
        <w:t xml:space="preserve"> </w:t>
      </w: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</w:rPr>
        <w:t xml:space="preserve">are also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</w:rPr>
        <w:t xml:space="preserve">available on our website, ir.expensify.com as well as www.proxyvote.com, or you may request a paper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</w:rPr>
        <w:t xml:space="preserve">copy of the Annual Report on Form 10-K (exclusive of exhibits and documents incorporated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</w:rPr>
        <w:t xml:space="preserve">reference), without charge, by writing to Expensify Investor Relations department at </w:t>
      </w:r>
    </w:p>
    <w:p>
      <w:pPr>
        <w:pStyle w:val="TextBody"/>
        <w:bidi w:val="0"/>
        <w:spacing w:lineRule="atLeast" w:line="200" w:before="0" w:after="0"/>
        <w:jc w:val="left"/>
        <w:rPr/>
      </w:pP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</w:rPr>
        <w:t>investors@expensify.com or by mail at EXFY Investor Relations, 401 SW 5</w:t>
      </w:r>
      <w:r>
        <w:rPr>
          <w:rFonts w:ascii="Expensify Neue;sans-serif" w:hAnsi="Expensify Neue;sans-serif"/>
          <w:b/>
          <w:i w:val="false"/>
          <w:caps w:val="false"/>
          <w:smallCaps w:val="false"/>
          <w:sz w:val="13"/>
        </w:rPr>
        <w:t>th</w:t>
      </w:r>
      <w:r>
        <w:rPr>
          <w:caps w:val="false"/>
          <w:smallCaps w:val="false"/>
        </w:rPr>
        <w:t xml:space="preserve"> </w:t>
      </w:r>
      <w:r>
        <w:rPr>
          <w:rFonts w:ascii="Expensify Neue;sans-serif" w:hAnsi="Expensify Neue;sans-serif"/>
          <w:b/>
          <w:i w:val="false"/>
          <w:caps w:val="false"/>
          <w:smallCaps w:val="false"/>
          <w:sz w:val="20"/>
        </w:rPr>
        <w:t>Ave, Portland, OR 97204.</w:t>
      </w:r>
      <w:r>
        <w:rPr>
          <w:caps w:val="false"/>
          <w:smallCaps w:val="false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Copies of exhibits and basic documents filed with the Annual Report on Form 10-K or referenced therein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 xml:space="preserve">will be furnished to stockholders upon written request and payment of a nominal fee in connection with </w:t>
      </w:r>
    </w:p>
    <w:p>
      <w:pPr>
        <w:pStyle w:val="TextBody"/>
        <w:bidi w:val="0"/>
        <w:spacing w:lineRule="atLeast" w:line="200" w:before="0" w:after="0"/>
        <w:jc w:val="left"/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</w:pPr>
      <w:r>
        <w:rPr>
          <w:rFonts w:ascii="Expensify Neue;sans-serif" w:hAnsi="Expensify Neue;sans-serif"/>
          <w:b w:val="false"/>
          <w:i w:val="false"/>
          <w:caps w:val="false"/>
          <w:smallCaps w:val="false"/>
          <w:sz w:val="20"/>
        </w:rPr>
        <w:t>the furnishing of such documents.</w:t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1"/>
        <w:gridCol w:w="109"/>
        <w:gridCol w:w="109"/>
        <w:gridCol w:w="2326"/>
      </w:tblGrid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40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5943600" cy="7663180"/>
            <wp:effectExtent l="0" t="0" r="0" b="0"/>
            <wp:docPr id="10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6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29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109"/>
        <w:gridCol w:w="109"/>
        <w:gridCol w:w="39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Expensify, Inc.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2025</w:t>
            </w:r>
            <w:r>
              <w:rPr>
                <w:caps w:val="false"/>
                <w:smallCaps w:val="false"/>
                <w:strike w:val="false"/>
                <w:dstrike w:val="false"/>
                <w:color w:val="03D47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Proxy Statement</w:t>
            </w:r>
          </w:p>
        </w:tc>
        <w:tc>
          <w:tcPr>
            <w:tcW w:w="109" w:type="dxa"/>
            <w:tcBorders>
              <w:right w:val="single" w:sz="8" w:space="0" w:color="03D47C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left w:val="single" w:sz="8" w:space="0" w:color="03D47C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</w:pPr>
            <w:r>
              <w:rPr>
                <w:rFonts w:ascii="Expensify Neue;sans-serif" w:hAnsi="Expensify Neue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3D47C"/>
                <w:sz w:val="20"/>
                <w:u w:val="none"/>
                <w:effect w:val="none"/>
              </w:rPr>
              <w:t>41</w:t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/>
      </w:pPr>
      <w:hyperlink w:anchor="i317ac705d2884b9eb57cd8abcee38fab_13">
        <w:r>
          <w:rPr>
            <w:rStyle w:val="InternetLink"/>
            <w:rFonts w:ascii="Expensify Neue;sans-serif" w:hAnsi="Expensify Neue;sans-serif"/>
            <w:b w:val="false"/>
            <w:i w:val="false"/>
            <w:caps w:val="false"/>
            <w:smallCaps w:val="false"/>
            <w:color w:val="03D47C"/>
            <w:sz w:val="20"/>
            <w:u w:val="single"/>
          </w:rPr>
          <w:t>Table of Contents</w:t>
        </w:r>
      </w:hyperlink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5943600" cy="7691755"/>
            <wp:effectExtent l="0" t="0" r="0" b="0"/>
            <wp:docPr id="11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9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Expensify Neue">
    <w:altName w:val="sans-serif"/>
    <w:charset w:val="01"/>
    <w:family w:val="auto"/>
    <w:pitch w:val="default"/>
  </w:font>
  <w:font w:name="Expensify New Kansas Medium">
    <w:altName w:val="sans-serif"/>
    <w:charset w:val="01"/>
    <w:family w:val="auto"/>
    <w:pitch w:val="default"/>
  </w:font>
  <w:font w:name="GT America Exp">
    <w:altName w:val="sans-serif"/>
    <w:charset w:val="01"/>
    <w:family w:val="auto"/>
    <w:pitch w:val="default"/>
  </w:font>
  <w:font w:name="Times New Roman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1.jpeg"/><Relationship Id="rId5" Type="http://schemas.openxmlformats.org/officeDocument/2006/relationships/image" Target="media/image3.jpeg"/><Relationship Id="rId6" Type="http://schemas.openxmlformats.org/officeDocument/2006/relationships/image" Target="media/image4.jpeg"/><Relationship Id="rId7" Type="http://schemas.openxmlformats.org/officeDocument/2006/relationships/image" Target="media/image4.jpeg"/><Relationship Id="rId8" Type="http://schemas.openxmlformats.org/officeDocument/2006/relationships/image" Target="media/image5.gif"/><Relationship Id="rId9" Type="http://schemas.openxmlformats.org/officeDocument/2006/relationships/image" Target="media/image6.gif"/><Relationship Id="rId10" Type="http://schemas.openxmlformats.org/officeDocument/2006/relationships/image" Target="media/image4.jpeg"/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8</Pages>
  <Words>19564</Words>
  <Characters>104365</Characters>
  <CharactersWithSpaces>122965</CharactersWithSpaces>
  <Paragraphs>2318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