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David Barrett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105024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199545.6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80549275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09/15/2025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04/29/2009 Founding shares</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90000</w:t>
            </w:r>
          </w:p>
        </w:tc>
        <w:tc>
          <w:tcPr>
            <w:tcW w:w="2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04/29/2009 Founding Shares</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09/15/2025 SPMP Purchase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2372</w:t>
            </w:r>
          </w:p>
        </w:tc>
        <w:tc>
          <w:tcPr>
            <w:tcW w:w="2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09/15/2025 RSU Vesting</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12652</w:t>
            </w:r>
          </w:p>
        </w:tc>
        <w:tc>
          <w:tcPr>
            <w:tcW w:w="2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07/01/2025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08/01/2025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09/01/2025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06/17/2025 2247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5123.16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06/20/2025 10589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23507.58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Note: Barrett Trust LLC is a manager-managed limited liability company. The investment and voting decisions of</w:t>
      </w:r>
    </w:p>
    <w:p>
      <w:pPr>
        <w:spacing w:after="0" w:line="14" w:lineRule="exact"/>
        <w:rPr>
          <w:sz w:val="20"/>
          <w:szCs w:val="20"/>
          <w:color w:val="auto"/>
        </w:rPr>
      </w:pPr>
    </w:p>
    <w:p>
      <w:pPr>
        <w:ind w:left="940" w:right="1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Barrett Trust LLC are made by its manager, David Barrett, and its controlling member is the Barrett Family Trust, for which David Barrett serves as trustee. Note for 3(e): As of August 4, 2025, as stated in Issuer's quarterly report on</w:t>
      </w:r>
    </w:p>
    <w:p>
      <w:pPr>
        <w:ind w:left="940"/>
        <w:spacing w:after="0"/>
        <w:rPr>
          <w:sz w:val="20"/>
          <w:szCs w:val="20"/>
          <w:color w:val="auto"/>
        </w:rPr>
      </w:pPr>
      <w:r>
        <w:rPr>
          <w:rFonts w:ascii="Times New Roman" w:cs="Times New Roman" w:eastAsia="Times New Roman" w:hAnsi="Times New Roman"/>
          <w:sz w:val="22"/>
          <w:szCs w:val="22"/>
          <w:color w:val="auto"/>
        </w:rPr>
        <w:t>Form 10-Q for the fiscal quarter ending June 30, 2025.</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09/15/2025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ectPr>
          <w:pgSz w:w="11900" w:h="16838" w:orient="portrait"/>
          <w:cols w:equalWidth="0" w:num="1">
            <w:col w:w="11240"/>
          </w:cols>
          <w:pgMar w:left="320" w:top="98" w:right="339" w:bottom="468"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468"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2025-09-15T20:16:28Z</dcterms:created>
  <dcterms:modified xsi:type="dcterms:W3CDTF">2025-09-15T20:16:28Z</dcterms:modified>
</cp:coreProperties>
</file>