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Liu Ying</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Expensify,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[EXFY]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Arial" w:cs="Arial" w:eastAsia="Arial" w:hAnsi="Arial"/>
                <w:sz w:val="17"/>
                <w:szCs w:val="17"/>
                <w:color w:val="0000FF"/>
              </w:rPr>
              <w:t>11/15/2021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Arial" w:cs="Arial" w:eastAsia="Arial" w:hAnsi="Arial"/>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PORTLAND</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OR</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97204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11/15/2021</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9,260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9,260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an award of restricted stock units ("RSUs") pursuant to the Non-Employee Director Compensation Program, which vest in twelve equal quarterly installments beginning on February 15, 2022, subject to the Reporting Person continuing in service on the Issuer's board of directors through such vesting date. Each RSU represents a contingent right to receive one share of Class A common stock.</w:t>
      </w:r>
    </w:p>
    <w:p>
      <w:pPr>
        <w:sectPr>
          <w:pgSz w:w="11900" w:h="16838" w:orient="portrait"/>
          <w:cols w:equalWidth="0" w:num="1">
            <w:col w:w="11080"/>
          </w:cols>
          <w:pgMar w:left="460" w:top="225" w:right="35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12/07/2021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2021-12-07T19:56:09Z</dcterms:created>
  <dcterms:modified xsi:type="dcterms:W3CDTF">2021-12-07T19:56:09Z</dcterms:modified>
</cp:coreProperties>
</file>