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20" w:type="dxa"/>
            <w:vAlign w:val="bottom"/>
          </w:tcPr>
          <w:p>
            <w:pPr>
              <w:ind w:left="40"/>
              <w:spacing w:after="0"/>
              <w:rPr>
                <w:sz w:val="20"/>
                <w:szCs w:val="20"/>
                <w:color w:val="auto"/>
              </w:rPr>
            </w:pPr>
            <w:r>
              <w:rPr>
                <w:rFonts w:ascii="Arial" w:cs="Arial" w:eastAsia="Arial" w:hAnsi="Arial"/>
                <w:sz w:val="22"/>
                <w:szCs w:val="22"/>
                <w:color w:val="auto"/>
              </w:rPr>
              <w:t>0001970717</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20" w:type="dxa"/>
            <w:vAlign w:val="bottom"/>
          </w:tcPr>
          <w:p>
            <w:pPr>
              <w:ind w:left="40"/>
              <w:spacing w:after="0"/>
              <w:rPr>
                <w:sz w:val="20"/>
                <w:szCs w:val="20"/>
                <w:color w:val="auto"/>
              </w:rPr>
            </w:pPr>
            <w:r>
              <w:rPr>
                <w:rFonts w:ascii="Arial" w:cs="Arial" w:eastAsia="Arial" w:hAnsi="Arial"/>
                <w:sz w:val="22"/>
                <w:szCs w:val="22"/>
                <w:color w:val="auto"/>
              </w:rPr>
              <w:t>XXXXXXXX</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20" w:type="dxa"/>
            <w:vAlign w:val="bottom"/>
          </w:tcPr>
          <w:p>
            <w:pPr>
              <w:spacing w:after="0"/>
              <w:rPr>
                <w:sz w:val="24"/>
                <w:szCs w:val="24"/>
                <w:color w:val="auto"/>
              </w:rPr>
            </w:pPr>
          </w:p>
        </w:tc>
        <w:tc>
          <w:tcPr>
            <w:tcW w:w="2420" w:type="dxa"/>
            <w:vAlign w:val="bottom"/>
          </w:tcPr>
          <w:p>
            <w:pPr>
              <w:ind w:left="860"/>
              <w:spacing w:after="0"/>
              <w:rPr>
                <w:sz w:val="20"/>
                <w:szCs w:val="20"/>
                <w:color w:val="auto"/>
              </w:rPr>
            </w:pPr>
            <w:r>
              <w:rPr>
                <w:rFonts w:ascii="Arial" w:cs="Arial" w:eastAsia="Arial" w:hAnsi="Arial"/>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20" w:type="dxa"/>
            <w:vAlign w:val="bottom"/>
          </w:tcPr>
          <w:p>
            <w:pPr>
              <w:spacing w:after="0"/>
              <w:rPr>
                <w:sz w:val="24"/>
                <w:szCs w:val="24"/>
                <w:color w:val="auto"/>
              </w:rPr>
            </w:pPr>
          </w:p>
        </w:tc>
        <w:tc>
          <w:tcPr>
            <w:tcW w:w="2420" w:type="dxa"/>
            <w:vAlign w:val="bottom"/>
          </w:tcPr>
          <w:p>
            <w:pPr>
              <w:ind w:left="860"/>
              <w:spacing w:after="0"/>
              <w:rPr>
                <w:sz w:val="20"/>
                <w:szCs w:val="20"/>
                <w:color w:val="auto"/>
              </w:rPr>
            </w:pPr>
            <w:r>
              <w:rPr>
                <w:rFonts w:ascii="Arial" w:cs="Arial" w:eastAsia="Arial" w:hAnsi="Arial"/>
                <w:sz w:val="22"/>
                <w:szCs w:val="22"/>
                <w:color w:val="auto"/>
              </w:rPr>
              <w:t>001-41043</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420" w:type="dxa"/>
            <w:vAlign w:val="bottom"/>
          </w:tcPr>
          <w:p>
            <w:pPr>
              <w:ind w:left="860"/>
              <w:spacing w:after="0"/>
              <w:rPr>
                <w:sz w:val="20"/>
                <w:szCs w:val="20"/>
                <w:color w:val="auto"/>
              </w:rPr>
            </w:pPr>
            <w:r>
              <w:rPr>
                <w:rFonts w:ascii="Arial" w:cs="Arial" w:eastAsia="Arial" w:hAnsi="Arial"/>
                <w:sz w:val="22"/>
                <w:szCs w:val="22"/>
                <w:color w:val="auto"/>
                <w:w w:val="96"/>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20" w:type="dxa"/>
            <w:vAlign w:val="bottom"/>
          </w:tcPr>
          <w:p>
            <w:pPr>
              <w:spacing w:after="0"/>
              <w:rPr>
                <w:sz w:val="21"/>
                <w:szCs w:val="21"/>
                <w:color w:val="auto"/>
              </w:rPr>
            </w:pPr>
          </w:p>
        </w:tc>
        <w:tc>
          <w:tcPr>
            <w:tcW w:w="2420" w:type="dxa"/>
            <w:vAlign w:val="bottom"/>
          </w:tcPr>
          <w:p>
            <w:pPr>
              <w:ind w:left="860"/>
              <w:spacing w:after="0" w:line="243" w:lineRule="exact"/>
              <w:rPr>
                <w:sz w:val="20"/>
                <w:szCs w:val="20"/>
                <w:color w:val="auto"/>
              </w:rPr>
            </w:pPr>
            <w:r>
              <w:rPr>
                <w:rFonts w:ascii="Arial" w:cs="Arial" w:eastAsia="Arial" w:hAnsi="Arial"/>
                <w:sz w:val="22"/>
                <w:szCs w:val="22"/>
                <w:color w:val="auto"/>
              </w:rPr>
              <w:t>Portland</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242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OREGON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420" w:type="dxa"/>
            <w:vAlign w:val="bottom"/>
          </w:tcPr>
          <w:p>
            <w:pPr>
              <w:ind w:left="860"/>
              <w:spacing w:after="0"/>
              <w:rPr>
                <w:sz w:val="20"/>
                <w:szCs w:val="20"/>
                <w:color w:val="auto"/>
              </w:rPr>
            </w:pPr>
            <w:r>
              <w:rPr>
                <w:rFonts w:ascii="Arial" w:cs="Arial" w:eastAsia="Arial" w:hAnsi="Arial"/>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20" w:type="dxa"/>
            <w:vAlign w:val="bottom"/>
          </w:tcPr>
          <w:p>
            <w:pPr>
              <w:spacing w:after="0"/>
              <w:rPr>
                <w:sz w:val="24"/>
                <w:szCs w:val="24"/>
                <w:color w:val="auto"/>
              </w:rPr>
            </w:pPr>
          </w:p>
        </w:tc>
        <w:tc>
          <w:tcPr>
            <w:tcW w:w="2420" w:type="dxa"/>
            <w:vAlign w:val="bottom"/>
          </w:tcPr>
          <w:p>
            <w:pPr>
              <w:ind w:left="860"/>
              <w:spacing w:after="0"/>
              <w:rPr>
                <w:sz w:val="20"/>
                <w:szCs w:val="20"/>
                <w:color w:val="auto"/>
              </w:rPr>
            </w:pPr>
            <w:r>
              <w:rPr>
                <w:rFonts w:ascii="Arial" w:cs="Arial" w:eastAsia="Arial" w:hAnsi="Arial"/>
                <w:sz w:val="22"/>
                <w:szCs w:val="22"/>
                <w:color w:val="auto"/>
              </w:rPr>
              <w:t>9713653939</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420" w:type="dxa"/>
            <w:vAlign w:val="bottom"/>
          </w:tcPr>
          <w:p>
            <w:pPr>
              <w:ind w:left="860"/>
              <w:spacing w:after="0"/>
              <w:rPr>
                <w:sz w:val="20"/>
                <w:szCs w:val="20"/>
                <w:color w:val="auto"/>
              </w:rPr>
            </w:pPr>
            <w:r>
              <w:rPr>
                <w:rFonts w:ascii="Arial" w:cs="Arial" w:eastAsia="Arial" w:hAnsi="Arial"/>
                <w:sz w:val="22"/>
                <w:szCs w:val="22"/>
                <w:color w:val="auto"/>
                <w:w w:val="91"/>
              </w:rPr>
              <w:t>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*See note 2(a) in Remarks below</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Raymod James &amp;</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Class A 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880 Carillon Parkway</w:t>
            </w:r>
          </w:p>
        </w:tc>
        <w:tc>
          <w:tcPr>
            <w:tcW w:w="13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440000</w:t>
            </w:r>
          </w:p>
        </w:tc>
        <w:tc>
          <w:tcPr>
            <w:tcW w:w="1140" w:type="dxa"/>
            <w:vAlign w:val="bottom"/>
          </w:tcPr>
          <w:p>
            <w:pPr>
              <w:jc w:val="right"/>
              <w:ind w:right="232"/>
              <w:spacing w:after="0" w:line="243" w:lineRule="exact"/>
              <w:rPr>
                <w:sz w:val="20"/>
                <w:szCs w:val="20"/>
                <w:color w:val="auto"/>
              </w:rPr>
            </w:pPr>
            <w:r>
              <w:rPr>
                <w:rFonts w:ascii="Arial" w:cs="Arial" w:eastAsia="Arial" w:hAnsi="Arial"/>
                <w:sz w:val="22"/>
                <w:szCs w:val="22"/>
                <w:color w:val="auto"/>
                <w:w w:val="91"/>
              </w:rPr>
              <w:t>1887600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33716</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120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6"/>
              <w:spacing w:after="0"/>
              <w:rPr>
                <w:sz w:val="20"/>
                <w:szCs w:val="20"/>
                <w:color w:val="auto"/>
              </w:rPr>
            </w:pPr>
            <w:r>
              <w:rPr>
                <w:rFonts w:ascii="Arial" w:cs="Arial" w:eastAsia="Arial" w:hAnsi="Arial"/>
                <w:sz w:val="22"/>
                <w:szCs w:val="22"/>
                <w:color w:val="auto"/>
                <w:w w:val="85"/>
              </w:rPr>
              <w:t>68420787</w:t>
            </w:r>
          </w:p>
        </w:tc>
        <w:tc>
          <w:tcPr>
            <w:tcW w:w="1280" w:type="dxa"/>
            <w:vAlign w:val="bottom"/>
          </w:tcPr>
          <w:p>
            <w:pPr>
              <w:ind w:left="20"/>
              <w:spacing w:after="0"/>
              <w:rPr>
                <w:sz w:val="20"/>
                <w:szCs w:val="20"/>
                <w:color w:val="auto"/>
              </w:rPr>
            </w:pPr>
            <w:r>
              <w:rPr>
                <w:rFonts w:ascii="Arial" w:cs="Arial" w:eastAsia="Arial" w:hAnsi="Arial"/>
                <w:sz w:val="22"/>
                <w:szCs w:val="22"/>
                <w:color w:val="auto"/>
              </w:rPr>
              <w:t>09/08/2023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2960" w:type="dxa"/>
            <w:vAlign w:val="bottom"/>
          </w:tcPr>
          <w:p>
            <w:pPr>
              <w:ind w:left="1660"/>
              <w:spacing w:after="0"/>
              <w:rPr>
                <w:sz w:val="20"/>
                <w:szCs w:val="20"/>
                <w:color w:val="auto"/>
              </w:rPr>
            </w:pPr>
            <w:r>
              <w:rPr>
                <w:rFonts w:ascii="Arial" w:cs="Arial" w:eastAsia="Arial" w:hAnsi="Arial"/>
                <w:sz w:val="22"/>
                <w:szCs w:val="22"/>
                <w:b w:val="1"/>
                <w:bCs w:val="1"/>
                <w:color w:val="auto"/>
              </w:rPr>
              <w:t>Transaction</w:t>
            </w:r>
          </w:p>
        </w:tc>
        <w:tc>
          <w:tcPr>
            <w:tcW w:w="1520" w:type="dxa"/>
            <w:vAlign w:val="bottom"/>
          </w:tcPr>
          <w:p>
            <w:pPr>
              <w:jc w:val="center"/>
              <w:ind w:left="72"/>
              <w:spacing w:after="0"/>
              <w:rPr>
                <w:sz w:val="20"/>
                <w:szCs w:val="20"/>
                <w:color w:val="auto"/>
              </w:rPr>
            </w:pPr>
            <w:r>
              <w:rPr>
                <w:rFonts w:ascii="Arial" w:cs="Arial" w:eastAsia="Arial" w:hAnsi="Arial"/>
                <w:sz w:val="22"/>
                <w:szCs w:val="22"/>
                <w:b w:val="1"/>
                <w:bCs w:val="1"/>
                <w:color w:val="auto"/>
                <w:w w:val="92"/>
              </w:rPr>
              <w:t>Whom</w:t>
            </w:r>
          </w:p>
        </w:tc>
        <w:tc>
          <w:tcPr>
            <w:tcW w:w="274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Arial" w:cs="Arial" w:eastAsia="Arial" w:hAnsi="Arial"/>
                <w:sz w:val="22"/>
                <w:szCs w:val="22"/>
                <w:b w:val="1"/>
                <w:bCs w:val="1"/>
                <w:color w:val="auto"/>
                <w:w w:val="90"/>
              </w:rPr>
              <w:t>Acquired</w:t>
            </w:r>
          </w:p>
        </w:tc>
        <w:tc>
          <w:tcPr>
            <w:tcW w:w="274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60" w:type="dxa"/>
            <w:vAlign w:val="bottom"/>
            <w:vMerge w:val="restart"/>
          </w:tcPr>
          <w:p>
            <w:pPr>
              <w:ind w:left="340"/>
              <w:spacing w:after="0"/>
              <w:rPr>
                <w:sz w:val="20"/>
                <w:szCs w:val="20"/>
                <w:color w:val="auto"/>
              </w:rPr>
            </w:pPr>
            <w:r>
              <w:rPr>
                <w:rFonts w:ascii="Arial" w:cs="Arial" w:eastAsia="Arial" w:hAnsi="Arial"/>
                <w:sz w:val="22"/>
                <w:szCs w:val="22"/>
                <w:color w:val="auto"/>
                <w:w w:val="91"/>
              </w:rPr>
              <w:t>04/29/2009 Founding Shares</w:t>
            </w:r>
          </w:p>
        </w:tc>
        <w:tc>
          <w:tcPr>
            <w:tcW w:w="1520" w:type="dxa"/>
            <w:vAlign w:val="bottom"/>
            <w:vMerge w:val="restart"/>
          </w:tcPr>
          <w:p>
            <w:pPr>
              <w:ind w:left="120"/>
              <w:spacing w:after="0"/>
              <w:rPr>
                <w:sz w:val="20"/>
                <w:szCs w:val="20"/>
                <w:color w:val="auto"/>
              </w:rPr>
            </w:pPr>
            <w:r>
              <w:rPr>
                <w:rFonts w:ascii="Arial" w:cs="Arial" w:eastAsia="Arial" w:hAnsi="Arial"/>
                <w:sz w:val="22"/>
                <w:szCs w:val="22"/>
                <w:color w:val="auto"/>
                <w:w w:val="96"/>
              </w:rPr>
              <w:t>Expensify, Inc.</w:t>
            </w:r>
          </w:p>
        </w:tc>
        <w:tc>
          <w:tcPr>
            <w:tcW w:w="2740" w:type="dxa"/>
            <w:vAlign w:val="bottom"/>
            <w:vMerge w:val="restart"/>
          </w:tcPr>
          <w:p>
            <w:pPr>
              <w:jc w:val="right"/>
              <w:ind w:right="432"/>
              <w:spacing w:after="0"/>
              <w:rPr>
                <w:sz w:val="20"/>
                <w:szCs w:val="20"/>
                <w:color w:val="auto"/>
              </w:rPr>
            </w:pPr>
            <w:r>
              <w:rPr>
                <w:rFonts w:ascii="Arial" w:cs="Arial" w:eastAsia="Arial" w:hAnsi="Arial"/>
                <w:sz w:val="22"/>
                <w:szCs w:val="22"/>
                <w:color w:val="auto"/>
              </w:rPr>
              <w:t>440000</w:t>
            </w:r>
          </w:p>
        </w:tc>
        <w:tc>
          <w:tcPr>
            <w:tcW w:w="2620" w:type="dxa"/>
            <w:vAlign w:val="bottom"/>
            <w:vMerge w:val="restart"/>
          </w:tcPr>
          <w:p>
            <w:pPr>
              <w:ind w:left="120"/>
              <w:spacing w:after="0"/>
              <w:rPr>
                <w:sz w:val="20"/>
                <w:szCs w:val="20"/>
                <w:color w:val="auto"/>
              </w:rPr>
            </w:pPr>
            <w:r>
              <w:rPr>
                <w:rFonts w:ascii="Arial" w:cs="Arial" w:eastAsia="Arial" w:hAnsi="Arial"/>
                <w:sz w:val="22"/>
                <w:szCs w:val="22"/>
                <w:color w:val="auto"/>
                <w:w w:val="87"/>
              </w:rPr>
              <w:t>04/29/2009 Founding Shares</w:t>
            </w:r>
          </w:p>
        </w:tc>
        <w:tc>
          <w:tcPr>
            <w:tcW w:w="0" w:type="dxa"/>
            <w:vAlign w:val="bottom"/>
          </w:tcPr>
          <w:p>
            <w:pPr>
              <w:spacing w:after="0"/>
              <w:rPr>
                <w:sz w:val="1"/>
                <w:szCs w:val="1"/>
                <w:color w:val="auto"/>
              </w:rPr>
            </w:pPr>
          </w:p>
        </w:tc>
      </w:tr>
      <w:tr>
        <w:trPr>
          <w:trHeight w:val="1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4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Barrett Trust LLC</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5331 NE 31st Ave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08/09/2023 30000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127800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Portland  OR  97211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Barrett Trust LLC</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5331 NE 31st Ave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07/12/2023 30000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225600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Portland  OR  97211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Barrett Trust LLC</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5331 NE 31st Ave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06/14/2023 30000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209700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Portland  OR  97211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Barrett Trust LLC</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5331 NE 31st Ave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06/01/2023 200000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1310000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Portland  OR  97211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940" w:right="520"/>
        <w:spacing w:after="0" w:line="276" w:lineRule="auto"/>
        <w:rPr>
          <w:sz w:val="20"/>
          <w:szCs w:val="20"/>
          <w:color w:val="auto"/>
        </w:rPr>
      </w:pPr>
      <w:r>
        <w:rPr>
          <w:rFonts w:ascii="Arial" w:cs="Arial" w:eastAsia="Arial" w:hAnsi="Arial"/>
          <w:sz w:val="19"/>
          <w:szCs w:val="19"/>
          <w:color w:val="auto"/>
        </w:rPr>
        <w:t>Note for 2(a): The person for whose account the securities are to be sold is a manager-managed limited liability company, Barrett Trust LLC. The investment and voting decisions of Barrett Trust LLC are made by its manager,</w:t>
      </w:r>
    </w:p>
    <w:p>
      <w:pPr>
        <w:spacing w:after="0" w:line="1" w:lineRule="exact"/>
        <w:rPr>
          <w:sz w:val="20"/>
          <w:szCs w:val="20"/>
          <w:color w:val="auto"/>
        </w:rPr>
      </w:pPr>
    </w:p>
    <w:p>
      <w:pPr>
        <w:ind w:left="940" w:right="60" w:hanging="899"/>
        <w:spacing w:after="0" w:line="198" w:lineRule="auto"/>
        <w:tabs>
          <w:tab w:leader="none" w:pos="920" w:val="left"/>
        </w:tabs>
        <w:rPr>
          <w:sz w:val="20"/>
          <w:szCs w:val="20"/>
          <w:color w:val="auto"/>
        </w:rPr>
      </w:pPr>
      <w:r>
        <w:rPr>
          <w:rFonts w:ascii="Arial" w:cs="Arial" w:eastAsia="Arial" w:hAnsi="Arial"/>
          <w:sz w:val="33"/>
          <w:szCs w:val="33"/>
          <w:color w:val="auto"/>
          <w:vertAlign w:val="subscript"/>
        </w:rPr>
        <w:t>Remarks</w:t>
      </w:r>
      <w:r>
        <w:rPr>
          <w:sz w:val="20"/>
          <w:szCs w:val="20"/>
          <w:color w:val="auto"/>
        </w:rPr>
        <w:tab/>
      </w:r>
      <w:r>
        <w:rPr>
          <w:rFonts w:ascii="Arial" w:cs="Arial" w:eastAsia="Arial" w:hAnsi="Arial"/>
          <w:sz w:val="18"/>
          <w:szCs w:val="18"/>
          <w:color w:val="auto"/>
        </w:rPr>
        <w:t>David Barrett, and its controlling member is the Barrett Family Trust, for which David Barrett serves as trustee. David Barrett is Chief Executive Officer and a director of the issuer. Note for 3(d): based on closing price as of 9/06/2023.</w:t>
      </w:r>
    </w:p>
    <w:p>
      <w:pPr>
        <w:spacing w:after="0" w:line="2" w:lineRule="exact"/>
        <w:rPr>
          <w:sz w:val="20"/>
          <w:szCs w:val="20"/>
          <w:color w:val="auto"/>
        </w:rPr>
      </w:pPr>
    </w:p>
    <w:p>
      <w:pPr>
        <w:ind w:left="940" w:right="40"/>
        <w:spacing w:after="0" w:line="236" w:lineRule="auto"/>
        <w:rPr>
          <w:sz w:val="20"/>
          <w:szCs w:val="20"/>
          <w:color w:val="auto"/>
        </w:rPr>
      </w:pPr>
      <w:r>
        <w:rPr>
          <w:rFonts w:ascii="Arial" w:cs="Arial" w:eastAsia="Arial" w:hAnsi="Arial"/>
          <w:sz w:val="22"/>
          <w:szCs w:val="22"/>
          <w:color w:val="auto"/>
        </w:rPr>
        <w:t>Note for 3(e): As of August 4, 2023, as stated in Issuer's quarterly report on Form 10-Q for the quarterly period ending June 30, 2023.</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Date of</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w w:val="98"/>
              </w:rPr>
              <w:t>09/11/2023</w:t>
            </w:r>
          </w:p>
        </w:tc>
        <w:tc>
          <w:tcPr>
            <w:tcW w:w="0" w:type="dxa"/>
            <w:vAlign w:val="bottom"/>
          </w:tcPr>
          <w:p>
            <w:pPr>
              <w:spacing w:after="0"/>
              <w:rPr>
                <w:sz w:val="1"/>
                <w:szCs w:val="1"/>
                <w:color w:val="auto"/>
              </w:rPr>
            </w:pPr>
          </w:p>
        </w:tc>
      </w:tr>
      <w:tr>
        <w:trPr>
          <w:trHeight w:val="153"/>
        </w:trPr>
        <w:tc>
          <w:tcPr>
            <w:tcW w:w="780" w:type="dxa"/>
            <w:vAlign w:val="bottom"/>
            <w:vMerge w:val="restart"/>
          </w:tcPr>
          <w:p>
            <w:pPr>
              <w:spacing w:after="0"/>
              <w:rPr>
                <w:sz w:val="20"/>
                <w:szCs w:val="20"/>
                <w:color w:val="auto"/>
              </w:rPr>
            </w:pPr>
            <w:r>
              <w:rPr>
                <w:rFonts w:ascii="Arial" w:cs="Arial" w:eastAsia="Arial" w:hAnsi="Arial"/>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 /s/ Cole Eason as attorney-in-fact</w:t>
      </w:r>
    </w:p>
    <w:p>
      <w:pPr>
        <w:sectPr>
          <w:pgSz w:w="11900" w:h="16838" w:orient="portrait"/>
          <w:cols w:equalWidth="0" w:num="1">
            <w:col w:w="11240"/>
          </w:cols>
          <w:pgMar w:left="320" w:top="102"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144</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With respect to holdings of and transactions in securities issued by Expensify,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199" w:lineRule="exact"/>
        <w:rPr>
          <w:sz w:val="20"/>
          <w:szCs w:val="20"/>
          <w:color w:val="auto"/>
        </w:rPr>
      </w:pPr>
    </w:p>
    <w:p>
      <w:pPr>
        <w:ind w:left="660" w:hanging="328"/>
        <w:spacing w:after="0" w:line="32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execute for and on behalf of the undersigned an electronic Notice of Proposed Sale of Securities Pursuant to Rule 144 (</w:t>
      </w:r>
      <w:r>
        <w:rPr>
          <w:rFonts w:ascii="Arial" w:cs="Arial" w:eastAsia="Arial" w:hAnsi="Arial"/>
          <w:sz w:val="16"/>
          <w:szCs w:val="16"/>
          <w:b w:val="1"/>
          <w:bCs w:val="1"/>
          <w:i w:val="1"/>
          <w:iCs w:val="1"/>
          <w:color w:val="auto"/>
        </w:rPr>
        <w:t>“Form 144”</w:t>
      </w:r>
      <w:r>
        <w:rPr>
          <w:rFonts w:ascii="Arial" w:cs="Arial" w:eastAsia="Arial" w:hAnsi="Arial"/>
          <w:sz w:val="16"/>
          <w:szCs w:val="16"/>
          <w:color w:val="auto"/>
        </w:rPr>
        <w:t>) relating to such sales, in accordance with the requirements of Rule 144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w:t>
      </w:r>
    </w:p>
    <w:p>
      <w:pPr>
        <w:spacing w:after="0" w:line="151"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14605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David Barrett</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General Manager</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2023-09-11T12:44:09Z</dcterms:created>
  <dcterms:modified xsi:type="dcterms:W3CDTF">2023-09-11T12:44:09Z</dcterms:modified>
</cp:coreProperties>
</file>