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180" w:type="dxa"/>
            <w:vAlign w:val="bottom"/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jc w:val="center"/>
              <w:ind w:left="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180" w:type="dxa"/>
            <w:vAlign w:val="bottom"/>
            <w:gridSpan w:val="21"/>
            <w:vMerge w:val="restart"/>
          </w:tcPr>
          <w:p>
            <w:pPr>
              <w:jc w:val="center"/>
              <w:ind w:right="59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8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8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Mills Jason Fahr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60" w:type="dxa"/>
            <w:vAlign w:val="bottom"/>
            <w:gridSpan w:val="14"/>
          </w:tcPr>
          <w:p>
            <w:pPr>
              <w:jc w:val="center"/>
              <w:ind w:right="39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satisfy the affirmative defense conditions of Rule 10b5-1(c). See Instruction 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jc w:val="center"/>
              <w:ind w:left="54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06/14/2023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11,890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6.96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105,576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06/14/2023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1,688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107,264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106,852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06/15/2023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3,821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06/15/2023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1,861</w:t>
            </w: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7.15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108,812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jc w:val="center"/>
              <w:ind w:righ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5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95,531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5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12/15/2029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95,531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(5)(6)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11,464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3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534,925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534,925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-7430135</wp:posOffset>
            </wp:positionV>
            <wp:extent cx="7046595" cy="74434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44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SPMP.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 and September 15th.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2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LILIJK LLC, a manager-managed limited liability company. The investment and voting decisions of LILIJK LLC are made by its manager, the Reporting Person, and its controlling member is the Figueroa-Mills Family Revocable Trust, for which the Reporting Person serves as trustee.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Ryan Schaffer,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91197" TargetMode="External"/><Relationship Id="rId9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2023-06-16T19:59:48Z</dcterms:created>
  <dcterms:modified xsi:type="dcterms:W3CDTF">2023-06-16T19:59:48Z</dcterms:modified>
</cp:coreProperties>
</file>