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13970</wp:posOffset>
            </wp:positionV>
            <wp:extent cx="6995160" cy="64382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6438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229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0"/>
                <w:szCs w:val="20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20"/>
                  <w:szCs w:val="20"/>
                  <w:color w:val="0000EE"/>
                  <w:w w:val="93"/>
                </w:rPr>
                <w:t>Mills Jason Fahr</w:t>
              </w:r>
            </w:hyperlink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gridSpan w:val="7"/>
          </w:tcPr>
          <w:p>
            <w:pPr>
              <w:ind w:left="60"/>
              <w:spacing w:after="0" w:line="102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Expensify, Inc.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EXFY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EXPENSIFY, INC.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03/15/2023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401 SW 5TH AVE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PORTLAND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OR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97204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7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jc w:val="center"/>
              <w:ind w:left="6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03/15/2023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7,943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7.46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90,889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03/15/2023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1,052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(2)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91,941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jc w:val="center"/>
              <w:ind w:left="6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03/15/2023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247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7.32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91,694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jc w:val="center"/>
              <w:ind w:left="6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03/15/2023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3,822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95,516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jc w:val="center"/>
              <w:ind w:left="6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03/15/2023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1,830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7.55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93,686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3,822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03/15/2023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center"/>
              <w:ind w:right="5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M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3,822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3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12/15/2029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right="3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16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99,352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left="13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LT50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3,822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03/15/2023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center"/>
              <w:ind w:right="5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M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3,822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3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12/15/2029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right="3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16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99,352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left="13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LT50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9"/>
              </w:rPr>
              <w:t>(5)(6)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(6)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3,822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See note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(7)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03/15/2023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center"/>
              <w:ind w:right="5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M</w:t>
            </w:r>
          </w:p>
        </w:tc>
        <w:tc>
          <w:tcPr>
            <w:tcW w:w="460" w:type="dxa"/>
            <w:vAlign w:val="bottom"/>
          </w:tcPr>
          <w:p>
            <w:pPr>
              <w:ind w:left="1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3,822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right="3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16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7,643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left="13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LT50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(6)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(6)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534,925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534,925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See note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(7)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right="30"/>
              <w:spacing w:after="0" w:line="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8000"/>
              </w:rPr>
              <w:t>(8)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-2782570</wp:posOffset>
            </wp:positionV>
            <wp:extent cx="28575" cy="27876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787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purchased pursuant to the Expensify, Inc. 2021 Stock Purchase and Matching Plan ("SPMP").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granted as matched shares pursuant to the SPMP.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restricted stock unit represents the contingent right to receive one share of Class A common stock. This transaction represents the settlement of vested RSUs in shares of Class A Common Stock.</w:t>
      </w:r>
    </w:p>
    <w:p>
      <w:pPr>
        <w:spacing w:after="0" w:line="52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vest 12.5% on September 15, 2022 and 1/32nd each quarter thereafter, on December 15th, March 15th, June 15th, and September 15th.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restricted stock unit represents the contingent right to receive one share of LT50 common stock. This transaction represents the settlement of vested RSUs in shares of LT50 Common Stock.</w:t>
      </w:r>
    </w:p>
    <w:p>
      <w:pPr>
        <w:spacing w:after="0" w:line="52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40"/>
        <w:spacing w:after="0" w:line="236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LT50 Common Stock is convertible into the Issuer's Class A Common Stock on a one-to-one basis only upon, and generally cannot be transferred without, satisfaction of certain notice and other requirements, including a notice period of 50 months. The LT50 Common Stock will automatically convert into shares of the Issuer's Class A Common Stock on a one-to-one basis at such time as all of the then-outstanding shares of LT10 and LT50 Common Stock represent, in the aggregate, less than 2% of all then-outstanding shares of common stock.</w:t>
      </w:r>
    </w:p>
    <w:p>
      <w:pPr>
        <w:spacing w:after="0" w:line="2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Deposited into the Expensify Voting Trust (the "Voting Trust"). The Reporting Person retains investment control and dispositive power over the shares deposited into the Voting Trust.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60"/>
        <w:spacing w:after="0" w:line="243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By LILIJK LLC, a manager-managed limited liability company. The investment and voting decisions of LILIJK LLC are made by its manager, the Reporting Person, and its controlling member is the Figueroa-Mills Family Revocable Trust, for which the Reporting Person serves as trustee.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Ryan Schaffer, as attorney-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03/17/2023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229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91197" TargetMode="External"/><Relationship Id="rId13" Type="http://schemas.openxmlformats.org/officeDocument/2006/relationships/hyperlink" Target="http://www.sec.gov/cgi-bin/browse-edgar?action=getcompany&amp;CIK=00014768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2023-03-17T18:16:31Z</dcterms:created>
  <dcterms:modified xsi:type="dcterms:W3CDTF">2023-03-17T18:16:31Z</dcterms:modified>
</cp:coreProperties>
</file>