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Vidal Daniel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C/O EXPENSIFY, INC.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401 SW 5TH AVE</w:t>
            </w:r>
          </w:p>
        </w:tc>
        <w:tc>
          <w:tcPr>
            <w:tcW w:w="15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PORTLAND</w:t>
            </w:r>
          </w:p>
        </w:tc>
        <w:tc>
          <w:tcPr>
            <w:tcW w:w="1000" w:type="dxa"/>
            <w:vAlign w:val="bottom"/>
          </w:tcPr>
          <w:p>
            <w:pPr>
              <w:ind w:left="160"/>
              <w:spacing w:after="0"/>
              <w:rPr>
                <w:sz w:val="20"/>
                <w:szCs w:val="20"/>
                <w:color w:val="auto"/>
              </w:rPr>
            </w:pPr>
            <w:r>
              <w:rPr>
                <w:rFonts w:ascii="Arial" w:cs="Arial" w:eastAsia="Arial" w:hAnsi="Arial"/>
                <w:sz w:val="18"/>
                <w:szCs w:val="18"/>
                <w:color w:val="0000FF"/>
              </w:rPr>
              <w:t>OR</w:t>
            </w:r>
          </w:p>
        </w:tc>
        <w:tc>
          <w:tcPr>
            <w:tcW w:w="1560" w:type="dxa"/>
            <w:vAlign w:val="bottom"/>
          </w:tcPr>
          <w:p>
            <w:pPr>
              <w:ind w:left="380"/>
              <w:spacing w:after="0"/>
              <w:rPr>
                <w:sz w:val="20"/>
                <w:szCs w:val="20"/>
                <w:color w:val="auto"/>
              </w:rPr>
            </w:pPr>
            <w:r>
              <w:rPr>
                <w:rFonts w:ascii="Arial" w:cs="Arial" w:eastAsia="Arial" w:hAnsi="Arial"/>
                <w:sz w:val="18"/>
                <w:szCs w:val="18"/>
                <w:color w:val="0000FF"/>
              </w:rPr>
              <w:t>97204</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80" w:type="dxa"/>
            <w:vAlign w:val="bottom"/>
            <w:gridSpan w:val="3"/>
          </w:tcPr>
          <w:p>
            <w:pPr>
              <w:ind w:left="80"/>
              <w:spacing w:after="0"/>
              <w:rPr>
                <w:sz w:val="20"/>
                <w:szCs w:val="20"/>
                <w:color w:val="auto"/>
              </w:rPr>
            </w:pPr>
            <w:r>
              <w:rPr>
                <w:rFonts w:ascii="Arial" w:cs="Arial" w:eastAsia="Arial" w:hAnsi="Arial"/>
                <w:sz w:val="18"/>
                <w:szCs w:val="18"/>
                <w:color w:val="0000FF"/>
              </w:rPr>
              <w:t>06/20/2023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06/20/2023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8,000</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7.59</w:t>
            </w:r>
            <w:r>
              <w:rPr>
                <w:rFonts w:ascii="Arial" w:cs="Arial" w:eastAsia="Arial" w:hAnsi="Arial"/>
                <w:sz w:val="22"/>
                <w:szCs w:val="22"/>
                <w:color w:val="008000"/>
                <w:w w:val="95"/>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91,226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transactions reported on this Form 4 were effected pursuant to a Rule 10b5-1 trading plan adopted by the reporting person on September 14, 2022, as amended on November 17, 2022.</w:t>
      </w:r>
    </w:p>
    <w:p>
      <w:pPr>
        <w:spacing w:after="0" w:line="64" w:lineRule="exact"/>
        <w:rPr>
          <w:rFonts w:ascii="Arial" w:cs="Arial" w:eastAsia="Arial" w:hAnsi="Arial"/>
          <w:sz w:val="12"/>
          <w:szCs w:val="12"/>
          <w:color w:val="008000"/>
        </w:rPr>
      </w:pPr>
    </w:p>
    <w:p>
      <w:pPr>
        <w:ind w:left="40" w:right="38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$7.25 to $7.74,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Ryan Schaffer, as attorney- </w:t>
      </w:r>
      <w:r>
        <w:rPr>
          <w:rFonts w:ascii="Arial" w:cs="Arial" w:eastAsia="Arial" w:hAnsi="Arial"/>
          <w:sz w:val="35"/>
          <w:szCs w:val="35"/>
          <w:color w:val="0000FF"/>
          <w:vertAlign w:val="subscript"/>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291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2023-06-21T16:34:27Z</dcterms:created>
  <dcterms:modified xsi:type="dcterms:W3CDTF">2023-06-21T16:34:27Z</dcterms:modified>
</cp:coreProperties>
</file>