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ind w:left="20"/>
        <w:spacing w:after="0"/>
        <w:rPr>
          <w:sz w:val="20"/>
          <w:szCs w:val="20"/>
          <w:color w:val="auto"/>
        </w:rPr>
      </w:pPr>
      <w:r>
        <w:rPr>
          <w:rFonts w:ascii="Arial" w:cs="Arial" w:eastAsia="Arial" w:hAnsi="Arial"/>
          <w:sz w:val="21"/>
          <w:szCs w:val="21"/>
          <w:b w:val="1"/>
          <w:bCs w:val="1"/>
          <w:color w:val="auto"/>
        </w:rPr>
        <w:t>INFORMATION TO BE INCLUDED IN STATEMENTS FILED PURSUANT TO RULES 13d-1 (b), (c) AND (d) AND</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AMENDMENTS THERETO FILED PURSUANT TO 13d-2 (b)</w:t>
      </w: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Expensify,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30219Q106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2, 2022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19"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6"/>
          <w:szCs w:val="16"/>
          <w:color w:val="auto"/>
        </w:rPr>
        <w:t>Rule 13d-1(d)</w:t>
      </w:r>
    </w:p>
    <w:p>
      <w:pPr>
        <w:spacing w:after="0" w:line="284" w:lineRule="exact"/>
        <w:rPr>
          <w:sz w:val="24"/>
          <w:szCs w:val="24"/>
          <w:color w:val="auto"/>
        </w:rPr>
      </w:pPr>
    </w:p>
    <w:p>
      <w:pPr>
        <w:ind w:left="420" w:right="4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Exhibit Index on Page 9</w:t>
      </w:r>
    </w:p>
    <w:p>
      <w:pPr>
        <w:sectPr>
          <w:pgSz w:w="11900" w:h="16838" w:orient="portrait"/>
          <w:cols w:equalWidth="0" w:num="1">
            <w:col w:w="10980"/>
          </w:cols>
          <w:pgMar w:left="440" w:top="517" w:right="479" w:bottom="1440" w:gutter="0" w:footer="0" w:header="0"/>
        </w:sectPr>
      </w:pPr>
    </w:p>
    <w:bookmarkStart w:id="1" w:name="page2"/>
    <w:bookmarkEnd w:id="1"/>
    <w:p>
      <w:pPr>
        <w:ind w:left="4"/>
        <w:spacing w:after="0"/>
        <w:tabs>
          <w:tab w:leader="none" w:pos="100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30219Q106</w:t>
      </w:r>
      <w:r>
        <w:rPr>
          <w:sz w:val="20"/>
          <w:szCs w:val="20"/>
          <w:color w:val="auto"/>
        </w:rPr>
        <w:tab/>
      </w:r>
      <w:r>
        <w:rPr>
          <w:rFonts w:ascii="Arial" w:cs="Arial" w:eastAsia="Arial" w:hAnsi="Arial"/>
          <w:sz w:val="16"/>
          <w:szCs w:val="16"/>
          <w:color w:val="auto"/>
        </w:rPr>
        <w:t>Page 2 of 10</w:t>
      </w:r>
    </w:p>
    <w:p>
      <w:pPr>
        <w:spacing w:after="0" w:line="144" w:lineRule="exact"/>
        <w:rPr>
          <w:sz w:val="20"/>
          <w:szCs w:val="20"/>
          <w:color w:val="auto"/>
        </w:rPr>
      </w:pPr>
    </w:p>
    <w:p>
      <w:pPr>
        <w:ind w:left="624" w:hanging="377"/>
        <w:spacing w:after="0"/>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9061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9061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Hillsven LLC</w:t>
      </w:r>
    </w:p>
    <w:p>
      <w:pPr>
        <w:spacing w:after="0" w:line="36" w:lineRule="exact"/>
        <w:rPr>
          <w:sz w:val="20"/>
          <w:szCs w:val="20"/>
          <w:color w:val="auto"/>
        </w:rPr>
      </w:pPr>
    </w:p>
    <w:p>
      <w:pPr>
        <w:ind w:left="624" w:hanging="377"/>
        <w:spacing w:after="0"/>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9"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24" w:hanging="377"/>
        <w:spacing w:after="0"/>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2" w:lineRule="exact"/>
        <w:rPr>
          <w:sz w:val="20"/>
          <w:szCs w:val="20"/>
          <w:color w:val="auto"/>
        </w:rPr>
      </w:pPr>
    </w:p>
    <w:p>
      <w:pPr>
        <w:ind w:left="624" w:hanging="377"/>
        <w:spacing w:after="0"/>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California</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908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w w:val="97"/>
              </w:rPr>
              <w:t>2,109,017 shares of Class A Common Stock (“Shares”) held directly by Hillsven LLC. FBHR Associates, LLC is the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Arial" w:cs="Arial" w:eastAsia="Arial" w:hAnsi="Arial"/>
                <w:sz w:val="18"/>
                <w:szCs w:val="18"/>
                <w:color w:val="auto"/>
                <w:w w:val="91"/>
              </w:rPr>
              <w:t>manager of Hillsven, LLC, and in such capacity may be deemed to share voting power over such shares. Jim DeMartini, as</w:t>
            </w:r>
          </w:p>
        </w:tc>
        <w:tc>
          <w:tcPr>
            <w:tcW w:w="0" w:type="dxa"/>
            <w:vAlign w:val="bottom"/>
          </w:tcPr>
          <w:p>
            <w:pPr>
              <w:spacing w:after="0"/>
              <w:rPr>
                <w:sz w:val="1"/>
                <w:szCs w:val="1"/>
                <w:color w:val="auto"/>
              </w:rPr>
            </w:pPr>
          </w:p>
        </w:tc>
      </w:tr>
      <w:tr>
        <w:trPr>
          <w:trHeight w:val="2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2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Arial" w:cs="Arial" w:eastAsia="Arial" w:hAnsi="Arial"/>
                <w:sz w:val="18"/>
                <w:szCs w:val="18"/>
                <w:color w:val="auto"/>
                <w:w w:val="93"/>
              </w:rPr>
              <w:t>trustee of Unameit Trust, is the manager of FBHR Associates, LLC, and in such capacity may be deemed to share voting</w:t>
            </w:r>
          </w:p>
        </w:tc>
        <w:tc>
          <w:tcPr>
            <w:tcW w:w="0" w:type="dxa"/>
            <w:vAlign w:val="bottom"/>
          </w:tcPr>
          <w:p>
            <w:pPr>
              <w:spacing w:after="0"/>
              <w:rPr>
                <w:sz w:val="1"/>
                <w:szCs w:val="1"/>
                <w:color w:val="auto"/>
              </w:rPr>
            </w:pPr>
          </w:p>
        </w:tc>
      </w:tr>
      <w:tr>
        <w:trPr>
          <w:trHeight w:val="176"/>
        </w:trPr>
        <w:tc>
          <w:tcPr>
            <w:tcW w:w="13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80" w:type="dxa"/>
            <w:vAlign w:val="bottom"/>
          </w:tcPr>
          <w:p>
            <w:pPr>
              <w:ind w:left="100"/>
              <w:spacing w:after="0" w:line="176" w:lineRule="exact"/>
              <w:rPr>
                <w:sz w:val="20"/>
                <w:szCs w:val="20"/>
                <w:color w:val="auto"/>
              </w:rPr>
            </w:pPr>
            <w:r>
              <w:rPr>
                <w:rFonts w:ascii="Arial" w:cs="Arial" w:eastAsia="Arial" w:hAnsi="Arial"/>
                <w:sz w:val="18"/>
                <w:szCs w:val="18"/>
                <w:color w:val="auto"/>
              </w:rPr>
              <w:t>power over such shares.</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20" w:type="dxa"/>
            <w:vAlign w:val="bottom"/>
            <w:tcBorders>
              <w:bottom w:val="single" w:sz="8" w:color="auto"/>
            </w:tcBorders>
          </w:tcPr>
          <w:p>
            <w:pPr>
              <w:spacing w:after="0"/>
              <w:rPr>
                <w:sz w:val="5"/>
                <w:szCs w:val="5"/>
                <w:color w:val="auto"/>
              </w:rPr>
            </w:pPr>
          </w:p>
        </w:tc>
        <w:tc>
          <w:tcPr>
            <w:tcW w:w="9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908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20" w:type="dxa"/>
            <w:vAlign w:val="bottom"/>
            <w:vMerge w:val="continue"/>
          </w:tcPr>
          <w:p>
            <w:pPr>
              <w:spacing w:after="0"/>
              <w:rPr>
                <w:sz w:val="18"/>
                <w:szCs w:val="18"/>
                <w:color w:val="auto"/>
              </w:rPr>
            </w:pPr>
          </w:p>
        </w:tc>
        <w:tc>
          <w:tcPr>
            <w:tcW w:w="9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20" w:type="dxa"/>
            <w:vAlign w:val="bottom"/>
          </w:tcPr>
          <w:p>
            <w:pPr>
              <w:spacing w:after="0"/>
              <w:rPr>
                <w:sz w:val="18"/>
                <w:szCs w:val="18"/>
                <w:color w:val="auto"/>
              </w:rPr>
            </w:pPr>
          </w:p>
        </w:tc>
        <w:tc>
          <w:tcPr>
            <w:tcW w:w="9080" w:type="dxa"/>
            <w:vAlign w:val="bottom"/>
            <w:vMerge w:val="restart"/>
          </w:tcPr>
          <w:p>
            <w:pPr>
              <w:ind w:left="200"/>
              <w:spacing w:after="0"/>
              <w:rPr>
                <w:sz w:val="20"/>
                <w:szCs w:val="20"/>
                <w:color w:val="auto"/>
              </w:rPr>
            </w:pPr>
            <w:r>
              <w:rPr>
                <w:rFonts w:ascii="Arial" w:cs="Arial" w:eastAsia="Arial" w:hAnsi="Arial"/>
                <w:sz w:val="18"/>
                <w:szCs w:val="18"/>
                <w:color w:val="auto"/>
              </w:rPr>
              <w:t>See response to row 5.</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9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rPr>
              <w:t>7</w:t>
            </w:r>
          </w:p>
        </w:tc>
        <w:tc>
          <w:tcPr>
            <w:tcW w:w="908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20" w:type="dxa"/>
            <w:vAlign w:val="bottom"/>
            <w:vMerge w:val="continue"/>
          </w:tcPr>
          <w:p>
            <w:pPr>
              <w:spacing w:after="0"/>
              <w:rPr>
                <w:sz w:val="13"/>
                <w:szCs w:val="13"/>
                <w:color w:val="auto"/>
              </w:rPr>
            </w:pPr>
          </w:p>
        </w:tc>
        <w:tc>
          <w:tcPr>
            <w:tcW w:w="9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20" w:type="dxa"/>
            <w:vAlign w:val="bottom"/>
          </w:tcPr>
          <w:p>
            <w:pPr>
              <w:spacing w:after="0"/>
              <w:rPr>
                <w:sz w:val="18"/>
                <w:szCs w:val="18"/>
                <w:color w:val="auto"/>
              </w:rPr>
            </w:pPr>
          </w:p>
        </w:tc>
        <w:tc>
          <w:tcPr>
            <w:tcW w:w="9080" w:type="dxa"/>
            <w:vAlign w:val="bottom"/>
            <w:vMerge w:val="restart"/>
          </w:tcPr>
          <w:p>
            <w:pPr>
              <w:ind w:left="200"/>
              <w:spacing w:after="0"/>
              <w:rPr>
                <w:sz w:val="20"/>
                <w:szCs w:val="20"/>
                <w:color w:val="auto"/>
              </w:rPr>
            </w:pPr>
            <w:r>
              <w:rPr>
                <w:rFonts w:ascii="Arial" w:cs="Arial" w:eastAsia="Arial" w:hAnsi="Arial"/>
                <w:sz w:val="18"/>
                <w:szCs w:val="18"/>
                <w:color w:val="auto"/>
                <w:w w:val="95"/>
              </w:rPr>
              <w:t>2,109,017 Shares held directly by Hillsven LLC. FBHR Associates, LLC is the manager of Hillsven, LLC, and in such</w:t>
            </w:r>
          </w:p>
        </w:tc>
        <w:tc>
          <w:tcPr>
            <w:tcW w:w="0" w:type="dxa"/>
            <w:vAlign w:val="bottom"/>
          </w:tcPr>
          <w:p>
            <w:pPr>
              <w:spacing w:after="0"/>
              <w:rPr>
                <w:sz w:val="1"/>
                <w:szCs w:val="1"/>
                <w:color w:val="auto"/>
              </w:rPr>
            </w:pPr>
          </w:p>
        </w:tc>
      </w:tr>
      <w:tr>
        <w:trPr>
          <w:trHeight w:val="14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20" w:type="dxa"/>
            <w:vAlign w:val="bottom"/>
          </w:tcPr>
          <w:p>
            <w:pPr>
              <w:spacing w:after="0"/>
              <w:rPr>
                <w:sz w:val="12"/>
                <w:szCs w:val="12"/>
                <w:color w:val="auto"/>
              </w:rPr>
            </w:pPr>
          </w:p>
        </w:tc>
        <w:tc>
          <w:tcPr>
            <w:tcW w:w="9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080" w:type="dxa"/>
            <w:vAlign w:val="bottom"/>
            <w:vMerge w:val="restart"/>
          </w:tcPr>
          <w:p>
            <w:pPr>
              <w:ind w:left="100"/>
              <w:spacing w:after="0"/>
              <w:rPr>
                <w:sz w:val="20"/>
                <w:szCs w:val="20"/>
                <w:color w:val="auto"/>
              </w:rPr>
            </w:pPr>
            <w:r>
              <w:rPr>
                <w:rFonts w:ascii="Arial" w:cs="Arial" w:eastAsia="Arial" w:hAnsi="Arial"/>
                <w:sz w:val="18"/>
                <w:szCs w:val="18"/>
                <w:color w:val="auto"/>
                <w:w w:val="93"/>
              </w:rPr>
              <w:t>capacity may be deemed to share dispositive power over such shares. Jim DeMartini, as trustee of Unameit Trust, is the</w:t>
            </w:r>
          </w:p>
        </w:tc>
        <w:tc>
          <w:tcPr>
            <w:tcW w:w="0" w:type="dxa"/>
            <w:vAlign w:val="bottom"/>
          </w:tcPr>
          <w:p>
            <w:pPr>
              <w:spacing w:after="0"/>
              <w:rPr>
                <w:sz w:val="1"/>
                <w:szCs w:val="1"/>
                <w:color w:val="auto"/>
              </w:rPr>
            </w:pPr>
          </w:p>
        </w:tc>
      </w:tr>
      <w:tr>
        <w:trPr>
          <w:trHeight w:val="134"/>
        </w:trPr>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manager of FBHR Associates, LLC, and in such capacity may be deemed to share dispositive power over such shares.</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9080" w:type="dxa"/>
            <w:vAlign w:val="bottom"/>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See response to row 7.</w:t>
      </w:r>
    </w:p>
    <w:p>
      <w:pPr>
        <w:spacing w:after="0" w:line="36" w:lineRule="exact"/>
        <w:rPr>
          <w:sz w:val="20"/>
          <w:szCs w:val="20"/>
          <w:color w:val="auto"/>
        </w:rPr>
      </w:pPr>
    </w:p>
    <w:p>
      <w:pPr>
        <w:ind w:left="604" w:hanging="357"/>
        <w:spacing w:after="0"/>
        <w:tabs>
          <w:tab w:leader="none" w:pos="604"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2,109,017</w:t>
      </w:r>
    </w:p>
    <w:p>
      <w:pPr>
        <w:spacing w:after="0" w:line="36" w:lineRule="exact"/>
        <w:rPr>
          <w:sz w:val="20"/>
          <w:szCs w:val="20"/>
          <w:color w:val="auto"/>
        </w:rPr>
      </w:pPr>
    </w:p>
    <w:p>
      <w:pPr>
        <w:ind w:left="624" w:hanging="467"/>
        <w:spacing w:after="0"/>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460" w:hanging="467"/>
        <w:spacing w:after="0" w:line="337" w:lineRule="auto"/>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3.1% </w:t>
      </w:r>
      <w:r>
        <w:rPr>
          <w:rFonts w:ascii="Arial" w:cs="Arial" w:eastAsia="Arial" w:hAnsi="Arial"/>
          <w:sz w:val="26"/>
          <w:szCs w:val="26"/>
          <w:color w:val="auto"/>
          <w:vertAlign w:val="superscript"/>
        </w:rPr>
        <w:t>(1)</w:t>
      </w:r>
    </w:p>
    <w:p>
      <w:pPr>
        <w:ind w:left="624" w:right="7900" w:hanging="467"/>
        <w:spacing w:after="0" w:line="538" w:lineRule="auto"/>
        <w:tabs>
          <w:tab w:leader="none" w:pos="621"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1" w:lineRule="exact"/>
        <w:rPr>
          <w:rFonts w:ascii="Arial" w:cs="Arial" w:eastAsia="Arial" w:hAnsi="Arial"/>
          <w:sz w:val="18"/>
          <w:szCs w:val="18"/>
          <w:color w:val="auto"/>
        </w:rPr>
      </w:pPr>
    </w:p>
    <w:p>
      <w:pPr>
        <w:ind w:left="424" w:right="380" w:hanging="424"/>
        <w:spacing w:after="0" w:line="30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percentage ownership is based on 68,037,063 shares of Class A Common Stock outstanding as of May 9, 2022, as reported in the issuer’s Quarterly Report on Form 10-Q, as filed with the Securities and Exchange Commission on May 16, 2022.</w:t>
      </w:r>
    </w:p>
    <w:p>
      <w:pPr>
        <w:sectPr>
          <w:pgSz w:w="11900" w:h="16838" w:orient="portrait"/>
          <w:cols w:equalWidth="0" w:num="1">
            <w:col w:w="11024"/>
          </w:cols>
          <w:pgMar w:left="436" w:top="274" w:right="439" w:bottom="1440" w:gutter="0" w:footer="0" w:header="0"/>
        </w:sectPr>
      </w:pPr>
    </w:p>
    <w:bookmarkStart w:id="2" w:name="page3"/>
    <w:bookmarkEnd w:id="2"/>
    <w:p>
      <w:pPr>
        <w:ind w:left="4"/>
        <w:spacing w:after="0"/>
        <w:tabs>
          <w:tab w:leader="none" w:pos="100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30219Q106</w:t>
      </w:r>
      <w:r>
        <w:rPr>
          <w:sz w:val="20"/>
          <w:szCs w:val="20"/>
          <w:color w:val="auto"/>
        </w:rPr>
        <w:tab/>
      </w:r>
      <w:r>
        <w:rPr>
          <w:rFonts w:ascii="Arial" w:cs="Arial" w:eastAsia="Arial" w:hAnsi="Arial"/>
          <w:sz w:val="16"/>
          <w:szCs w:val="16"/>
          <w:color w:val="auto"/>
        </w:rPr>
        <w:t>Page 3 of 10</w:t>
      </w:r>
    </w:p>
    <w:p>
      <w:pPr>
        <w:spacing w:after="0" w:line="144" w:lineRule="exact"/>
        <w:rPr>
          <w:sz w:val="20"/>
          <w:szCs w:val="20"/>
          <w:color w:val="auto"/>
        </w:rPr>
      </w:pPr>
    </w:p>
    <w:p>
      <w:pPr>
        <w:ind w:left="624" w:hanging="377"/>
        <w:spacing w:after="0"/>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9061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9061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FBHR Associates, LLC</w:t>
      </w:r>
    </w:p>
    <w:p>
      <w:pPr>
        <w:spacing w:after="0" w:line="36" w:lineRule="exact"/>
        <w:rPr>
          <w:sz w:val="20"/>
          <w:szCs w:val="20"/>
          <w:color w:val="auto"/>
        </w:rPr>
      </w:pPr>
    </w:p>
    <w:p>
      <w:pPr>
        <w:ind w:left="624" w:hanging="377"/>
        <w:spacing w:after="0"/>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9"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24" w:hanging="377"/>
        <w:spacing w:after="0"/>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2" w:lineRule="exact"/>
        <w:rPr>
          <w:sz w:val="20"/>
          <w:szCs w:val="20"/>
          <w:color w:val="auto"/>
        </w:rPr>
      </w:pPr>
    </w:p>
    <w:p>
      <w:pPr>
        <w:ind w:left="624" w:hanging="377"/>
        <w:spacing w:after="0"/>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California</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908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80" w:type="dxa"/>
            <w:vAlign w:val="bottom"/>
          </w:tcPr>
          <w:p>
            <w:pPr>
              <w:ind w:left="100"/>
              <w:spacing w:after="0"/>
              <w:rPr>
                <w:sz w:val="20"/>
                <w:szCs w:val="20"/>
                <w:color w:val="auto"/>
              </w:rPr>
            </w:pPr>
            <w:r>
              <w:rPr>
                <w:rFonts w:ascii="Arial" w:cs="Arial" w:eastAsia="Arial" w:hAnsi="Arial"/>
                <w:sz w:val="18"/>
                <w:szCs w:val="18"/>
                <w:color w:val="auto"/>
                <w:w w:val="98"/>
              </w:rPr>
              <w:t>2,109,017 shares of Class A Common Stock (“Shares”) held directly by Hillsven LLC. FBHR Associates, LLC is the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Arial" w:cs="Arial" w:eastAsia="Arial" w:hAnsi="Arial"/>
                <w:sz w:val="18"/>
                <w:szCs w:val="18"/>
                <w:color w:val="auto"/>
                <w:w w:val="91"/>
              </w:rPr>
              <w:t>manager of Hillsven, LLC, and in such capacity may be deemed to share voting power over such shares. Jim DeMartini, as</w:t>
            </w:r>
          </w:p>
        </w:tc>
        <w:tc>
          <w:tcPr>
            <w:tcW w:w="0" w:type="dxa"/>
            <w:vAlign w:val="bottom"/>
          </w:tcPr>
          <w:p>
            <w:pPr>
              <w:spacing w:after="0"/>
              <w:rPr>
                <w:sz w:val="1"/>
                <w:szCs w:val="1"/>
                <w:color w:val="auto"/>
              </w:rPr>
            </w:pPr>
          </w:p>
        </w:tc>
      </w:tr>
      <w:tr>
        <w:trPr>
          <w:trHeight w:val="2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2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Arial" w:cs="Arial" w:eastAsia="Arial" w:hAnsi="Arial"/>
                <w:sz w:val="18"/>
                <w:szCs w:val="18"/>
                <w:color w:val="auto"/>
              </w:rPr>
              <w:t>trustee of Unameit Trust under Declaration of Trust dated March 10, 2000 (the “Unameit Trust”),</w:t>
            </w:r>
          </w:p>
        </w:tc>
        <w:tc>
          <w:tcPr>
            <w:tcW w:w="0" w:type="dxa"/>
            <w:vAlign w:val="bottom"/>
          </w:tcPr>
          <w:p>
            <w:pPr>
              <w:spacing w:after="0"/>
              <w:rPr>
                <w:sz w:val="1"/>
                <w:szCs w:val="1"/>
                <w:color w:val="auto"/>
              </w:rPr>
            </w:pPr>
          </w:p>
        </w:tc>
      </w:tr>
      <w:tr>
        <w:trPr>
          <w:trHeight w:val="176"/>
        </w:trPr>
        <w:tc>
          <w:tcPr>
            <w:tcW w:w="13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80" w:type="dxa"/>
            <w:vAlign w:val="bottom"/>
          </w:tcPr>
          <w:p>
            <w:pPr>
              <w:ind w:left="100"/>
              <w:spacing w:after="0" w:line="176" w:lineRule="exact"/>
              <w:rPr>
                <w:sz w:val="20"/>
                <w:szCs w:val="20"/>
                <w:color w:val="auto"/>
              </w:rPr>
            </w:pPr>
            <w:r>
              <w:rPr>
                <w:rFonts w:ascii="Arial" w:cs="Arial" w:eastAsia="Arial" w:hAnsi="Arial"/>
                <w:sz w:val="18"/>
                <w:szCs w:val="18"/>
                <w:color w:val="auto"/>
                <w:w w:val="93"/>
              </w:rPr>
              <w:t>is the manager of FBHR Associates, LLC, and in such capacity may be deemed to share voting power over such shares.</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20" w:type="dxa"/>
            <w:vAlign w:val="bottom"/>
            <w:tcBorders>
              <w:bottom w:val="single" w:sz="8" w:color="auto"/>
            </w:tcBorders>
          </w:tcPr>
          <w:p>
            <w:pPr>
              <w:spacing w:after="0"/>
              <w:rPr>
                <w:sz w:val="5"/>
                <w:szCs w:val="5"/>
                <w:color w:val="auto"/>
              </w:rPr>
            </w:pPr>
          </w:p>
        </w:tc>
        <w:tc>
          <w:tcPr>
            <w:tcW w:w="9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908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20" w:type="dxa"/>
            <w:vAlign w:val="bottom"/>
            <w:vMerge w:val="continue"/>
          </w:tcPr>
          <w:p>
            <w:pPr>
              <w:spacing w:after="0"/>
              <w:rPr>
                <w:sz w:val="18"/>
                <w:szCs w:val="18"/>
                <w:color w:val="auto"/>
              </w:rPr>
            </w:pPr>
          </w:p>
        </w:tc>
        <w:tc>
          <w:tcPr>
            <w:tcW w:w="9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20" w:type="dxa"/>
            <w:vAlign w:val="bottom"/>
          </w:tcPr>
          <w:p>
            <w:pPr>
              <w:spacing w:after="0"/>
              <w:rPr>
                <w:sz w:val="18"/>
                <w:szCs w:val="18"/>
                <w:color w:val="auto"/>
              </w:rPr>
            </w:pPr>
          </w:p>
        </w:tc>
        <w:tc>
          <w:tcPr>
            <w:tcW w:w="9080" w:type="dxa"/>
            <w:vAlign w:val="bottom"/>
            <w:vMerge w:val="restart"/>
          </w:tcPr>
          <w:p>
            <w:pPr>
              <w:ind w:left="200"/>
              <w:spacing w:after="0"/>
              <w:rPr>
                <w:sz w:val="20"/>
                <w:szCs w:val="20"/>
                <w:color w:val="auto"/>
              </w:rPr>
            </w:pPr>
            <w:r>
              <w:rPr>
                <w:rFonts w:ascii="Arial" w:cs="Arial" w:eastAsia="Arial" w:hAnsi="Arial"/>
                <w:sz w:val="18"/>
                <w:szCs w:val="18"/>
                <w:color w:val="auto"/>
              </w:rPr>
              <w:t>See response to row 5.</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9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rPr>
              <w:t>7</w:t>
            </w:r>
          </w:p>
        </w:tc>
        <w:tc>
          <w:tcPr>
            <w:tcW w:w="908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20" w:type="dxa"/>
            <w:vAlign w:val="bottom"/>
            <w:vMerge w:val="continue"/>
          </w:tcPr>
          <w:p>
            <w:pPr>
              <w:spacing w:after="0"/>
              <w:rPr>
                <w:sz w:val="13"/>
                <w:szCs w:val="13"/>
                <w:color w:val="auto"/>
              </w:rPr>
            </w:pPr>
          </w:p>
        </w:tc>
        <w:tc>
          <w:tcPr>
            <w:tcW w:w="9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20" w:type="dxa"/>
            <w:vAlign w:val="bottom"/>
          </w:tcPr>
          <w:p>
            <w:pPr>
              <w:spacing w:after="0"/>
              <w:rPr>
                <w:sz w:val="18"/>
                <w:szCs w:val="18"/>
                <w:color w:val="auto"/>
              </w:rPr>
            </w:pPr>
          </w:p>
        </w:tc>
        <w:tc>
          <w:tcPr>
            <w:tcW w:w="9080" w:type="dxa"/>
            <w:vAlign w:val="bottom"/>
            <w:vMerge w:val="restart"/>
          </w:tcPr>
          <w:p>
            <w:pPr>
              <w:ind w:left="100"/>
              <w:spacing w:after="0"/>
              <w:rPr>
                <w:sz w:val="20"/>
                <w:szCs w:val="20"/>
                <w:color w:val="auto"/>
              </w:rPr>
            </w:pPr>
            <w:r>
              <w:rPr>
                <w:rFonts w:ascii="Arial" w:cs="Arial" w:eastAsia="Arial" w:hAnsi="Arial"/>
                <w:sz w:val="18"/>
                <w:szCs w:val="18"/>
                <w:color w:val="auto"/>
                <w:w w:val="96"/>
              </w:rPr>
              <w:t>2,109,017 Shares held directly by Hillsven LLC. FBHR Associates, LLC is the manager of Hillsven, LLC, and in such</w:t>
            </w:r>
          </w:p>
        </w:tc>
        <w:tc>
          <w:tcPr>
            <w:tcW w:w="0" w:type="dxa"/>
            <w:vAlign w:val="bottom"/>
          </w:tcPr>
          <w:p>
            <w:pPr>
              <w:spacing w:after="0"/>
              <w:rPr>
                <w:sz w:val="1"/>
                <w:szCs w:val="1"/>
                <w:color w:val="auto"/>
              </w:rPr>
            </w:pPr>
          </w:p>
        </w:tc>
      </w:tr>
      <w:tr>
        <w:trPr>
          <w:trHeight w:val="14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20" w:type="dxa"/>
            <w:vAlign w:val="bottom"/>
          </w:tcPr>
          <w:p>
            <w:pPr>
              <w:spacing w:after="0"/>
              <w:rPr>
                <w:sz w:val="12"/>
                <w:szCs w:val="12"/>
                <w:color w:val="auto"/>
              </w:rPr>
            </w:pPr>
          </w:p>
        </w:tc>
        <w:tc>
          <w:tcPr>
            <w:tcW w:w="9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080" w:type="dxa"/>
            <w:vAlign w:val="bottom"/>
            <w:vMerge w:val="restart"/>
          </w:tcPr>
          <w:p>
            <w:pPr>
              <w:ind w:left="100"/>
              <w:spacing w:after="0"/>
              <w:rPr>
                <w:sz w:val="20"/>
                <w:szCs w:val="20"/>
                <w:color w:val="auto"/>
              </w:rPr>
            </w:pPr>
            <w:r>
              <w:rPr>
                <w:rFonts w:ascii="Arial" w:cs="Arial" w:eastAsia="Arial" w:hAnsi="Arial"/>
                <w:sz w:val="18"/>
                <w:szCs w:val="18"/>
                <w:color w:val="auto"/>
                <w:w w:val="93"/>
              </w:rPr>
              <w:t>capacity may be deemed to share dispositive power over such shares. Jim DeMartini, as trustee of Unameit Trust, is the</w:t>
            </w:r>
          </w:p>
        </w:tc>
        <w:tc>
          <w:tcPr>
            <w:tcW w:w="0" w:type="dxa"/>
            <w:vAlign w:val="bottom"/>
          </w:tcPr>
          <w:p>
            <w:pPr>
              <w:spacing w:after="0"/>
              <w:rPr>
                <w:sz w:val="1"/>
                <w:szCs w:val="1"/>
                <w:color w:val="auto"/>
              </w:rPr>
            </w:pPr>
          </w:p>
        </w:tc>
      </w:tr>
      <w:tr>
        <w:trPr>
          <w:trHeight w:val="134"/>
        </w:trPr>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manager of FBHR Associates, LLC, and in such capacity may be deemed to share dispositive power over such shares.</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9080" w:type="dxa"/>
            <w:vAlign w:val="bottom"/>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See response to row 7.</w:t>
      </w:r>
    </w:p>
    <w:p>
      <w:pPr>
        <w:spacing w:after="0" w:line="36" w:lineRule="exact"/>
        <w:rPr>
          <w:sz w:val="20"/>
          <w:szCs w:val="20"/>
          <w:color w:val="auto"/>
        </w:rPr>
      </w:pPr>
    </w:p>
    <w:p>
      <w:pPr>
        <w:ind w:left="604" w:hanging="357"/>
        <w:spacing w:after="0"/>
        <w:tabs>
          <w:tab w:leader="none" w:pos="6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2,109,017</w:t>
      </w:r>
    </w:p>
    <w:p>
      <w:pPr>
        <w:spacing w:after="0" w:line="36" w:lineRule="exact"/>
        <w:rPr>
          <w:sz w:val="20"/>
          <w:szCs w:val="20"/>
          <w:color w:val="auto"/>
        </w:rPr>
      </w:pPr>
    </w:p>
    <w:p>
      <w:pPr>
        <w:ind w:left="624" w:hanging="467"/>
        <w:spacing w:after="0"/>
        <w:tabs>
          <w:tab w:leader="none" w:pos="624" w:val="left"/>
        </w:tabs>
        <w:numPr>
          <w:ilvl w:val="1"/>
          <w:numId w:val="1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460" w:hanging="467"/>
        <w:spacing w:after="0" w:line="337" w:lineRule="auto"/>
        <w:tabs>
          <w:tab w:leader="none" w:pos="624"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3.1% </w:t>
      </w:r>
      <w:r>
        <w:rPr>
          <w:rFonts w:ascii="Arial" w:cs="Arial" w:eastAsia="Arial" w:hAnsi="Arial"/>
          <w:sz w:val="26"/>
          <w:szCs w:val="26"/>
          <w:color w:val="auto"/>
          <w:vertAlign w:val="superscript"/>
        </w:rPr>
        <w:t>(1)</w:t>
      </w:r>
    </w:p>
    <w:p>
      <w:pPr>
        <w:ind w:left="624" w:right="7900" w:hanging="467"/>
        <w:spacing w:after="0" w:line="538" w:lineRule="auto"/>
        <w:tabs>
          <w:tab w:leader="none" w:pos="621" w:val="left"/>
        </w:tabs>
        <w:numPr>
          <w:ilvl w:val="1"/>
          <w:numId w:val="15"/>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1" w:lineRule="exact"/>
        <w:rPr>
          <w:rFonts w:ascii="Arial" w:cs="Arial" w:eastAsia="Arial" w:hAnsi="Arial"/>
          <w:sz w:val="18"/>
          <w:szCs w:val="18"/>
          <w:color w:val="auto"/>
        </w:rPr>
      </w:pPr>
    </w:p>
    <w:p>
      <w:pPr>
        <w:ind w:left="424" w:right="380" w:hanging="424"/>
        <w:spacing w:after="0" w:line="308" w:lineRule="auto"/>
        <w:tabs>
          <w:tab w:leader="none" w:pos="42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percentage ownership is based on 68,037,063 shares of Class A Common Stock outstanding as of May 9, 2022, as reported in the issuer’s Quarterly Report on Form 10-Q, as filed with the Securities and Exchange Commission on May 16, 2022.</w:t>
      </w:r>
    </w:p>
    <w:p>
      <w:pPr>
        <w:sectPr>
          <w:pgSz w:w="11900" w:h="16838" w:orient="portrait"/>
          <w:cols w:equalWidth="0" w:num="1">
            <w:col w:w="11024"/>
          </w:cols>
          <w:pgMar w:left="436" w:top="274" w:right="439" w:bottom="1440" w:gutter="0" w:footer="0" w:header="0"/>
        </w:sectPr>
      </w:pPr>
    </w:p>
    <w:bookmarkStart w:id="3" w:name="page4"/>
    <w:bookmarkEnd w:id="3"/>
    <w:p>
      <w:pPr>
        <w:ind w:left="4"/>
        <w:spacing w:after="0"/>
        <w:tabs>
          <w:tab w:leader="none" w:pos="100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30219Q106</w:t>
      </w:r>
      <w:r>
        <w:rPr>
          <w:sz w:val="20"/>
          <w:szCs w:val="20"/>
          <w:color w:val="auto"/>
        </w:rPr>
        <w:tab/>
      </w:r>
      <w:r>
        <w:rPr>
          <w:rFonts w:ascii="Arial" w:cs="Arial" w:eastAsia="Arial" w:hAnsi="Arial"/>
          <w:sz w:val="16"/>
          <w:szCs w:val="16"/>
          <w:color w:val="auto"/>
        </w:rPr>
        <w:t>Page 4 of 10</w:t>
      </w:r>
    </w:p>
    <w:p>
      <w:pPr>
        <w:spacing w:after="0" w:line="144" w:lineRule="exact"/>
        <w:rPr>
          <w:sz w:val="20"/>
          <w:szCs w:val="20"/>
          <w:color w:val="auto"/>
        </w:rPr>
      </w:pPr>
    </w:p>
    <w:p>
      <w:pPr>
        <w:ind w:left="624" w:hanging="377"/>
        <w:spacing w:after="0"/>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9061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9061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Unameit Trust under Declaration of Trust dated March 10, 2000</w:t>
      </w:r>
    </w:p>
    <w:p>
      <w:pPr>
        <w:spacing w:after="0" w:line="36" w:lineRule="exact"/>
        <w:rPr>
          <w:sz w:val="20"/>
          <w:szCs w:val="20"/>
          <w:color w:val="auto"/>
        </w:rPr>
      </w:pPr>
    </w:p>
    <w:p>
      <w:pPr>
        <w:ind w:left="624" w:hanging="377"/>
        <w:spacing w:after="0"/>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9"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24" w:hanging="377"/>
        <w:spacing w:after="0"/>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2" w:lineRule="exact"/>
        <w:rPr>
          <w:sz w:val="20"/>
          <w:szCs w:val="20"/>
          <w:color w:val="auto"/>
        </w:rPr>
      </w:pPr>
    </w:p>
    <w:p>
      <w:pPr>
        <w:ind w:left="624" w:hanging="377"/>
        <w:spacing w:after="0"/>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California</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908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80" w:type="dxa"/>
            <w:vAlign w:val="bottom"/>
          </w:tcPr>
          <w:p>
            <w:pPr>
              <w:ind w:left="100"/>
              <w:spacing w:after="0"/>
              <w:rPr>
                <w:sz w:val="20"/>
                <w:szCs w:val="20"/>
                <w:color w:val="auto"/>
              </w:rPr>
            </w:pPr>
            <w:r>
              <w:rPr>
                <w:rFonts w:ascii="Arial" w:cs="Arial" w:eastAsia="Arial" w:hAnsi="Arial"/>
                <w:sz w:val="18"/>
                <w:szCs w:val="18"/>
                <w:color w:val="auto"/>
                <w:w w:val="98"/>
              </w:rPr>
              <w:t>2,109,017 shares of Class A Common Stock (“Shares”) held directly by Hillsven LLC. FBHR Associates, LLC is the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Arial" w:cs="Arial" w:eastAsia="Arial" w:hAnsi="Arial"/>
                <w:sz w:val="18"/>
                <w:szCs w:val="18"/>
                <w:color w:val="auto"/>
                <w:w w:val="91"/>
              </w:rPr>
              <w:t>manager of Hillsven, LLC, and in such capacity may be deemed to share voting power over such shares. Jim DeMartini, as</w:t>
            </w:r>
          </w:p>
        </w:tc>
        <w:tc>
          <w:tcPr>
            <w:tcW w:w="0" w:type="dxa"/>
            <w:vAlign w:val="bottom"/>
          </w:tcPr>
          <w:p>
            <w:pPr>
              <w:spacing w:after="0"/>
              <w:rPr>
                <w:sz w:val="1"/>
                <w:szCs w:val="1"/>
                <w:color w:val="auto"/>
              </w:rPr>
            </w:pPr>
          </w:p>
        </w:tc>
      </w:tr>
      <w:tr>
        <w:trPr>
          <w:trHeight w:val="2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2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Arial" w:cs="Arial" w:eastAsia="Arial" w:hAnsi="Arial"/>
                <w:sz w:val="18"/>
                <w:szCs w:val="18"/>
                <w:color w:val="auto"/>
                <w:w w:val="93"/>
              </w:rPr>
              <w:t>trustee of Unameit Trust, is the manager of FBHR Associates, LLC, and in such capacity may be deemed to share voting</w:t>
            </w:r>
          </w:p>
        </w:tc>
        <w:tc>
          <w:tcPr>
            <w:tcW w:w="0" w:type="dxa"/>
            <w:vAlign w:val="bottom"/>
          </w:tcPr>
          <w:p>
            <w:pPr>
              <w:spacing w:after="0"/>
              <w:rPr>
                <w:sz w:val="1"/>
                <w:szCs w:val="1"/>
                <w:color w:val="auto"/>
              </w:rPr>
            </w:pPr>
          </w:p>
        </w:tc>
      </w:tr>
      <w:tr>
        <w:trPr>
          <w:trHeight w:val="176"/>
        </w:trPr>
        <w:tc>
          <w:tcPr>
            <w:tcW w:w="13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80" w:type="dxa"/>
            <w:vAlign w:val="bottom"/>
          </w:tcPr>
          <w:p>
            <w:pPr>
              <w:ind w:left="100"/>
              <w:spacing w:after="0" w:line="176" w:lineRule="exact"/>
              <w:rPr>
                <w:sz w:val="20"/>
                <w:szCs w:val="20"/>
                <w:color w:val="auto"/>
              </w:rPr>
            </w:pPr>
            <w:r>
              <w:rPr>
                <w:rFonts w:ascii="Arial" w:cs="Arial" w:eastAsia="Arial" w:hAnsi="Arial"/>
                <w:sz w:val="18"/>
                <w:szCs w:val="18"/>
                <w:color w:val="auto"/>
              </w:rPr>
              <w:t>power over such shares.</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20" w:type="dxa"/>
            <w:vAlign w:val="bottom"/>
            <w:tcBorders>
              <w:bottom w:val="single" w:sz="8" w:color="auto"/>
            </w:tcBorders>
          </w:tcPr>
          <w:p>
            <w:pPr>
              <w:spacing w:after="0"/>
              <w:rPr>
                <w:sz w:val="5"/>
                <w:szCs w:val="5"/>
                <w:color w:val="auto"/>
              </w:rPr>
            </w:pPr>
          </w:p>
        </w:tc>
        <w:tc>
          <w:tcPr>
            <w:tcW w:w="9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908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20" w:type="dxa"/>
            <w:vAlign w:val="bottom"/>
            <w:vMerge w:val="continue"/>
          </w:tcPr>
          <w:p>
            <w:pPr>
              <w:spacing w:after="0"/>
              <w:rPr>
                <w:sz w:val="18"/>
                <w:szCs w:val="18"/>
                <w:color w:val="auto"/>
              </w:rPr>
            </w:pPr>
          </w:p>
        </w:tc>
        <w:tc>
          <w:tcPr>
            <w:tcW w:w="9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20" w:type="dxa"/>
            <w:vAlign w:val="bottom"/>
          </w:tcPr>
          <w:p>
            <w:pPr>
              <w:spacing w:after="0"/>
              <w:rPr>
                <w:sz w:val="18"/>
                <w:szCs w:val="18"/>
                <w:color w:val="auto"/>
              </w:rPr>
            </w:pPr>
          </w:p>
        </w:tc>
        <w:tc>
          <w:tcPr>
            <w:tcW w:w="9080" w:type="dxa"/>
            <w:vAlign w:val="bottom"/>
            <w:vMerge w:val="restart"/>
          </w:tcPr>
          <w:p>
            <w:pPr>
              <w:ind w:left="200"/>
              <w:spacing w:after="0"/>
              <w:rPr>
                <w:sz w:val="20"/>
                <w:szCs w:val="20"/>
                <w:color w:val="auto"/>
              </w:rPr>
            </w:pPr>
            <w:r>
              <w:rPr>
                <w:rFonts w:ascii="Arial" w:cs="Arial" w:eastAsia="Arial" w:hAnsi="Arial"/>
                <w:sz w:val="18"/>
                <w:szCs w:val="18"/>
                <w:color w:val="auto"/>
              </w:rPr>
              <w:t>See response to row 5.</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9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rPr>
              <w:t>7</w:t>
            </w:r>
          </w:p>
        </w:tc>
        <w:tc>
          <w:tcPr>
            <w:tcW w:w="908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20" w:type="dxa"/>
            <w:vAlign w:val="bottom"/>
            <w:vMerge w:val="continue"/>
          </w:tcPr>
          <w:p>
            <w:pPr>
              <w:spacing w:after="0"/>
              <w:rPr>
                <w:sz w:val="13"/>
                <w:szCs w:val="13"/>
                <w:color w:val="auto"/>
              </w:rPr>
            </w:pPr>
          </w:p>
        </w:tc>
        <w:tc>
          <w:tcPr>
            <w:tcW w:w="9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20" w:type="dxa"/>
            <w:vAlign w:val="bottom"/>
          </w:tcPr>
          <w:p>
            <w:pPr>
              <w:spacing w:after="0"/>
              <w:rPr>
                <w:sz w:val="18"/>
                <w:szCs w:val="18"/>
                <w:color w:val="auto"/>
              </w:rPr>
            </w:pPr>
          </w:p>
        </w:tc>
        <w:tc>
          <w:tcPr>
            <w:tcW w:w="9080" w:type="dxa"/>
            <w:vAlign w:val="bottom"/>
            <w:vMerge w:val="restart"/>
          </w:tcPr>
          <w:p>
            <w:pPr>
              <w:ind w:left="100"/>
              <w:spacing w:after="0"/>
              <w:rPr>
                <w:sz w:val="20"/>
                <w:szCs w:val="20"/>
                <w:color w:val="auto"/>
              </w:rPr>
            </w:pPr>
            <w:r>
              <w:rPr>
                <w:rFonts w:ascii="Arial" w:cs="Arial" w:eastAsia="Arial" w:hAnsi="Arial"/>
                <w:sz w:val="18"/>
                <w:szCs w:val="18"/>
                <w:color w:val="auto"/>
                <w:w w:val="96"/>
              </w:rPr>
              <w:t>2,109,017 Shares held directly by Hillsven LLC. FBHR Associates, LLC is the manager of Hillsven, LLC, and in such</w:t>
            </w:r>
          </w:p>
        </w:tc>
        <w:tc>
          <w:tcPr>
            <w:tcW w:w="0" w:type="dxa"/>
            <w:vAlign w:val="bottom"/>
          </w:tcPr>
          <w:p>
            <w:pPr>
              <w:spacing w:after="0"/>
              <w:rPr>
                <w:sz w:val="1"/>
                <w:szCs w:val="1"/>
                <w:color w:val="auto"/>
              </w:rPr>
            </w:pPr>
          </w:p>
        </w:tc>
      </w:tr>
      <w:tr>
        <w:trPr>
          <w:trHeight w:val="14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20" w:type="dxa"/>
            <w:vAlign w:val="bottom"/>
          </w:tcPr>
          <w:p>
            <w:pPr>
              <w:spacing w:after="0"/>
              <w:rPr>
                <w:sz w:val="12"/>
                <w:szCs w:val="12"/>
                <w:color w:val="auto"/>
              </w:rPr>
            </w:pPr>
          </w:p>
        </w:tc>
        <w:tc>
          <w:tcPr>
            <w:tcW w:w="9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080" w:type="dxa"/>
            <w:vAlign w:val="bottom"/>
            <w:vMerge w:val="restart"/>
          </w:tcPr>
          <w:p>
            <w:pPr>
              <w:ind w:left="100"/>
              <w:spacing w:after="0"/>
              <w:rPr>
                <w:sz w:val="20"/>
                <w:szCs w:val="20"/>
                <w:color w:val="auto"/>
              </w:rPr>
            </w:pPr>
            <w:r>
              <w:rPr>
                <w:rFonts w:ascii="Arial" w:cs="Arial" w:eastAsia="Arial" w:hAnsi="Arial"/>
                <w:sz w:val="18"/>
                <w:szCs w:val="18"/>
                <w:color w:val="auto"/>
                <w:w w:val="93"/>
              </w:rPr>
              <w:t>capacity may be deemed to share dispositive power over such shares. Jim DeMartini, as trustee of Unameit Trust, is the</w:t>
            </w:r>
          </w:p>
        </w:tc>
        <w:tc>
          <w:tcPr>
            <w:tcW w:w="0" w:type="dxa"/>
            <w:vAlign w:val="bottom"/>
          </w:tcPr>
          <w:p>
            <w:pPr>
              <w:spacing w:after="0"/>
              <w:rPr>
                <w:sz w:val="1"/>
                <w:szCs w:val="1"/>
                <w:color w:val="auto"/>
              </w:rPr>
            </w:pPr>
          </w:p>
        </w:tc>
      </w:tr>
      <w:tr>
        <w:trPr>
          <w:trHeight w:val="134"/>
        </w:trPr>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manager of FBHR Associates, LLC, and in such capacity may be deemed to share dispositive power over such shares.</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9080" w:type="dxa"/>
            <w:vAlign w:val="bottom"/>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See response to row 7.</w:t>
      </w:r>
    </w:p>
    <w:p>
      <w:pPr>
        <w:spacing w:after="0" w:line="36" w:lineRule="exact"/>
        <w:rPr>
          <w:sz w:val="20"/>
          <w:szCs w:val="20"/>
          <w:color w:val="auto"/>
        </w:rPr>
      </w:pPr>
    </w:p>
    <w:p>
      <w:pPr>
        <w:ind w:left="604" w:hanging="357"/>
        <w:spacing w:after="0"/>
        <w:tabs>
          <w:tab w:leader="none" w:pos="6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2,109,017</w:t>
      </w:r>
    </w:p>
    <w:p>
      <w:pPr>
        <w:spacing w:after="0" w:line="36" w:lineRule="exact"/>
        <w:rPr>
          <w:sz w:val="20"/>
          <w:szCs w:val="20"/>
          <w:color w:val="auto"/>
        </w:rPr>
      </w:pPr>
    </w:p>
    <w:p>
      <w:pPr>
        <w:ind w:left="624" w:hanging="467"/>
        <w:spacing w:after="0"/>
        <w:tabs>
          <w:tab w:leader="none" w:pos="624" w:val="left"/>
        </w:tabs>
        <w:numPr>
          <w:ilvl w:val="1"/>
          <w:numId w:val="22"/>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460" w:hanging="467"/>
        <w:spacing w:after="0" w:line="337" w:lineRule="auto"/>
        <w:tabs>
          <w:tab w:leader="none" w:pos="624"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3.1% </w:t>
      </w:r>
      <w:r>
        <w:rPr>
          <w:rFonts w:ascii="Arial" w:cs="Arial" w:eastAsia="Arial" w:hAnsi="Arial"/>
          <w:sz w:val="26"/>
          <w:szCs w:val="26"/>
          <w:color w:val="auto"/>
          <w:vertAlign w:val="superscript"/>
        </w:rPr>
        <w:t>(1)</w:t>
      </w:r>
    </w:p>
    <w:p>
      <w:pPr>
        <w:ind w:left="624" w:right="7900" w:hanging="467"/>
        <w:spacing w:after="0" w:line="538" w:lineRule="auto"/>
        <w:tabs>
          <w:tab w:leader="none" w:pos="621"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1" w:lineRule="exact"/>
        <w:rPr>
          <w:rFonts w:ascii="Arial" w:cs="Arial" w:eastAsia="Arial" w:hAnsi="Arial"/>
          <w:sz w:val="18"/>
          <w:szCs w:val="18"/>
          <w:color w:val="auto"/>
        </w:rPr>
      </w:pPr>
    </w:p>
    <w:p>
      <w:pPr>
        <w:ind w:left="424" w:right="380" w:hanging="424"/>
        <w:spacing w:after="0" w:line="308" w:lineRule="auto"/>
        <w:tabs>
          <w:tab w:leader="none" w:pos="4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percentage ownership is based on 68,037,063 shares of Class A Common Stock outstanding as of May 9, 2022, as reported in the issuer’s Quarterly Report on Form 10-Q, as filed with the Securities and Exchange Commission on May 16, 2022.</w:t>
      </w:r>
    </w:p>
    <w:p>
      <w:pPr>
        <w:sectPr>
          <w:pgSz w:w="11900" w:h="16838" w:orient="portrait"/>
          <w:cols w:equalWidth="0" w:num="1">
            <w:col w:w="11024"/>
          </w:cols>
          <w:pgMar w:left="436" w:top="274" w:right="439" w:bottom="1440" w:gutter="0" w:footer="0" w:header="0"/>
        </w:sectPr>
      </w:pPr>
    </w:p>
    <w:bookmarkStart w:id="4" w:name="page5"/>
    <w:bookmarkEnd w:id="4"/>
    <w:p>
      <w:pPr>
        <w:ind w:left="4"/>
        <w:spacing w:after="0"/>
        <w:tabs>
          <w:tab w:leader="none" w:pos="100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30219Q106</w:t>
      </w:r>
      <w:r>
        <w:rPr>
          <w:sz w:val="20"/>
          <w:szCs w:val="20"/>
          <w:color w:val="auto"/>
        </w:rPr>
        <w:tab/>
      </w:r>
      <w:r>
        <w:rPr>
          <w:rFonts w:ascii="Arial" w:cs="Arial" w:eastAsia="Arial" w:hAnsi="Arial"/>
          <w:sz w:val="16"/>
          <w:szCs w:val="16"/>
          <w:color w:val="auto"/>
        </w:rPr>
        <w:t>Page 5 of 10</w:t>
      </w:r>
    </w:p>
    <w:p>
      <w:pPr>
        <w:spacing w:after="0" w:line="144" w:lineRule="exact"/>
        <w:rPr>
          <w:sz w:val="20"/>
          <w:szCs w:val="20"/>
          <w:color w:val="auto"/>
        </w:rPr>
      </w:pPr>
    </w:p>
    <w:p>
      <w:pPr>
        <w:ind w:left="624" w:hanging="377"/>
        <w:spacing w:after="0"/>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9061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90613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James G.B. DeMartini III</w:t>
      </w:r>
    </w:p>
    <w:p>
      <w:pPr>
        <w:spacing w:after="0" w:line="36" w:lineRule="exact"/>
        <w:rPr>
          <w:sz w:val="20"/>
          <w:szCs w:val="20"/>
          <w:color w:val="auto"/>
        </w:rPr>
      </w:pPr>
    </w:p>
    <w:p>
      <w:pPr>
        <w:ind w:left="624" w:hanging="377"/>
        <w:spacing w:after="0"/>
        <w:tabs>
          <w:tab w:leader="none" w:pos="6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9"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624" w:hanging="377"/>
        <w:spacing w:after="0"/>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2" w:lineRule="exact"/>
        <w:rPr>
          <w:sz w:val="20"/>
          <w:szCs w:val="20"/>
          <w:color w:val="auto"/>
        </w:rPr>
      </w:pPr>
    </w:p>
    <w:p>
      <w:pPr>
        <w:ind w:left="624" w:hanging="377"/>
        <w:spacing w:after="0"/>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United States</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9080" w:type="dxa"/>
            <w:vAlign w:val="bottom"/>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80" w:type="dxa"/>
            <w:vAlign w:val="bottom"/>
          </w:tcPr>
          <w:p>
            <w:pPr>
              <w:ind w:left="100"/>
              <w:spacing w:after="0"/>
              <w:rPr>
                <w:sz w:val="20"/>
                <w:szCs w:val="20"/>
                <w:color w:val="auto"/>
              </w:rPr>
            </w:pPr>
            <w:r>
              <w:rPr>
                <w:rFonts w:ascii="Arial" w:cs="Arial" w:eastAsia="Arial" w:hAnsi="Arial"/>
                <w:sz w:val="18"/>
                <w:szCs w:val="18"/>
                <w:color w:val="auto"/>
                <w:w w:val="98"/>
              </w:rPr>
              <w:t>2,109,017 shares of Class A Common Stock (“Shares”) held directly by Hillsven LLC. FBHR Associates, LLC is the</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Arial" w:cs="Arial" w:eastAsia="Arial" w:hAnsi="Arial"/>
                <w:sz w:val="18"/>
                <w:szCs w:val="18"/>
                <w:color w:val="auto"/>
                <w:w w:val="91"/>
              </w:rPr>
              <w:t>manager of Hillsven, LLC, and in such capacity may be deemed to share voting power over such shares. Jim DeMartini, as</w:t>
            </w:r>
          </w:p>
        </w:tc>
        <w:tc>
          <w:tcPr>
            <w:tcW w:w="0" w:type="dxa"/>
            <w:vAlign w:val="bottom"/>
          </w:tcPr>
          <w:p>
            <w:pPr>
              <w:spacing w:after="0"/>
              <w:rPr>
                <w:sz w:val="1"/>
                <w:szCs w:val="1"/>
                <w:color w:val="auto"/>
              </w:rPr>
            </w:pPr>
          </w:p>
        </w:tc>
      </w:tr>
      <w:tr>
        <w:trPr>
          <w:trHeight w:val="2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320" w:type="dxa"/>
            <w:vAlign w:val="bottom"/>
          </w:tcPr>
          <w:p>
            <w:pPr>
              <w:spacing w:after="0"/>
              <w:rPr>
                <w:sz w:val="18"/>
                <w:szCs w:val="18"/>
                <w:color w:val="auto"/>
              </w:rPr>
            </w:pPr>
          </w:p>
        </w:tc>
        <w:tc>
          <w:tcPr>
            <w:tcW w:w="9080" w:type="dxa"/>
            <w:vAlign w:val="bottom"/>
          </w:tcPr>
          <w:p>
            <w:pPr>
              <w:ind w:left="100"/>
              <w:spacing w:after="0"/>
              <w:rPr>
                <w:sz w:val="20"/>
                <w:szCs w:val="20"/>
                <w:color w:val="auto"/>
              </w:rPr>
            </w:pPr>
            <w:r>
              <w:rPr>
                <w:rFonts w:ascii="Arial" w:cs="Arial" w:eastAsia="Arial" w:hAnsi="Arial"/>
                <w:sz w:val="18"/>
                <w:szCs w:val="18"/>
                <w:color w:val="auto"/>
                <w:w w:val="93"/>
              </w:rPr>
              <w:t>trustee of Unameit Trust, is the manager of FBHR Associates, LLC, and in such capacity may be deemed to share voting</w:t>
            </w:r>
          </w:p>
        </w:tc>
        <w:tc>
          <w:tcPr>
            <w:tcW w:w="0" w:type="dxa"/>
            <w:vAlign w:val="bottom"/>
          </w:tcPr>
          <w:p>
            <w:pPr>
              <w:spacing w:after="0"/>
              <w:rPr>
                <w:sz w:val="1"/>
                <w:szCs w:val="1"/>
                <w:color w:val="auto"/>
              </w:rPr>
            </w:pPr>
          </w:p>
        </w:tc>
      </w:tr>
      <w:tr>
        <w:trPr>
          <w:trHeight w:val="176"/>
        </w:trPr>
        <w:tc>
          <w:tcPr>
            <w:tcW w:w="13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80" w:type="dxa"/>
            <w:vAlign w:val="bottom"/>
          </w:tcPr>
          <w:p>
            <w:pPr>
              <w:ind w:left="100"/>
              <w:spacing w:after="0" w:line="176" w:lineRule="exact"/>
              <w:rPr>
                <w:sz w:val="20"/>
                <w:szCs w:val="20"/>
                <w:color w:val="auto"/>
              </w:rPr>
            </w:pPr>
            <w:r>
              <w:rPr>
                <w:rFonts w:ascii="Arial" w:cs="Arial" w:eastAsia="Arial" w:hAnsi="Arial"/>
                <w:sz w:val="18"/>
                <w:szCs w:val="18"/>
                <w:color w:val="auto"/>
              </w:rPr>
              <w:t>power over such shares.</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20" w:type="dxa"/>
            <w:vAlign w:val="bottom"/>
            <w:tcBorders>
              <w:bottom w:val="single" w:sz="8" w:color="auto"/>
            </w:tcBorders>
          </w:tcPr>
          <w:p>
            <w:pPr>
              <w:spacing w:after="0"/>
              <w:rPr>
                <w:sz w:val="5"/>
                <w:szCs w:val="5"/>
                <w:color w:val="auto"/>
              </w:rPr>
            </w:pPr>
          </w:p>
        </w:tc>
        <w:tc>
          <w:tcPr>
            <w:tcW w:w="9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9080" w:type="dxa"/>
            <w:vAlign w:val="bottom"/>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BENEFICIALLY</w:t>
            </w:r>
          </w:p>
        </w:tc>
        <w:tc>
          <w:tcPr>
            <w:tcW w:w="320" w:type="dxa"/>
            <w:vAlign w:val="bottom"/>
            <w:vMerge w:val="continue"/>
          </w:tcPr>
          <w:p>
            <w:pPr>
              <w:spacing w:after="0"/>
              <w:rPr>
                <w:sz w:val="18"/>
                <w:szCs w:val="18"/>
                <w:color w:val="auto"/>
              </w:rPr>
            </w:pPr>
          </w:p>
        </w:tc>
        <w:tc>
          <w:tcPr>
            <w:tcW w:w="9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320" w:type="dxa"/>
            <w:vAlign w:val="bottom"/>
          </w:tcPr>
          <w:p>
            <w:pPr>
              <w:spacing w:after="0"/>
              <w:rPr>
                <w:sz w:val="18"/>
                <w:szCs w:val="18"/>
                <w:color w:val="auto"/>
              </w:rPr>
            </w:pPr>
          </w:p>
        </w:tc>
        <w:tc>
          <w:tcPr>
            <w:tcW w:w="9080" w:type="dxa"/>
            <w:vAlign w:val="bottom"/>
            <w:vMerge w:val="restart"/>
          </w:tcPr>
          <w:p>
            <w:pPr>
              <w:ind w:left="200"/>
              <w:spacing w:after="0"/>
              <w:rPr>
                <w:sz w:val="20"/>
                <w:szCs w:val="20"/>
                <w:color w:val="auto"/>
              </w:rPr>
            </w:pPr>
            <w:r>
              <w:rPr>
                <w:rFonts w:ascii="Arial" w:cs="Arial" w:eastAsia="Arial" w:hAnsi="Arial"/>
                <w:sz w:val="18"/>
                <w:szCs w:val="18"/>
                <w:color w:val="auto"/>
              </w:rPr>
              <w:t>See response to row 5.</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320" w:type="dxa"/>
            <w:vAlign w:val="bottom"/>
            <w:tcBorders>
              <w:bottom w:val="single" w:sz="8" w:color="auto"/>
            </w:tcBorders>
          </w:tcPr>
          <w:p>
            <w:pPr>
              <w:spacing w:after="0"/>
              <w:rPr>
                <w:sz w:val="10"/>
                <w:szCs w:val="10"/>
                <w:color w:val="auto"/>
              </w:rPr>
            </w:pPr>
          </w:p>
        </w:tc>
        <w:tc>
          <w:tcPr>
            <w:tcW w:w="90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320" w:type="dxa"/>
            <w:vAlign w:val="bottom"/>
            <w:vMerge w:val="restart"/>
          </w:tcPr>
          <w:p>
            <w:pPr>
              <w:jc w:val="right"/>
              <w:ind w:right="30"/>
              <w:spacing w:after="0"/>
              <w:rPr>
                <w:sz w:val="20"/>
                <w:szCs w:val="20"/>
                <w:color w:val="auto"/>
              </w:rPr>
            </w:pPr>
            <w:r>
              <w:rPr>
                <w:rFonts w:ascii="Arial" w:cs="Arial" w:eastAsia="Arial" w:hAnsi="Arial"/>
                <w:sz w:val="18"/>
                <w:szCs w:val="18"/>
                <w:color w:val="auto"/>
              </w:rPr>
              <w:t>7</w:t>
            </w:r>
          </w:p>
        </w:tc>
        <w:tc>
          <w:tcPr>
            <w:tcW w:w="908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20" w:type="dxa"/>
            <w:vAlign w:val="bottom"/>
            <w:vMerge w:val="continue"/>
          </w:tcPr>
          <w:p>
            <w:pPr>
              <w:spacing w:after="0"/>
              <w:rPr>
                <w:sz w:val="13"/>
                <w:szCs w:val="13"/>
                <w:color w:val="auto"/>
              </w:rPr>
            </w:pPr>
          </w:p>
        </w:tc>
        <w:tc>
          <w:tcPr>
            <w:tcW w:w="9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320" w:type="dxa"/>
            <w:vAlign w:val="bottom"/>
          </w:tcPr>
          <w:p>
            <w:pPr>
              <w:spacing w:after="0"/>
              <w:rPr>
                <w:sz w:val="18"/>
                <w:szCs w:val="18"/>
                <w:color w:val="auto"/>
              </w:rPr>
            </w:pPr>
          </w:p>
        </w:tc>
        <w:tc>
          <w:tcPr>
            <w:tcW w:w="9080" w:type="dxa"/>
            <w:vAlign w:val="bottom"/>
            <w:vMerge w:val="restart"/>
          </w:tcPr>
          <w:p>
            <w:pPr>
              <w:ind w:left="100"/>
              <w:spacing w:after="0"/>
              <w:rPr>
                <w:sz w:val="20"/>
                <w:szCs w:val="20"/>
                <w:color w:val="auto"/>
              </w:rPr>
            </w:pPr>
            <w:r>
              <w:rPr>
                <w:rFonts w:ascii="Arial" w:cs="Arial" w:eastAsia="Arial" w:hAnsi="Arial"/>
                <w:sz w:val="18"/>
                <w:szCs w:val="18"/>
                <w:color w:val="auto"/>
                <w:w w:val="96"/>
              </w:rPr>
              <w:t>2,109,017 Shares held directly by Hillsven LLC. FBHR Associates, LLC is the manager of Hillsven, LLC, and in such</w:t>
            </w:r>
          </w:p>
        </w:tc>
        <w:tc>
          <w:tcPr>
            <w:tcW w:w="0" w:type="dxa"/>
            <w:vAlign w:val="bottom"/>
          </w:tcPr>
          <w:p>
            <w:pPr>
              <w:spacing w:after="0"/>
              <w:rPr>
                <w:sz w:val="1"/>
                <w:szCs w:val="1"/>
                <w:color w:val="auto"/>
              </w:rPr>
            </w:pPr>
          </w:p>
        </w:tc>
      </w:tr>
      <w:tr>
        <w:trPr>
          <w:trHeight w:val="14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20" w:type="dxa"/>
            <w:vAlign w:val="bottom"/>
          </w:tcPr>
          <w:p>
            <w:pPr>
              <w:spacing w:after="0"/>
              <w:rPr>
                <w:sz w:val="12"/>
                <w:szCs w:val="12"/>
                <w:color w:val="auto"/>
              </w:rPr>
            </w:pPr>
          </w:p>
        </w:tc>
        <w:tc>
          <w:tcPr>
            <w:tcW w:w="9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9080" w:type="dxa"/>
            <w:vAlign w:val="bottom"/>
            <w:vMerge w:val="restart"/>
          </w:tcPr>
          <w:p>
            <w:pPr>
              <w:ind w:left="100"/>
              <w:spacing w:after="0"/>
              <w:rPr>
                <w:sz w:val="20"/>
                <w:szCs w:val="20"/>
                <w:color w:val="auto"/>
              </w:rPr>
            </w:pPr>
            <w:r>
              <w:rPr>
                <w:rFonts w:ascii="Arial" w:cs="Arial" w:eastAsia="Arial" w:hAnsi="Arial"/>
                <w:sz w:val="18"/>
                <w:szCs w:val="18"/>
                <w:color w:val="auto"/>
                <w:w w:val="93"/>
              </w:rPr>
              <w:t>capacity may be deemed to share dispositive power over such shares. Jim DeMartini, as trustee of Unameit Trust, is the</w:t>
            </w:r>
          </w:p>
        </w:tc>
        <w:tc>
          <w:tcPr>
            <w:tcW w:w="0" w:type="dxa"/>
            <w:vAlign w:val="bottom"/>
          </w:tcPr>
          <w:p>
            <w:pPr>
              <w:spacing w:after="0"/>
              <w:rPr>
                <w:sz w:val="1"/>
                <w:szCs w:val="1"/>
                <w:color w:val="auto"/>
              </w:rPr>
            </w:pPr>
          </w:p>
        </w:tc>
      </w:tr>
      <w:tr>
        <w:trPr>
          <w:trHeight w:val="134"/>
        </w:trPr>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manager of FBHR Associates, LLC, and in such capacity may be deemed to share dispositive power over such shares.</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9080" w:type="dxa"/>
            <w:vAlign w:val="bottom"/>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024"/>
        <w:spacing w:after="0"/>
        <w:rPr>
          <w:sz w:val="20"/>
          <w:szCs w:val="20"/>
          <w:color w:val="auto"/>
        </w:rPr>
      </w:pPr>
      <w:r>
        <w:rPr>
          <w:rFonts w:ascii="Arial" w:cs="Arial" w:eastAsia="Arial" w:hAnsi="Arial"/>
          <w:sz w:val="18"/>
          <w:szCs w:val="18"/>
          <w:color w:val="auto"/>
        </w:rPr>
        <w:t>See response to row 7.</w:t>
      </w:r>
    </w:p>
    <w:p>
      <w:pPr>
        <w:spacing w:after="0" w:line="36" w:lineRule="exact"/>
        <w:rPr>
          <w:sz w:val="20"/>
          <w:szCs w:val="20"/>
          <w:color w:val="auto"/>
        </w:rPr>
      </w:pPr>
    </w:p>
    <w:p>
      <w:pPr>
        <w:ind w:left="604" w:hanging="357"/>
        <w:spacing w:after="0"/>
        <w:tabs>
          <w:tab w:leader="none" w:pos="6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2,109,017</w:t>
      </w:r>
    </w:p>
    <w:p>
      <w:pPr>
        <w:spacing w:after="0" w:line="36" w:lineRule="exact"/>
        <w:rPr>
          <w:sz w:val="20"/>
          <w:szCs w:val="20"/>
          <w:color w:val="auto"/>
        </w:rPr>
      </w:pPr>
    </w:p>
    <w:p>
      <w:pPr>
        <w:ind w:left="624" w:hanging="467"/>
        <w:spacing w:after="0"/>
        <w:tabs>
          <w:tab w:leader="none" w:pos="624" w:val="left"/>
        </w:tabs>
        <w:numPr>
          <w:ilvl w:val="1"/>
          <w:numId w:val="2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460" w:hanging="467"/>
        <w:spacing w:after="0" w:line="337" w:lineRule="auto"/>
        <w:tabs>
          <w:tab w:leader="none" w:pos="624"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3.1% </w:t>
      </w:r>
      <w:r>
        <w:rPr>
          <w:rFonts w:ascii="Arial" w:cs="Arial" w:eastAsia="Arial" w:hAnsi="Arial"/>
          <w:sz w:val="26"/>
          <w:szCs w:val="26"/>
          <w:color w:val="auto"/>
          <w:vertAlign w:val="superscript"/>
        </w:rPr>
        <w:t>(1)</w:t>
      </w:r>
    </w:p>
    <w:p>
      <w:pPr>
        <w:ind w:left="624" w:right="7900" w:hanging="467"/>
        <w:spacing w:after="0" w:line="538" w:lineRule="auto"/>
        <w:tabs>
          <w:tab w:leader="none" w:pos="621" w:val="left"/>
        </w:tabs>
        <w:numPr>
          <w:ilvl w:val="1"/>
          <w:numId w:val="29"/>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1" w:lineRule="exact"/>
        <w:rPr>
          <w:rFonts w:ascii="Arial" w:cs="Arial" w:eastAsia="Arial" w:hAnsi="Arial"/>
          <w:sz w:val="18"/>
          <w:szCs w:val="18"/>
          <w:color w:val="auto"/>
        </w:rPr>
      </w:pPr>
    </w:p>
    <w:p>
      <w:pPr>
        <w:ind w:left="424" w:right="380" w:hanging="424"/>
        <w:spacing w:after="0" w:line="308" w:lineRule="auto"/>
        <w:tabs>
          <w:tab w:leader="none" w:pos="42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percentage ownership is based on 68,037,063 shares of Class A Common Stock outstanding as of May 9, 2022, as reported in the issuer’s Quarterly Report on Form 10-Q, as filed with the Securities and Exchange Commission on May 16, 2022.</w:t>
      </w:r>
    </w:p>
    <w:p>
      <w:pPr>
        <w:sectPr>
          <w:pgSz w:w="11900" w:h="16838" w:orient="portrait"/>
          <w:cols w:equalWidth="0" w:num="1">
            <w:col w:w="11024"/>
          </w:cols>
          <w:pgMar w:left="436" w:top="274" w:right="439" w:bottom="1440" w:gutter="0" w:footer="0" w:header="0"/>
        </w:sectPr>
      </w:pPr>
    </w:p>
    <w:bookmarkStart w:id="5" w:name="page6"/>
    <w:bookmarkEnd w:id="5"/>
    <w:p>
      <w:pPr>
        <w:spacing w:after="0"/>
        <w:tabs>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30219Q106</w:t>
      </w:r>
      <w:r>
        <w:rPr>
          <w:sz w:val="20"/>
          <w:szCs w:val="20"/>
          <w:color w:val="auto"/>
        </w:rPr>
        <w:tab/>
      </w:r>
      <w:r>
        <w:rPr>
          <w:rFonts w:ascii="Arial" w:cs="Arial" w:eastAsia="Arial" w:hAnsi="Arial"/>
          <w:sz w:val="16"/>
          <w:szCs w:val="16"/>
          <w:color w:val="auto"/>
        </w:rPr>
        <w:t>Page 6 of 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NAME OF ISSUER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Expensify, Inc. (the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ITEM1(B). </w:t>
      </w:r>
      <w:r>
        <w:rPr>
          <w:rFonts w:ascii="Arial" w:cs="Arial" w:eastAsia="Arial" w:hAnsi="Arial"/>
          <w:sz w:val="18"/>
          <w:szCs w:val="18"/>
          <w:u w:val="single" w:color="auto"/>
          <w:color w:val="auto"/>
        </w:rPr>
        <w:t>ADDRESS OF ISSUER’S PRINCIPAL EXECUTIVE OFFICES</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401 SW </w:t>
      </w:r>
      <w:r>
        <w:rPr>
          <w:rFonts w:ascii="Arial" w:cs="Arial" w:eastAsia="Arial" w:hAnsi="Arial"/>
          <w:sz w:val="26"/>
          <w:szCs w:val="26"/>
          <w:color w:val="auto"/>
          <w:vertAlign w:val="superscript"/>
        </w:rPr>
        <w:t>5th</w:t>
      </w:r>
      <w:r>
        <w:rPr>
          <w:rFonts w:ascii="Arial" w:cs="Arial" w:eastAsia="Arial" w:hAnsi="Arial"/>
          <w:sz w:val="18"/>
          <w:szCs w:val="18"/>
          <w:color w:val="auto"/>
        </w:rPr>
        <w:t xml:space="preserve"> Avenue</w:t>
      </w:r>
    </w:p>
    <w:p>
      <w:pPr>
        <w:ind w:left="980"/>
        <w:spacing w:after="0"/>
        <w:rPr>
          <w:sz w:val="20"/>
          <w:szCs w:val="20"/>
          <w:color w:val="auto"/>
        </w:rPr>
      </w:pPr>
      <w:r>
        <w:rPr>
          <w:rFonts w:ascii="Arial" w:cs="Arial" w:eastAsia="Arial" w:hAnsi="Arial"/>
          <w:sz w:val="18"/>
          <w:szCs w:val="18"/>
          <w:color w:val="auto"/>
        </w:rPr>
        <w:t>Portland, OR 97204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ITEM2(A). </w:t>
      </w:r>
      <w:r>
        <w:rPr>
          <w:rFonts w:ascii="Arial" w:cs="Arial" w:eastAsia="Arial" w:hAnsi="Arial"/>
          <w:sz w:val="18"/>
          <w:szCs w:val="18"/>
          <w:u w:val="single" w:color="auto"/>
          <w:color w:val="auto"/>
        </w:rPr>
        <w:t>NAME OF PERSONS FILING</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Schedule is jointly filed by: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Hillsven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FBHR Associates, LLC</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Unameit Trust under Declaration of Trust dated March 10, 2000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James G.B. DeMartini, III</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foregoing entities and persons are collectively referred to as the “Reporting Persons.”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ITEM2(B). </w:t>
      </w:r>
      <w:r>
        <w:rPr>
          <w:rFonts w:ascii="Arial" w:cs="Arial" w:eastAsia="Arial" w:hAnsi="Arial"/>
          <w:sz w:val="18"/>
          <w:szCs w:val="18"/>
          <w:u w:val="single" w:color="auto"/>
          <w:color w:val="auto"/>
        </w:rPr>
        <w:t>ADDRESS OF PRINCIPAL OFFICE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for each of the Reporting Persons is: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Three Lagoon Drive, Suite 400</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Redwood City, CA 94065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ITEM2(C). </w:t>
      </w:r>
      <w:r>
        <w:rPr>
          <w:rFonts w:ascii="Arial" w:cs="Arial" w:eastAsia="Arial" w:hAnsi="Arial"/>
          <w:sz w:val="18"/>
          <w:szCs w:val="18"/>
          <w:u w:val="single" w:color="auto"/>
          <w:color w:val="auto"/>
        </w:rPr>
        <w:t>CITIZENSHIP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Row 4 of cover page for each Reporting Person.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ITEM2(D). </w:t>
      </w:r>
      <w:r>
        <w:rPr>
          <w:rFonts w:ascii="Arial" w:cs="Arial" w:eastAsia="Arial" w:hAnsi="Arial"/>
          <w:sz w:val="18"/>
          <w:szCs w:val="18"/>
          <w:u w:val="single" w:color="auto"/>
          <w:color w:val="auto"/>
        </w:rPr>
        <w:t>TITLE OF CLASS OF SECURITIES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Class A Common Stock, par value $0.0001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ITEM2(E) </w:t>
      </w:r>
      <w:r>
        <w:rPr>
          <w:rFonts w:ascii="Arial" w:cs="Arial" w:eastAsia="Arial" w:hAnsi="Arial"/>
          <w:sz w:val="18"/>
          <w:szCs w:val="18"/>
          <w:u w:val="single" w:color="auto"/>
          <w:color w:val="auto"/>
        </w:rPr>
        <w:t>CUSIP NUMBER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30219Q106</w:t>
      </w:r>
    </w:p>
    <w:p>
      <w:pPr>
        <w:spacing w:after="0" w:line="252" w:lineRule="exact"/>
        <w:rPr>
          <w:sz w:val="20"/>
          <w:szCs w:val="20"/>
          <w:color w:val="auto"/>
        </w:rPr>
      </w:pPr>
    </w:p>
    <w:p>
      <w:pPr>
        <w:ind w:left="440" w:right="160" w:hanging="444"/>
        <w:spacing w:after="0" w:line="277" w:lineRule="auto"/>
        <w:rPr>
          <w:sz w:val="20"/>
          <w:szCs w:val="20"/>
          <w:color w:val="auto"/>
        </w:rPr>
      </w:pPr>
      <w:r>
        <w:rPr>
          <w:rFonts w:ascii="Arial" w:cs="Arial" w:eastAsia="Arial" w:hAnsi="Arial"/>
          <w:sz w:val="18"/>
          <w:szCs w:val="18"/>
          <w:color w:val="auto"/>
        </w:rPr>
        <w:t xml:space="preserve">ITEM3. </w:t>
      </w:r>
      <w:r>
        <w:rPr>
          <w:rFonts w:ascii="Arial" w:cs="Arial" w:eastAsia="Arial" w:hAnsi="Arial"/>
          <w:sz w:val="18"/>
          <w:szCs w:val="18"/>
          <w:u w:val="single" w:color="auto"/>
          <w:color w:val="auto"/>
        </w:rPr>
        <w:t>IF THIS STATEMENT IS FILED PURSUANT TO RULE 13D-1(B), OR 13D-2(B) OR (C), CHECK WHETHER THE PERSON FILING IS</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ITEM4. </w:t>
      </w:r>
      <w:r>
        <w:rPr>
          <w:rFonts w:ascii="Arial" w:cs="Arial" w:eastAsia="Arial" w:hAnsi="Arial"/>
          <w:sz w:val="18"/>
          <w:szCs w:val="18"/>
          <w:u w:val="single" w:color="auto"/>
          <w:color w:val="auto"/>
        </w:rPr>
        <w:t>OWNERSHIP</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Amount beneficially owned: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Row 9 of cover page for each Reporting Person.</w:t>
      </w:r>
    </w:p>
    <w:p>
      <w:pPr>
        <w:sectPr>
          <w:pgSz w:w="11900" w:h="16838" w:orient="portrait"/>
          <w:cols w:equalWidth="0" w:num="1">
            <w:col w:w="11020"/>
          </w:cols>
          <w:pgMar w:left="440" w:top="274" w:right="439" w:bottom="1440" w:gutter="0" w:footer="0" w:header="0"/>
        </w:sectPr>
      </w:pPr>
    </w:p>
    <w:bookmarkStart w:id="6" w:name="page7"/>
    <w:bookmarkEnd w:id="6"/>
    <w:p>
      <w:pPr>
        <w:spacing w:after="0"/>
        <w:tabs>
          <w:tab w:leader="none" w:pos="9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30219Q106</w:t>
      </w:r>
      <w:r>
        <w:rPr>
          <w:sz w:val="20"/>
          <w:szCs w:val="20"/>
          <w:color w:val="auto"/>
        </w:rPr>
        <w:tab/>
      </w:r>
      <w:r>
        <w:rPr>
          <w:rFonts w:ascii="Arial" w:cs="Arial" w:eastAsia="Arial" w:hAnsi="Arial"/>
          <w:sz w:val="15"/>
          <w:szCs w:val="15"/>
          <w:color w:val="auto"/>
        </w:rPr>
        <w:t>Page 7 of 10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9420" w:type="dxa"/>
            <w:vAlign w:val="bottom"/>
            <w:gridSpan w:val="15"/>
          </w:tcPr>
          <w:p>
            <w:pPr>
              <w:spacing w:after="0"/>
              <w:rPr>
                <w:sz w:val="20"/>
                <w:szCs w:val="20"/>
                <w:color w:val="auto"/>
              </w:rPr>
            </w:pPr>
            <w:r>
              <w:rPr>
                <w:rFonts w:ascii="Arial" w:cs="Arial" w:eastAsia="Arial" w:hAnsi="Arial"/>
                <w:sz w:val="18"/>
                <w:szCs w:val="18"/>
                <w:color w:val="auto"/>
              </w:rPr>
              <w:t>(a)  Percent of Class:</w:t>
            </w:r>
          </w:p>
        </w:tc>
      </w:tr>
      <w:tr>
        <w:trPr>
          <w:trHeight w:val="20"/>
        </w:trPr>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53"/>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60" w:type="dxa"/>
            <w:vAlign w:val="bottom"/>
            <w:gridSpan w:val="13"/>
          </w:tcPr>
          <w:p>
            <w:pPr>
              <w:spacing w:after="0"/>
              <w:rPr>
                <w:sz w:val="20"/>
                <w:szCs w:val="20"/>
                <w:color w:val="auto"/>
              </w:rPr>
            </w:pPr>
            <w:r>
              <w:rPr>
                <w:rFonts w:ascii="Arial" w:cs="Arial" w:eastAsia="Arial" w:hAnsi="Arial"/>
                <w:sz w:val="18"/>
                <w:szCs w:val="18"/>
                <w:color w:val="auto"/>
              </w:rPr>
              <w:t>See Row 11 of cover page for each Reporting Person.</w:t>
            </w:r>
          </w:p>
        </w:tc>
      </w:tr>
      <w:tr>
        <w:trPr>
          <w:trHeight w:val="392"/>
        </w:trPr>
        <w:tc>
          <w:tcPr>
            <w:tcW w:w="1540" w:type="dxa"/>
            <w:vAlign w:val="bottom"/>
          </w:tcPr>
          <w:p>
            <w:pPr>
              <w:spacing w:after="0"/>
              <w:rPr>
                <w:sz w:val="24"/>
                <w:szCs w:val="24"/>
                <w:color w:val="auto"/>
              </w:rPr>
            </w:pPr>
          </w:p>
        </w:tc>
        <w:tc>
          <w:tcPr>
            <w:tcW w:w="9420" w:type="dxa"/>
            <w:vAlign w:val="bottom"/>
            <w:gridSpan w:val="15"/>
          </w:tcPr>
          <w:p>
            <w:pPr>
              <w:spacing w:after="0"/>
              <w:rPr>
                <w:sz w:val="20"/>
                <w:szCs w:val="20"/>
                <w:color w:val="auto"/>
              </w:rPr>
            </w:pPr>
            <w:r>
              <w:rPr>
                <w:rFonts w:ascii="Arial" w:cs="Arial" w:eastAsia="Arial" w:hAnsi="Arial"/>
                <w:sz w:val="18"/>
                <w:szCs w:val="18"/>
                <w:color w:val="auto"/>
              </w:rPr>
              <w:t>(b)  Number of shares as to which such person has:</w:t>
            </w:r>
          </w:p>
        </w:tc>
      </w:tr>
      <w:tr>
        <w:trPr>
          <w:trHeight w:val="412"/>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w w:val="99"/>
              </w:rPr>
              <w:t>(i)  Sole power to vote or to direct the vote:</w:t>
            </w:r>
          </w:p>
        </w:tc>
        <w:tc>
          <w:tcPr>
            <w:tcW w:w="5680" w:type="dxa"/>
            <w:vAlign w:val="bottom"/>
            <w:gridSpan w:val="7"/>
          </w:tcPr>
          <w:p>
            <w:pPr>
              <w:spacing w:after="0"/>
              <w:rPr>
                <w:sz w:val="24"/>
                <w:szCs w:val="24"/>
                <w:color w:val="auto"/>
              </w:rPr>
            </w:pPr>
          </w:p>
        </w:tc>
      </w:tr>
      <w:tr>
        <w:trPr>
          <w:trHeight w:val="20"/>
        </w:trPr>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53"/>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00" w:type="dxa"/>
            <w:vAlign w:val="bottom"/>
            <w:gridSpan w:val="12"/>
          </w:tcPr>
          <w:p>
            <w:pPr>
              <w:spacing w:after="0"/>
              <w:rPr>
                <w:sz w:val="20"/>
                <w:szCs w:val="20"/>
                <w:color w:val="auto"/>
              </w:rPr>
            </w:pPr>
            <w:r>
              <w:rPr>
                <w:rFonts w:ascii="Arial" w:cs="Arial" w:eastAsia="Arial" w:hAnsi="Arial"/>
                <w:sz w:val="18"/>
                <w:szCs w:val="18"/>
                <w:color w:val="auto"/>
              </w:rPr>
              <w:t>See Row 5 of cover page for each Reporting Person.</w:t>
            </w:r>
          </w:p>
        </w:tc>
      </w:tr>
      <w:tr>
        <w:trPr>
          <w:trHeight w:val="392"/>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60" w:type="dxa"/>
            <w:vAlign w:val="bottom"/>
            <w:gridSpan w:val="13"/>
          </w:tcPr>
          <w:p>
            <w:pPr>
              <w:spacing w:after="0"/>
              <w:rPr>
                <w:sz w:val="20"/>
                <w:szCs w:val="20"/>
                <w:color w:val="auto"/>
              </w:rPr>
            </w:pPr>
            <w:r>
              <w:rPr>
                <w:rFonts w:ascii="Arial" w:cs="Arial" w:eastAsia="Arial" w:hAnsi="Arial"/>
                <w:sz w:val="18"/>
                <w:szCs w:val="18"/>
                <w:color w:val="auto"/>
              </w:rPr>
              <w:t>(ii)  Shared power to vote or to direct the vote:</w:t>
            </w:r>
          </w:p>
        </w:tc>
      </w:tr>
      <w:tr>
        <w:trPr>
          <w:trHeight w:val="20"/>
        </w:trPr>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53"/>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00" w:type="dxa"/>
            <w:vAlign w:val="bottom"/>
            <w:gridSpan w:val="12"/>
          </w:tcPr>
          <w:p>
            <w:pPr>
              <w:spacing w:after="0"/>
              <w:rPr>
                <w:sz w:val="20"/>
                <w:szCs w:val="20"/>
                <w:color w:val="auto"/>
              </w:rPr>
            </w:pPr>
            <w:r>
              <w:rPr>
                <w:rFonts w:ascii="Arial" w:cs="Arial" w:eastAsia="Arial" w:hAnsi="Arial"/>
                <w:sz w:val="18"/>
                <w:szCs w:val="18"/>
                <w:color w:val="auto"/>
              </w:rPr>
              <w:t>See Row 6 of cover page for each Reporting Person.</w:t>
            </w:r>
          </w:p>
        </w:tc>
      </w:tr>
      <w:tr>
        <w:trPr>
          <w:trHeight w:val="392"/>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60" w:type="dxa"/>
            <w:vAlign w:val="bottom"/>
            <w:gridSpan w:val="13"/>
          </w:tcPr>
          <w:p>
            <w:pPr>
              <w:spacing w:after="0"/>
              <w:rPr>
                <w:sz w:val="20"/>
                <w:szCs w:val="20"/>
                <w:color w:val="auto"/>
              </w:rPr>
            </w:pPr>
            <w:r>
              <w:rPr>
                <w:rFonts w:ascii="Arial" w:cs="Arial" w:eastAsia="Arial" w:hAnsi="Arial"/>
                <w:sz w:val="18"/>
                <w:szCs w:val="18"/>
                <w:color w:val="auto"/>
              </w:rPr>
              <w:t>(iii) Sole power to dispose or to direct the disposition of:</w:t>
            </w:r>
          </w:p>
        </w:tc>
      </w:tr>
      <w:tr>
        <w:trPr>
          <w:trHeight w:val="20"/>
        </w:trPr>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c>
          <w:tcPr>
            <w:tcW w:w="1340" w:type="dxa"/>
            <w:vAlign w:val="bottom"/>
            <w:tcBorders>
              <w:right w:val="single" w:sz="8" w:color="auto"/>
            </w:tcBorders>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53"/>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00" w:type="dxa"/>
            <w:vAlign w:val="bottom"/>
            <w:gridSpan w:val="12"/>
          </w:tcPr>
          <w:p>
            <w:pPr>
              <w:spacing w:after="0"/>
              <w:rPr>
                <w:sz w:val="20"/>
                <w:szCs w:val="20"/>
                <w:color w:val="auto"/>
              </w:rPr>
            </w:pPr>
            <w:r>
              <w:rPr>
                <w:rFonts w:ascii="Arial" w:cs="Arial" w:eastAsia="Arial" w:hAnsi="Arial"/>
                <w:sz w:val="18"/>
                <w:szCs w:val="18"/>
                <w:color w:val="auto"/>
              </w:rPr>
              <w:t>See Row 7 of cover page for each Reporting Person.</w:t>
            </w:r>
          </w:p>
        </w:tc>
      </w:tr>
      <w:tr>
        <w:trPr>
          <w:trHeight w:val="391"/>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60" w:type="dxa"/>
            <w:vAlign w:val="bottom"/>
            <w:gridSpan w:val="13"/>
          </w:tcPr>
          <w:p>
            <w:pPr>
              <w:spacing w:after="0"/>
              <w:rPr>
                <w:sz w:val="20"/>
                <w:szCs w:val="20"/>
                <w:color w:val="auto"/>
              </w:rPr>
            </w:pPr>
            <w:r>
              <w:rPr>
                <w:rFonts w:ascii="Arial" w:cs="Arial" w:eastAsia="Arial" w:hAnsi="Arial"/>
                <w:sz w:val="18"/>
                <w:szCs w:val="18"/>
                <w:color w:val="auto"/>
              </w:rPr>
              <w:t>(iv) Shared power to dispose or to direct the disposition of:</w:t>
            </w:r>
          </w:p>
        </w:tc>
      </w:tr>
      <w:tr>
        <w:trPr>
          <w:trHeight w:val="453"/>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4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w w:val="92"/>
              </w:rPr>
              <w:t>See Row 8 of cover page for each Reporting Person.</w:t>
            </w:r>
          </w:p>
        </w:tc>
        <w:tc>
          <w:tcPr>
            <w:tcW w:w="4760" w:type="dxa"/>
            <w:vAlign w:val="bottom"/>
            <w:gridSpan w:val="4"/>
          </w:tcPr>
          <w:p>
            <w:pPr>
              <w:spacing w:after="0"/>
              <w:rPr>
                <w:sz w:val="24"/>
                <w:szCs w:val="24"/>
                <w:color w:val="auto"/>
              </w:rPr>
            </w:pPr>
          </w:p>
        </w:tc>
      </w:tr>
      <w:tr>
        <w:trPr>
          <w:trHeight w:val="392"/>
        </w:trPr>
        <w:tc>
          <w:tcPr>
            <w:tcW w:w="1540" w:type="dxa"/>
            <w:vAlign w:val="bottom"/>
          </w:tcPr>
          <w:p>
            <w:pPr>
              <w:spacing w:after="0"/>
              <w:rPr>
                <w:sz w:val="20"/>
                <w:szCs w:val="20"/>
                <w:color w:val="auto"/>
              </w:rPr>
            </w:pPr>
            <w:r>
              <w:rPr>
                <w:rFonts w:ascii="Arial" w:cs="Arial" w:eastAsia="Arial" w:hAnsi="Arial"/>
                <w:sz w:val="18"/>
                <w:szCs w:val="18"/>
                <w:color w:val="auto"/>
              </w:rPr>
              <w:t>ITEM 5.</w:t>
            </w:r>
          </w:p>
        </w:tc>
        <w:tc>
          <w:tcPr>
            <w:tcW w:w="44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4"/>
              </w:rPr>
              <w:t>OWNERSHIP OF FIVE PERCENT OR LESS OF A CLASS</w:t>
            </w:r>
          </w:p>
        </w:tc>
        <w:tc>
          <w:tcPr>
            <w:tcW w:w="4940" w:type="dxa"/>
            <w:vAlign w:val="bottom"/>
            <w:gridSpan w:val="5"/>
          </w:tcPr>
          <w:p>
            <w:pPr>
              <w:spacing w:after="0"/>
              <w:rPr>
                <w:sz w:val="24"/>
                <w:szCs w:val="24"/>
                <w:color w:val="auto"/>
              </w:rPr>
            </w:pPr>
          </w:p>
        </w:tc>
      </w:tr>
      <w:tr>
        <w:trPr>
          <w:trHeight w:val="406"/>
        </w:trPr>
        <w:tc>
          <w:tcPr>
            <w:tcW w:w="1540" w:type="dxa"/>
            <w:vAlign w:val="bottom"/>
          </w:tcPr>
          <w:p>
            <w:pPr>
              <w:spacing w:after="0"/>
              <w:rPr>
                <w:sz w:val="24"/>
                <w:szCs w:val="24"/>
                <w:color w:val="auto"/>
              </w:rPr>
            </w:pPr>
          </w:p>
        </w:tc>
        <w:tc>
          <w:tcPr>
            <w:tcW w:w="9420" w:type="dxa"/>
            <w:vAlign w:val="bottom"/>
            <w:gridSpan w:val="15"/>
          </w:tcPr>
          <w:p>
            <w:pPr>
              <w:spacing w:after="0"/>
              <w:rPr>
                <w:sz w:val="20"/>
                <w:szCs w:val="20"/>
                <w:color w:val="auto"/>
              </w:rPr>
            </w:pPr>
            <w:r>
              <w:rPr>
                <w:rFonts w:ascii="Arial" w:cs="Arial" w:eastAsia="Arial" w:hAnsi="Arial"/>
                <w:sz w:val="18"/>
                <w:szCs w:val="18"/>
                <w:color w:val="auto"/>
                <w:w w:val="89"/>
              </w:rPr>
              <w:t>If this statement is being filed to report the fact that as of the date hereof the reporting person has ceased to be the beneficial owner</w:t>
            </w:r>
          </w:p>
        </w:tc>
      </w:tr>
      <w:tr>
        <w:trPr>
          <w:trHeight w:val="283"/>
        </w:trPr>
        <w:tc>
          <w:tcPr>
            <w:tcW w:w="1540" w:type="dxa"/>
            <w:vAlign w:val="bottom"/>
          </w:tcPr>
          <w:p>
            <w:pPr>
              <w:spacing w:after="0"/>
              <w:rPr>
                <w:sz w:val="24"/>
                <w:szCs w:val="24"/>
                <w:color w:val="auto"/>
              </w:rPr>
            </w:pPr>
          </w:p>
        </w:tc>
        <w:tc>
          <w:tcPr>
            <w:tcW w:w="9420" w:type="dxa"/>
            <w:vAlign w:val="bottom"/>
            <w:gridSpan w:val="15"/>
          </w:tcPr>
          <w:p>
            <w:pPr>
              <w:spacing w:after="0" w:line="207" w:lineRule="exact"/>
              <w:rPr>
                <w:sz w:val="20"/>
                <w:szCs w:val="20"/>
                <w:color w:val="auto"/>
              </w:rPr>
            </w:pPr>
            <w:r>
              <w:rPr>
                <w:rFonts w:ascii="Arial" w:cs="Arial" w:eastAsia="Arial" w:hAnsi="Arial"/>
                <w:sz w:val="18"/>
                <w:szCs w:val="18"/>
                <w:color w:val="auto"/>
              </w:rPr>
              <w:t xml:space="preserve">of more than 5 percent of the class of securities, check the following: </w:t>
            </w:r>
            <w:r>
              <w:rPr>
                <w:rFonts w:ascii="MS PGothic" w:cs="MS PGothic" w:eastAsia="MS PGothic" w:hAnsi="MS PGothic"/>
                <w:sz w:val="18"/>
                <w:szCs w:val="18"/>
                <w:color w:val="auto"/>
              </w:rPr>
              <w:t>☒</w:t>
            </w:r>
          </w:p>
        </w:tc>
      </w:tr>
      <w:tr>
        <w:trPr>
          <w:trHeight w:val="372"/>
        </w:trPr>
        <w:tc>
          <w:tcPr>
            <w:tcW w:w="1540" w:type="dxa"/>
            <w:vAlign w:val="bottom"/>
          </w:tcPr>
          <w:p>
            <w:pPr>
              <w:spacing w:after="0"/>
              <w:rPr>
                <w:sz w:val="20"/>
                <w:szCs w:val="20"/>
                <w:color w:val="auto"/>
              </w:rPr>
            </w:pPr>
            <w:r>
              <w:rPr>
                <w:rFonts w:ascii="Arial" w:cs="Arial" w:eastAsia="Arial" w:hAnsi="Arial"/>
                <w:sz w:val="18"/>
                <w:szCs w:val="18"/>
                <w:color w:val="auto"/>
              </w:rPr>
              <w:t>ITEM 6.</w:t>
            </w:r>
          </w:p>
        </w:tc>
        <w:tc>
          <w:tcPr>
            <w:tcW w:w="9420" w:type="dxa"/>
            <w:vAlign w:val="bottom"/>
            <w:gridSpan w:val="15"/>
          </w:tcPr>
          <w:p>
            <w:pPr>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453"/>
        </w:trPr>
        <w:tc>
          <w:tcPr>
            <w:tcW w:w="1540" w:type="dxa"/>
            <w:vAlign w:val="bottom"/>
          </w:tcPr>
          <w:p>
            <w:pPr>
              <w:spacing w:after="0"/>
              <w:rPr>
                <w:sz w:val="24"/>
                <w:szCs w:val="24"/>
                <w:color w:val="auto"/>
              </w:rPr>
            </w:pPr>
          </w:p>
        </w:tc>
        <w:tc>
          <w:tcPr>
            <w:tcW w:w="674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Not applicable.</w:t>
            </w:r>
          </w:p>
        </w:tc>
        <w:tc>
          <w:tcPr>
            <w:tcW w:w="2680" w:type="dxa"/>
            <w:vAlign w:val="bottom"/>
            <w:gridSpan w:val="2"/>
          </w:tcPr>
          <w:p>
            <w:pPr>
              <w:spacing w:after="0"/>
              <w:rPr>
                <w:sz w:val="24"/>
                <w:szCs w:val="24"/>
                <w:color w:val="auto"/>
              </w:rPr>
            </w:pPr>
          </w:p>
        </w:tc>
      </w:tr>
      <w:tr>
        <w:trPr>
          <w:trHeight w:val="391"/>
        </w:trPr>
        <w:tc>
          <w:tcPr>
            <w:tcW w:w="1540" w:type="dxa"/>
            <w:vAlign w:val="bottom"/>
          </w:tcPr>
          <w:p>
            <w:pPr>
              <w:spacing w:after="0"/>
              <w:rPr>
                <w:sz w:val="24"/>
                <w:szCs w:val="24"/>
                <w:color w:val="auto"/>
              </w:rPr>
            </w:pPr>
          </w:p>
        </w:tc>
        <w:tc>
          <w:tcPr>
            <w:tcW w:w="868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97"/>
              </w:rPr>
              <w:t>IDENTIFICATION AND CLASSIFICATION OF THE SUBSIDIARY WHICH ACQUIRED THE SECURITY BEING</w:t>
            </w:r>
          </w:p>
        </w:tc>
        <w:tc>
          <w:tcPr>
            <w:tcW w:w="740" w:type="dxa"/>
            <w:vAlign w:val="bottom"/>
          </w:tcPr>
          <w:p>
            <w:pPr>
              <w:spacing w:after="0"/>
              <w:rPr>
                <w:sz w:val="24"/>
                <w:szCs w:val="24"/>
                <w:color w:val="auto"/>
              </w:rPr>
            </w:pPr>
          </w:p>
        </w:tc>
      </w:tr>
      <w:tr>
        <w:trPr>
          <w:trHeight w:val="196"/>
        </w:trPr>
        <w:tc>
          <w:tcPr>
            <w:tcW w:w="154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420" w:type="dxa"/>
            <w:vAlign w:val="bottom"/>
            <w:gridSpan w:val="15"/>
          </w:tcPr>
          <w:p>
            <w:pPr>
              <w:spacing w:after="0" w:line="196" w:lineRule="exact"/>
              <w:rPr>
                <w:sz w:val="20"/>
                <w:szCs w:val="20"/>
                <w:color w:val="auto"/>
              </w:rPr>
            </w:pPr>
            <w:r>
              <w:rPr>
                <w:rFonts w:ascii="Arial" w:cs="Arial" w:eastAsia="Arial" w:hAnsi="Arial"/>
                <w:sz w:val="18"/>
                <w:szCs w:val="18"/>
                <w:color w:val="auto"/>
              </w:rPr>
              <w:t>REPORTED ON BY THE PARENT HOLDING COMPANY</w:t>
            </w:r>
          </w:p>
        </w:tc>
      </w:tr>
      <w:tr>
        <w:trPr>
          <w:trHeight w:val="453"/>
        </w:trPr>
        <w:tc>
          <w:tcPr>
            <w:tcW w:w="1540" w:type="dxa"/>
            <w:vAlign w:val="bottom"/>
          </w:tcPr>
          <w:p>
            <w:pPr>
              <w:spacing w:after="0"/>
              <w:rPr>
                <w:sz w:val="24"/>
                <w:szCs w:val="24"/>
                <w:color w:val="auto"/>
              </w:rPr>
            </w:pPr>
          </w:p>
        </w:tc>
        <w:tc>
          <w:tcPr>
            <w:tcW w:w="448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Not applicable.</w:t>
            </w:r>
          </w:p>
        </w:tc>
        <w:tc>
          <w:tcPr>
            <w:tcW w:w="4940" w:type="dxa"/>
            <w:vAlign w:val="bottom"/>
            <w:gridSpan w:val="5"/>
          </w:tcPr>
          <w:p>
            <w:pPr>
              <w:spacing w:after="0"/>
              <w:rPr>
                <w:sz w:val="24"/>
                <w:szCs w:val="24"/>
                <w:color w:val="auto"/>
              </w:rPr>
            </w:pPr>
          </w:p>
        </w:tc>
      </w:tr>
      <w:tr>
        <w:trPr>
          <w:trHeight w:val="391"/>
        </w:trPr>
        <w:tc>
          <w:tcPr>
            <w:tcW w:w="1540" w:type="dxa"/>
            <w:vAlign w:val="bottom"/>
          </w:tcPr>
          <w:p>
            <w:pPr>
              <w:spacing w:after="0"/>
              <w:rPr>
                <w:sz w:val="20"/>
                <w:szCs w:val="20"/>
                <w:color w:val="auto"/>
              </w:rPr>
            </w:pPr>
            <w:r>
              <w:rPr>
                <w:rFonts w:ascii="Arial" w:cs="Arial" w:eastAsia="Arial" w:hAnsi="Arial"/>
                <w:sz w:val="18"/>
                <w:szCs w:val="18"/>
                <w:color w:val="auto"/>
              </w:rPr>
              <w:t>ITEM 8.</w:t>
            </w:r>
          </w:p>
        </w:tc>
        <w:tc>
          <w:tcPr>
            <w:tcW w:w="590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6"/>
              </w:rPr>
              <w:t>IDENTIFICATION AND CLASSIFICATION OF MEMBERS OF THE GROUP.</w:t>
            </w:r>
          </w:p>
        </w:tc>
        <w:tc>
          <w:tcPr>
            <w:tcW w:w="3520" w:type="dxa"/>
            <w:vAlign w:val="bottom"/>
            <w:gridSpan w:val="3"/>
          </w:tcPr>
          <w:p>
            <w:pPr>
              <w:spacing w:after="0"/>
              <w:rPr>
                <w:sz w:val="24"/>
                <w:szCs w:val="24"/>
                <w:color w:val="auto"/>
              </w:rPr>
            </w:pPr>
          </w:p>
        </w:tc>
      </w:tr>
      <w:tr>
        <w:trPr>
          <w:trHeight w:val="453"/>
        </w:trPr>
        <w:tc>
          <w:tcPr>
            <w:tcW w:w="1540" w:type="dxa"/>
            <w:vAlign w:val="bottom"/>
          </w:tcPr>
          <w:p>
            <w:pPr>
              <w:spacing w:after="0"/>
              <w:rPr>
                <w:sz w:val="24"/>
                <w:szCs w:val="24"/>
                <w:color w:val="auto"/>
              </w:rPr>
            </w:pPr>
          </w:p>
        </w:tc>
        <w:tc>
          <w:tcPr>
            <w:tcW w:w="9420" w:type="dxa"/>
            <w:vAlign w:val="bottom"/>
            <w:gridSpan w:val="15"/>
          </w:tcPr>
          <w:p>
            <w:pPr>
              <w:spacing w:after="0"/>
              <w:rPr>
                <w:sz w:val="20"/>
                <w:szCs w:val="20"/>
                <w:color w:val="auto"/>
              </w:rPr>
            </w:pPr>
            <w:r>
              <w:rPr>
                <w:rFonts w:ascii="Arial" w:cs="Arial" w:eastAsia="Arial" w:hAnsi="Arial"/>
                <w:sz w:val="18"/>
                <w:szCs w:val="18"/>
                <w:color w:val="auto"/>
              </w:rPr>
              <w:t>Not applicable</w:t>
            </w:r>
          </w:p>
        </w:tc>
      </w:tr>
      <w:tr>
        <w:trPr>
          <w:trHeight w:val="391"/>
        </w:trPr>
        <w:tc>
          <w:tcPr>
            <w:tcW w:w="1540" w:type="dxa"/>
            <w:vAlign w:val="bottom"/>
          </w:tcPr>
          <w:p>
            <w:pPr>
              <w:spacing w:after="0"/>
              <w:rPr>
                <w:sz w:val="20"/>
                <w:szCs w:val="20"/>
                <w:color w:val="auto"/>
              </w:rPr>
            </w:pPr>
            <w:r>
              <w:rPr>
                <w:rFonts w:ascii="Arial" w:cs="Arial" w:eastAsia="Arial" w:hAnsi="Arial"/>
                <w:sz w:val="18"/>
                <w:szCs w:val="18"/>
                <w:color w:val="auto"/>
              </w:rPr>
              <w:t>ITEM 9.</w:t>
            </w:r>
          </w:p>
        </w:tc>
        <w:tc>
          <w:tcPr>
            <w:tcW w:w="31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4"/>
              </w:rPr>
              <w:t>NOTICE OF DISSOLUTION OF GROUP.</w:t>
            </w:r>
          </w:p>
        </w:tc>
        <w:tc>
          <w:tcPr>
            <w:tcW w:w="6280" w:type="dxa"/>
            <w:vAlign w:val="bottom"/>
            <w:gridSpan w:val="9"/>
          </w:tcPr>
          <w:p>
            <w:pPr>
              <w:spacing w:after="0"/>
              <w:rPr>
                <w:sz w:val="24"/>
                <w:szCs w:val="24"/>
                <w:color w:val="auto"/>
              </w:rPr>
            </w:pPr>
          </w:p>
        </w:tc>
      </w:tr>
      <w:tr>
        <w:trPr>
          <w:trHeight w:val="453"/>
        </w:trPr>
        <w:tc>
          <w:tcPr>
            <w:tcW w:w="1540" w:type="dxa"/>
            <w:vAlign w:val="bottom"/>
          </w:tcPr>
          <w:p>
            <w:pPr>
              <w:spacing w:after="0"/>
              <w:rPr>
                <w:sz w:val="24"/>
                <w:szCs w:val="24"/>
                <w:color w:val="auto"/>
              </w:rPr>
            </w:pPr>
          </w:p>
        </w:tc>
        <w:tc>
          <w:tcPr>
            <w:tcW w:w="9420" w:type="dxa"/>
            <w:vAlign w:val="bottom"/>
            <w:gridSpan w:val="15"/>
          </w:tcPr>
          <w:p>
            <w:pPr>
              <w:spacing w:after="0"/>
              <w:rPr>
                <w:sz w:val="20"/>
                <w:szCs w:val="20"/>
                <w:color w:val="auto"/>
              </w:rPr>
            </w:pPr>
            <w:r>
              <w:rPr>
                <w:rFonts w:ascii="Arial" w:cs="Arial" w:eastAsia="Arial" w:hAnsi="Arial"/>
                <w:sz w:val="18"/>
                <w:szCs w:val="18"/>
                <w:color w:val="auto"/>
              </w:rPr>
              <w:t>Not applicable</w:t>
            </w:r>
          </w:p>
        </w:tc>
      </w:tr>
      <w:tr>
        <w:trPr>
          <w:trHeight w:val="391"/>
        </w:trPr>
        <w:tc>
          <w:tcPr>
            <w:tcW w:w="1540" w:type="dxa"/>
            <w:vAlign w:val="bottom"/>
          </w:tcPr>
          <w:p>
            <w:pPr>
              <w:spacing w:after="0"/>
              <w:rPr>
                <w:sz w:val="20"/>
                <w:szCs w:val="20"/>
                <w:color w:val="auto"/>
              </w:rPr>
            </w:pPr>
            <w:r>
              <w:rPr>
                <w:rFonts w:ascii="Arial" w:cs="Arial" w:eastAsia="Arial" w:hAnsi="Arial"/>
                <w:sz w:val="18"/>
                <w:szCs w:val="18"/>
                <w:color w:val="auto"/>
              </w:rPr>
              <w:t>ITEM 10.</w:t>
            </w:r>
          </w:p>
        </w:tc>
        <w:tc>
          <w:tcPr>
            <w:tcW w:w="9420" w:type="dxa"/>
            <w:vAlign w:val="bottom"/>
            <w:gridSpan w:val="15"/>
          </w:tcPr>
          <w:p>
            <w:pPr>
              <w:spacing w:after="0"/>
              <w:rPr>
                <w:sz w:val="20"/>
                <w:szCs w:val="20"/>
                <w:color w:val="auto"/>
              </w:rPr>
            </w:pPr>
            <w:r>
              <w:rPr>
                <w:rFonts w:ascii="Arial" w:cs="Arial" w:eastAsia="Arial" w:hAnsi="Arial"/>
                <w:sz w:val="18"/>
                <w:szCs w:val="18"/>
                <w:color w:val="auto"/>
              </w:rPr>
              <w:t>CERTIFICATION.</w:t>
            </w:r>
          </w:p>
        </w:tc>
      </w:tr>
      <w:tr>
        <w:trPr>
          <w:trHeight w:val="453"/>
        </w:trPr>
        <w:tc>
          <w:tcPr>
            <w:tcW w:w="1540" w:type="dxa"/>
            <w:vAlign w:val="bottom"/>
          </w:tcPr>
          <w:p>
            <w:pPr>
              <w:spacing w:after="0"/>
              <w:rPr>
                <w:sz w:val="24"/>
                <w:szCs w:val="24"/>
                <w:color w:val="auto"/>
              </w:rPr>
            </w:pPr>
          </w:p>
        </w:tc>
        <w:tc>
          <w:tcPr>
            <w:tcW w:w="13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Not Applicable</w:t>
            </w:r>
          </w:p>
        </w:tc>
        <w:tc>
          <w:tcPr>
            <w:tcW w:w="8080" w:type="dxa"/>
            <w:vAlign w:val="bottom"/>
            <w:gridSpan w:val="11"/>
          </w:tcPr>
          <w:p>
            <w:pPr>
              <w:spacing w:after="0"/>
              <w:rPr>
                <w:sz w:val="24"/>
                <w:szCs w:val="24"/>
                <w:color w:val="auto"/>
              </w:rPr>
            </w:pPr>
          </w:p>
        </w:tc>
      </w:tr>
    </w:tbl>
    <w:p>
      <w:pPr>
        <w:sectPr>
          <w:pgSz w:w="11900" w:h="16838" w:orient="portrait"/>
          <w:cols w:equalWidth="0" w:num="1">
            <w:col w:w="10960"/>
          </w:cols>
          <w:pgMar w:left="440" w:top="274" w:right="499" w:bottom="1440" w:gutter="0" w:footer="0" w:header="0"/>
        </w:sectPr>
      </w:pPr>
    </w:p>
    <w:bookmarkStart w:id="7" w:name="page8"/>
    <w:bookmarkEnd w:id="7"/>
    <w:p>
      <w:pPr>
        <w:spacing w:after="0"/>
        <w:tabs>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30219Q106</w:t>
      </w:r>
      <w:r>
        <w:rPr>
          <w:sz w:val="20"/>
          <w:szCs w:val="20"/>
          <w:color w:val="auto"/>
        </w:rPr>
        <w:tab/>
      </w:r>
      <w:r>
        <w:rPr>
          <w:rFonts w:ascii="Arial" w:cs="Arial" w:eastAsia="Arial" w:hAnsi="Arial"/>
          <w:sz w:val="16"/>
          <w:szCs w:val="16"/>
          <w:color w:val="auto"/>
        </w:rPr>
        <w:t>Page 8 of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Hillsven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14605</wp:posOffset>
            </wp:positionV>
            <wp:extent cx="26314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Printed Name: James G.B. DeMartini,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FBHR Associates,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Unameit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14605</wp:posOffset>
            </wp:positionV>
            <wp:extent cx="26314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Printed Name: James G.B. DeMartini,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Trustee of Unameit Trust,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Unameit Trust under Declaration of Trust dated March 10,</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14605</wp:posOffset>
            </wp:positionV>
            <wp:extent cx="26314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Printed Name: James G.B. DeMartini,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14605</wp:posOffset>
            </wp:positionV>
            <wp:extent cx="2631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James G.B. DeMartini, III</w:t>
      </w:r>
    </w:p>
    <w:p>
      <w:pPr>
        <w:sectPr>
          <w:pgSz w:w="11900" w:h="16838" w:orient="portrait"/>
          <w:cols w:equalWidth="0" w:num="1">
            <w:col w:w="11020"/>
          </w:cols>
          <w:pgMar w:left="440" w:top="274"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3740" w:type="dxa"/>
            <w:vAlign w:val="bottom"/>
            <w:gridSpan w:val="3"/>
          </w:tcPr>
          <w:p>
            <w:pPr>
              <w:spacing w:after="0"/>
              <w:rPr>
                <w:sz w:val="20"/>
                <w:szCs w:val="20"/>
                <w:color w:val="auto"/>
              </w:rPr>
            </w:pPr>
            <w:r>
              <w:rPr>
                <w:rFonts w:ascii="Arial" w:cs="Arial" w:eastAsia="Arial" w:hAnsi="Arial"/>
                <w:sz w:val="18"/>
                <w:szCs w:val="18"/>
                <w:color w:val="auto"/>
              </w:rPr>
              <w:t>CUSIP# 30219Q106</w:t>
            </w: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0" w:type="dxa"/>
            <w:vAlign w:val="bottom"/>
          </w:tcPr>
          <w:p>
            <w:pPr>
              <w:ind w:left="2480"/>
              <w:spacing w:after="0"/>
              <w:rPr>
                <w:sz w:val="20"/>
                <w:szCs w:val="20"/>
                <w:color w:val="auto"/>
              </w:rPr>
            </w:pPr>
            <w:r>
              <w:rPr>
                <w:rFonts w:ascii="Arial" w:cs="Arial" w:eastAsia="Arial" w:hAnsi="Arial"/>
                <w:sz w:val="18"/>
                <w:szCs w:val="18"/>
                <w:color w:val="auto"/>
                <w:w w:val="88"/>
              </w:rPr>
              <w:t>Page 9 of 10</w:t>
            </w:r>
          </w:p>
        </w:tc>
      </w:tr>
      <w:tr>
        <w:trPr>
          <w:trHeight w:val="392"/>
        </w:trPr>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80" w:type="dxa"/>
            <w:vAlign w:val="bottom"/>
            <w:gridSpan w:val="5"/>
          </w:tcPr>
          <w:p>
            <w:pPr>
              <w:ind w:left="1100"/>
              <w:spacing w:after="0"/>
              <w:rPr>
                <w:sz w:val="20"/>
                <w:szCs w:val="20"/>
                <w:color w:val="auto"/>
              </w:rPr>
            </w:pPr>
            <w:r>
              <w:rPr>
                <w:rFonts w:ascii="Arial" w:cs="Arial" w:eastAsia="Arial" w:hAnsi="Arial"/>
                <w:sz w:val="18"/>
                <w:szCs w:val="18"/>
                <w:color w:val="auto"/>
              </w:rPr>
              <w:t>EXHIBIT INDEX</w:t>
            </w:r>
          </w:p>
        </w:tc>
      </w:tr>
      <w:tr>
        <w:trPr>
          <w:trHeight w:val="393"/>
        </w:trPr>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4320" w:type="dxa"/>
            <w:vAlign w:val="bottom"/>
            <w:gridSpan w:val="2"/>
          </w:tcPr>
          <w:p>
            <w:pPr>
              <w:jc w:val="center"/>
              <w:ind w:right="3310"/>
              <w:spacing w:after="0"/>
              <w:rPr>
                <w:sz w:val="20"/>
                <w:szCs w:val="20"/>
                <w:color w:val="auto"/>
              </w:rPr>
            </w:pPr>
            <w:r>
              <w:rPr>
                <w:rFonts w:ascii="Arial" w:cs="Arial" w:eastAsia="Arial" w:hAnsi="Arial"/>
                <w:sz w:val="14"/>
                <w:szCs w:val="14"/>
                <w:color w:val="auto"/>
                <w:w w:val="94"/>
              </w:rPr>
              <w:t>Found on</w:t>
            </w:r>
          </w:p>
        </w:tc>
      </w:tr>
      <w:tr>
        <w:trPr>
          <w:trHeight w:val="148"/>
        </w:trPr>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320" w:type="dxa"/>
            <w:vAlign w:val="bottom"/>
            <w:gridSpan w:val="2"/>
          </w:tcPr>
          <w:p>
            <w:pPr>
              <w:jc w:val="center"/>
              <w:ind w:right="3310"/>
              <w:spacing w:after="0" w:line="149" w:lineRule="exact"/>
              <w:rPr>
                <w:sz w:val="20"/>
                <w:szCs w:val="20"/>
                <w:color w:val="auto"/>
              </w:rPr>
            </w:pPr>
            <w:r>
              <w:rPr>
                <w:rFonts w:ascii="Arial" w:cs="Arial" w:eastAsia="Arial" w:hAnsi="Arial"/>
                <w:sz w:val="14"/>
                <w:szCs w:val="14"/>
                <w:color w:val="auto"/>
                <w:w w:val="94"/>
              </w:rPr>
              <w:t>Sequentially</w:t>
            </w:r>
          </w:p>
        </w:tc>
      </w:tr>
      <w:tr>
        <w:trPr>
          <w:trHeight w:val="167"/>
        </w:trPr>
        <w:tc>
          <w:tcPr>
            <w:tcW w:w="128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Exhibit</w:t>
            </w:r>
          </w:p>
        </w:tc>
        <w:tc>
          <w:tcPr>
            <w:tcW w:w="2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Numbered Page</w:t>
            </w:r>
          </w:p>
        </w:tc>
        <w:tc>
          <w:tcPr>
            <w:tcW w:w="3400" w:type="dxa"/>
            <w:vAlign w:val="bottom"/>
          </w:tcPr>
          <w:p>
            <w:pPr>
              <w:spacing w:after="0"/>
              <w:rPr>
                <w:sz w:val="14"/>
                <w:szCs w:val="14"/>
                <w:color w:val="auto"/>
              </w:rPr>
            </w:pPr>
          </w:p>
        </w:tc>
      </w:tr>
      <w:tr>
        <w:trPr>
          <w:trHeight w:val="318"/>
        </w:trPr>
        <w:tc>
          <w:tcPr>
            <w:tcW w:w="3740" w:type="dxa"/>
            <w:vAlign w:val="bottom"/>
            <w:gridSpan w:val="3"/>
          </w:tcPr>
          <w:p>
            <w:pPr>
              <w:spacing w:after="0"/>
              <w:rPr>
                <w:sz w:val="20"/>
                <w:szCs w:val="20"/>
                <w:color w:val="auto"/>
              </w:rPr>
            </w:pPr>
            <w:r>
              <w:rPr>
                <w:rFonts w:ascii="Arial" w:cs="Arial" w:eastAsia="Arial" w:hAnsi="Arial"/>
                <w:sz w:val="18"/>
                <w:szCs w:val="18"/>
                <w:color w:val="auto"/>
              </w:rPr>
              <w:t>Exhibit A: Agreement of Joint Filing</w:t>
            </w:r>
          </w:p>
        </w:tc>
        <w:tc>
          <w:tcPr>
            <w:tcW w:w="3880" w:type="dxa"/>
            <w:vAlign w:val="bottom"/>
            <w:gridSpan w:val="4"/>
          </w:tcPr>
          <w:p>
            <w:pPr>
              <w:jc w:val="center"/>
              <w:ind w:left="2850"/>
              <w:spacing w:after="0"/>
              <w:rPr>
                <w:sz w:val="20"/>
                <w:szCs w:val="20"/>
                <w:color w:val="auto"/>
              </w:rPr>
            </w:pPr>
            <w:r>
              <w:rPr>
                <w:rFonts w:ascii="Arial" w:cs="Arial" w:eastAsia="Arial" w:hAnsi="Arial"/>
                <w:sz w:val="18"/>
                <w:szCs w:val="18"/>
                <w:color w:val="auto"/>
                <w:w w:val="89"/>
              </w:rPr>
              <w:t>10</w:t>
            </w:r>
          </w:p>
        </w:tc>
        <w:tc>
          <w:tcPr>
            <w:tcW w:w="3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p>
      <w:pPr>
        <w:spacing w:after="0"/>
        <w:tabs>
          <w:tab w:leader="none" w:pos="10000" w:val="left"/>
        </w:tabs>
        <w:rPr>
          <w:sz w:val="20"/>
          <w:szCs w:val="20"/>
          <w:color w:val="auto"/>
        </w:rPr>
      </w:pPr>
      <w:r>
        <w:rPr>
          <w:rFonts w:ascii="Arial" w:cs="Arial" w:eastAsia="Arial" w:hAnsi="Arial"/>
          <w:sz w:val="18"/>
          <w:szCs w:val="18"/>
          <w:color w:val="auto"/>
        </w:rPr>
        <w:t>CUSIP# 30219Q106</w:t>
      </w:r>
      <w:r>
        <w:rPr>
          <w:sz w:val="20"/>
          <w:szCs w:val="20"/>
          <w:color w:val="auto"/>
        </w:rPr>
        <w:tab/>
      </w:r>
      <w:r>
        <w:rPr>
          <w:rFonts w:ascii="Arial" w:cs="Arial" w:eastAsia="Arial" w:hAnsi="Arial"/>
          <w:sz w:val="16"/>
          <w:szCs w:val="16"/>
          <w:color w:val="auto"/>
        </w:rPr>
        <w:t>Page 10 of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undersigned hereby agree that a single Schedule 13G (or any amendment thereto) relating to the Common Stock of the Issuer shall be filed on behalf of each of the undersigned and that this Agreement shall be filed as an exhibit to such Schedule 13G.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July 26, 2022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Hillsven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James G.B. DeMartini, III</w:t>
            </w:r>
          </w:p>
        </w:tc>
      </w:tr>
      <w:tr>
        <w:trPr>
          <w:trHeight w:val="182"/>
        </w:trPr>
        <w:tc>
          <w:tcPr>
            <w:tcW w:w="4400" w:type="dxa"/>
            <w:vAlign w:val="bottom"/>
            <w:gridSpan w:val="2"/>
          </w:tcPr>
          <w:p>
            <w:pPr>
              <w:spacing w:after="0" w:line="182" w:lineRule="exact"/>
              <w:rPr>
                <w:sz w:val="20"/>
                <w:szCs w:val="20"/>
                <w:color w:val="auto"/>
              </w:rPr>
            </w:pPr>
            <w:r>
              <w:rPr>
                <w:rFonts w:ascii="Arial" w:cs="Arial" w:eastAsia="Arial" w:hAnsi="Arial"/>
                <w:sz w:val="18"/>
                <w:szCs w:val="18"/>
                <w:color w:val="auto"/>
              </w:rPr>
              <w:t>Printed Name: James G.B. DeMartini, III</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ind w:left="60"/>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FBHR Associates,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Unameit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G.B. DeMartini,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14605</wp:posOffset>
            </wp:positionV>
            <wp:extent cx="2297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Printed Name: James G.B. DeMartini,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Trustee of Unameit Trust, 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Unameit Trust under Declaration of Trust dated March 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James G.B. DeMartini, III</w:t>
            </w:r>
          </w:p>
        </w:tc>
      </w:tr>
      <w:tr>
        <w:trPr>
          <w:trHeight w:val="182"/>
        </w:trPr>
        <w:tc>
          <w:tcPr>
            <w:tcW w:w="4400" w:type="dxa"/>
            <w:vAlign w:val="bottom"/>
            <w:gridSpan w:val="2"/>
          </w:tcPr>
          <w:p>
            <w:pPr>
              <w:spacing w:after="0" w:line="182" w:lineRule="exact"/>
              <w:rPr>
                <w:sz w:val="20"/>
                <w:szCs w:val="20"/>
                <w:color w:val="auto"/>
              </w:rPr>
            </w:pPr>
            <w:r>
              <w:rPr>
                <w:rFonts w:ascii="Arial" w:cs="Arial" w:eastAsia="Arial" w:hAnsi="Arial"/>
                <w:sz w:val="18"/>
                <w:szCs w:val="18"/>
                <w:color w:val="auto"/>
              </w:rPr>
              <w:t>Printed Name: James G.B. DeMartini, III, Trustee</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ind w:left="60"/>
              <w:spacing w:after="0"/>
              <w:rPr>
                <w:sz w:val="20"/>
                <w:szCs w:val="20"/>
                <w:color w:val="auto"/>
              </w:rPr>
            </w:pPr>
            <w:r>
              <w:rPr>
                <w:rFonts w:ascii="Arial" w:cs="Arial" w:eastAsia="Arial" w:hAnsi="Arial"/>
                <w:sz w:val="18"/>
                <w:szCs w:val="18"/>
                <w:color w:val="auto"/>
              </w:rPr>
              <w:t>Trustee</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James G.B. DeMartini, III</w:t>
            </w:r>
          </w:p>
        </w:tc>
      </w:tr>
      <w:tr>
        <w:trPr>
          <w:trHeight w:val="224"/>
        </w:trPr>
        <w:tc>
          <w:tcPr>
            <w:tcW w:w="780" w:type="dxa"/>
            <w:vAlign w:val="bottom"/>
          </w:tcPr>
          <w:p>
            <w:pPr>
              <w:spacing w:after="0"/>
              <w:rPr>
                <w:sz w:val="19"/>
                <w:szCs w:val="19"/>
                <w:color w:val="auto"/>
              </w:rPr>
            </w:pPr>
          </w:p>
        </w:tc>
        <w:tc>
          <w:tcPr>
            <w:tcW w:w="3620" w:type="dxa"/>
            <w:vAlign w:val="bottom"/>
          </w:tcPr>
          <w:p>
            <w:pPr>
              <w:ind w:left="60"/>
              <w:spacing w:after="0"/>
              <w:rPr>
                <w:sz w:val="20"/>
                <w:szCs w:val="20"/>
                <w:color w:val="auto"/>
              </w:rPr>
            </w:pPr>
            <w:r>
              <w:rPr>
                <w:rFonts w:ascii="Arial" w:cs="Arial" w:eastAsia="Arial" w:hAnsi="Arial"/>
                <w:sz w:val="18"/>
                <w:szCs w:val="18"/>
                <w:color w:val="auto"/>
              </w:rPr>
              <w:t>James G.B. DeMartini, III</w:t>
            </w:r>
          </w:p>
        </w:tc>
      </w:tr>
    </w:tbl>
    <w:p>
      <w:pPr>
        <w:spacing w:after="0" w:line="1" w:lineRule="exact"/>
        <w:rPr>
          <w:sz w:val="20"/>
          <w:szCs w:val="20"/>
          <w:color w:val="auto"/>
        </w:rPr>
      </w:pP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bullet"/>
      <w:start w:val="1"/>
    </w:lvl>
  </w:abstractNum>
  <w:abstractNum w:abstractNumId="3">
    <w:nsid w:val="25E45D32"/>
    <w:multiLevelType w:val="hybridMultilevel"/>
    <w:lvl w:ilvl="0">
      <w:lvlJc w:val="left"/>
      <w:lvlText w:val="2"/>
      <w:numFmt w:val="bullet"/>
      <w:start w:val="1"/>
    </w:lvl>
  </w:abstractNum>
  <w:abstractNum w:abstractNumId="4">
    <w:nsid w:val="519B500D"/>
    <w:multiLevelType w:val="hybridMultilevel"/>
    <w:lvl w:ilvl="0">
      <w:lvlJc w:val="left"/>
      <w:lvlText w:val="3"/>
      <w:numFmt w:val="bullet"/>
      <w:start w:val="1"/>
    </w:lvl>
  </w:abstractNum>
  <w:abstractNum w:abstractNumId="5">
    <w:nsid w:val="431BD7B7"/>
    <w:multiLevelType w:val="hybridMultilevel"/>
    <w:lvl w:ilvl="0">
      <w:lvlJc w:val="left"/>
      <w:lvlText w:val="4"/>
      <w:numFmt w:val="bullet"/>
      <w:start w:val="1"/>
    </w:lvl>
  </w:abstractNum>
  <w:abstractNum w:abstractNumId="6">
    <w:nsid w:val="3F2DBA31"/>
    <w:multiLevelType w:val="hybridMultilevel"/>
    <w:lvl w:ilvl="0">
      <w:lvlJc w:val="left"/>
      <w:lvlText w:val="9"/>
      <w:numFmt w:val="bullet"/>
      <w:start w:val="1"/>
    </w:lvl>
  </w:abstractNum>
  <w:abstractNum w:abstractNumId="7">
    <w:nsid w:val="7C83E458"/>
    <w:multiLevelType w:val="hybridMultilevel"/>
    <w:lvl w:ilvl="0">
      <w:lvlJc w:val="left"/>
      <w:lvlText w:val="%1"/>
      <w:numFmt w:val="decimal"/>
      <w:start w:val="1"/>
    </w:lvl>
    <w:lvl w:ilvl="1">
      <w:lvlJc w:val="left"/>
      <w:lvlText w:val="%2"/>
      <w:numFmt w:val="decimal"/>
      <w:start w:val="10"/>
    </w:lvl>
  </w:abstractNum>
  <w:abstractNum w:abstractNumId="8">
    <w:nsid w:val="257130A3"/>
    <w:multiLevelType w:val="hybridMultilevel"/>
    <w:lvl w:ilvl="0">
      <w:lvlJc w:val="left"/>
      <w:lvlText w:val="%1."/>
      <w:numFmt w:val="decimal"/>
      <w:start w:val="1"/>
    </w:lvl>
    <w:lvl w:ilvl="1">
      <w:lvlJc w:val="left"/>
      <w:lvlText w:val="%2"/>
      <w:numFmt w:val="decimal"/>
      <w:start w:val="1"/>
    </w:lvl>
  </w:abstractNum>
  <w:abstractNum w:abstractNumId="9">
    <w:nsid w:val="62BBD95A"/>
    <w:multiLevelType w:val="hybridMultilevel"/>
    <w:lvl w:ilvl="0">
      <w:lvlJc w:val="left"/>
      <w:lvlText w:val="1"/>
      <w:numFmt w:val="bullet"/>
      <w:start w:val="1"/>
    </w:lvl>
  </w:abstractNum>
  <w:abstractNum w:abstractNumId="10">
    <w:nsid w:val="436C6125"/>
    <w:multiLevelType w:val="hybridMultilevel"/>
    <w:lvl w:ilvl="0">
      <w:lvlJc w:val="left"/>
      <w:lvlText w:val="2"/>
      <w:numFmt w:val="bullet"/>
      <w:start w:val="1"/>
    </w:lvl>
  </w:abstractNum>
  <w:abstractNum w:abstractNumId="11">
    <w:nsid w:val="628C895D"/>
    <w:multiLevelType w:val="hybridMultilevel"/>
    <w:lvl w:ilvl="0">
      <w:lvlJc w:val="left"/>
      <w:lvlText w:val="3"/>
      <w:numFmt w:val="bullet"/>
      <w:start w:val="1"/>
    </w:lvl>
  </w:abstractNum>
  <w:abstractNum w:abstractNumId="12">
    <w:nsid w:val="333AB105"/>
    <w:multiLevelType w:val="hybridMultilevel"/>
    <w:lvl w:ilvl="0">
      <w:lvlJc w:val="left"/>
      <w:lvlText w:val="4"/>
      <w:numFmt w:val="bullet"/>
      <w:start w:val="1"/>
    </w:lvl>
  </w:abstractNum>
  <w:abstractNum w:abstractNumId="13">
    <w:nsid w:val="721DA317"/>
    <w:multiLevelType w:val="hybridMultilevel"/>
    <w:lvl w:ilvl="0">
      <w:lvlJc w:val="left"/>
      <w:lvlText w:val="9"/>
      <w:numFmt w:val="bullet"/>
      <w:start w:val="1"/>
    </w:lvl>
  </w:abstractNum>
  <w:abstractNum w:abstractNumId="14">
    <w:nsid w:val="2443A858"/>
    <w:multiLevelType w:val="hybridMultilevel"/>
    <w:lvl w:ilvl="0">
      <w:lvlJc w:val="left"/>
      <w:lvlText w:val="%1"/>
      <w:numFmt w:val="decimal"/>
      <w:start w:val="1"/>
    </w:lvl>
    <w:lvl w:ilvl="1">
      <w:lvlJc w:val="left"/>
      <w:lvlText w:val="%2"/>
      <w:numFmt w:val="decimal"/>
      <w:start w:val="10"/>
    </w:lvl>
  </w:abstractNum>
  <w:abstractNum w:abstractNumId="15">
    <w:nsid w:val="2D1D5AE9"/>
    <w:multiLevelType w:val="hybridMultilevel"/>
    <w:lvl w:ilvl="0">
      <w:lvlJc w:val="left"/>
      <w:lvlText w:val="%1."/>
      <w:numFmt w:val="decimal"/>
      <w:start w:val="1"/>
    </w:lvl>
    <w:lvl w:ilvl="1">
      <w:lvlJc w:val="left"/>
      <w:lvlText w:val="%2"/>
      <w:numFmt w:val="decimal"/>
      <w:start w:val="1"/>
    </w:lvl>
  </w:abstractNum>
  <w:abstractNum w:abstractNumId="16">
    <w:nsid w:val="6763845E"/>
    <w:multiLevelType w:val="hybridMultilevel"/>
    <w:lvl w:ilvl="0">
      <w:lvlJc w:val="left"/>
      <w:lvlText w:val="1"/>
      <w:numFmt w:val="bullet"/>
      <w:start w:val="1"/>
    </w:lvl>
  </w:abstractNum>
  <w:abstractNum w:abstractNumId="17">
    <w:nsid w:val="75A2A8D4"/>
    <w:multiLevelType w:val="hybridMultilevel"/>
    <w:lvl w:ilvl="0">
      <w:lvlJc w:val="left"/>
      <w:lvlText w:val="2"/>
      <w:numFmt w:val="bullet"/>
      <w:start w:val="1"/>
    </w:lvl>
  </w:abstractNum>
  <w:abstractNum w:abstractNumId="18">
    <w:nsid w:val="8EDBDAB"/>
    <w:multiLevelType w:val="hybridMultilevel"/>
    <w:lvl w:ilvl="0">
      <w:lvlJc w:val="left"/>
      <w:lvlText w:val="3"/>
      <w:numFmt w:val="bullet"/>
      <w:start w:val="1"/>
    </w:lvl>
  </w:abstractNum>
  <w:abstractNum w:abstractNumId="19">
    <w:nsid w:val="79838CB2"/>
    <w:multiLevelType w:val="hybridMultilevel"/>
    <w:lvl w:ilvl="0">
      <w:lvlJc w:val="left"/>
      <w:lvlText w:val="4"/>
      <w:numFmt w:val="bullet"/>
      <w:start w:val="1"/>
    </w:lvl>
  </w:abstractNum>
  <w:abstractNum w:abstractNumId="20">
    <w:nsid w:val="4353D0CD"/>
    <w:multiLevelType w:val="hybridMultilevel"/>
    <w:lvl w:ilvl="0">
      <w:lvlJc w:val="left"/>
      <w:lvlText w:val="9"/>
      <w:numFmt w:val="bullet"/>
      <w:start w:val="1"/>
    </w:lvl>
  </w:abstractNum>
  <w:abstractNum w:abstractNumId="21">
    <w:nsid w:val="B03E0C6"/>
    <w:multiLevelType w:val="hybridMultilevel"/>
    <w:lvl w:ilvl="0">
      <w:lvlJc w:val="left"/>
      <w:lvlText w:val="%1"/>
      <w:numFmt w:val="decimal"/>
      <w:start w:val="1"/>
    </w:lvl>
    <w:lvl w:ilvl="1">
      <w:lvlJc w:val="left"/>
      <w:lvlText w:val="%2"/>
      <w:numFmt w:val="decimal"/>
      <w:start w:val="10"/>
    </w:lvl>
  </w:abstractNum>
  <w:abstractNum w:abstractNumId="22">
    <w:nsid w:val="189A769B"/>
    <w:multiLevelType w:val="hybridMultilevel"/>
    <w:lvl w:ilvl="0">
      <w:lvlJc w:val="left"/>
      <w:lvlText w:val="%1."/>
      <w:numFmt w:val="decimal"/>
      <w:start w:val="1"/>
    </w:lvl>
    <w:lvl w:ilvl="1">
      <w:lvlJc w:val="left"/>
      <w:lvlText w:val="%2"/>
      <w:numFmt w:val="decimal"/>
      <w:start w:val="1"/>
    </w:lvl>
  </w:abstractNum>
  <w:abstractNum w:abstractNumId="23">
    <w:nsid w:val="54E49EB4"/>
    <w:multiLevelType w:val="hybridMultilevel"/>
    <w:lvl w:ilvl="0">
      <w:lvlJc w:val="left"/>
      <w:lvlText w:val="1"/>
      <w:numFmt w:val="bullet"/>
      <w:start w:val="1"/>
    </w:lvl>
  </w:abstractNum>
  <w:abstractNum w:abstractNumId="24">
    <w:nsid w:val="71F32454"/>
    <w:multiLevelType w:val="hybridMultilevel"/>
    <w:lvl w:ilvl="0">
      <w:lvlJc w:val="left"/>
      <w:lvlText w:val="2"/>
      <w:numFmt w:val="bullet"/>
      <w:start w:val="1"/>
    </w:lvl>
  </w:abstractNum>
  <w:abstractNum w:abstractNumId="25">
    <w:nsid w:val="2CA88611"/>
    <w:multiLevelType w:val="hybridMultilevel"/>
    <w:lvl w:ilvl="0">
      <w:lvlJc w:val="left"/>
      <w:lvlText w:val="3"/>
      <w:numFmt w:val="bullet"/>
      <w:start w:val="1"/>
    </w:lvl>
  </w:abstractNum>
  <w:abstractNum w:abstractNumId="26">
    <w:nsid w:val="836C40E"/>
    <w:multiLevelType w:val="hybridMultilevel"/>
    <w:lvl w:ilvl="0">
      <w:lvlJc w:val="left"/>
      <w:lvlText w:val="4"/>
      <w:numFmt w:val="bullet"/>
      <w:start w:val="1"/>
    </w:lvl>
  </w:abstractNum>
  <w:abstractNum w:abstractNumId="27">
    <w:nsid w:val="2901D82"/>
    <w:multiLevelType w:val="hybridMultilevel"/>
    <w:lvl w:ilvl="0">
      <w:lvlJc w:val="left"/>
      <w:lvlText w:val="9"/>
      <w:numFmt w:val="bullet"/>
      <w:start w:val="1"/>
    </w:lvl>
  </w:abstractNum>
  <w:abstractNum w:abstractNumId="28">
    <w:nsid w:val="3A95F874"/>
    <w:multiLevelType w:val="hybridMultilevel"/>
    <w:lvl w:ilvl="0">
      <w:lvlJc w:val="left"/>
      <w:lvlText w:val="%1"/>
      <w:numFmt w:val="decimal"/>
      <w:start w:val="1"/>
    </w:lvl>
    <w:lvl w:ilvl="1">
      <w:lvlJc w:val="left"/>
      <w:lvlText w:val="%2"/>
      <w:numFmt w:val="decimal"/>
      <w:start w:val="10"/>
    </w:lvl>
  </w:abstractNum>
  <w:abstractNum w:abstractNumId="29">
    <w:nsid w:val="8138641"/>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2022-07-27T05:14:28Z</dcterms:created>
  <dcterms:modified xsi:type="dcterms:W3CDTF">2022-07-27T05:14:28Z</dcterms:modified>
</cp:coreProperties>
</file>