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114300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116205</wp:posOffset>
            </wp:positionV>
            <wp:extent cx="2023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140" w:right="3260" w:hanging="4114"/>
        <w:spacing w:after="0" w:line="394" w:lineRule="auto"/>
        <w:tabs>
          <w:tab w:leader="none" w:pos="624"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QUARTERLY REPORT PURSUANT TO SECTION 13 OR 15(d) OF THE SECURITIES EXCHANGE ACT OF 1934 For the quarterly period ended March 31, 2026</w:t>
      </w:r>
    </w:p>
    <w:p>
      <w:pPr>
        <w:jc w:val="center"/>
        <w:ind w:right="-39"/>
        <w:spacing w:after="0"/>
        <w:rPr>
          <w:sz w:val="20"/>
          <w:szCs w:val="20"/>
          <w:color w:val="auto"/>
        </w:rPr>
      </w:pPr>
      <w:r>
        <w:rPr>
          <w:rFonts w:ascii="Arial" w:cs="Arial" w:eastAsia="Arial" w:hAnsi="Arial"/>
          <w:sz w:val="14"/>
          <w:szCs w:val="14"/>
          <w:color w:val="auto"/>
        </w:rPr>
        <w:t>OR</w:t>
      </w:r>
    </w:p>
    <w:p>
      <w:pPr>
        <w:spacing w:after="0" w:line="217"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w:t>
      </w:r>
    </w:p>
    <w:p>
      <w:pPr>
        <w:spacing w:after="0" w:line="35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 the transition period from to</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Commission File Number 001-41043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152400</wp:posOffset>
            </wp:positionV>
            <wp:extent cx="2048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255270</wp:posOffset>
            </wp:positionV>
            <wp:extent cx="192024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EXPENSIFY, INC.</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123190</wp:posOffset>
            </wp:positionV>
            <wp:extent cx="2048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45" w:lineRule="exact"/>
        <w:rPr>
          <w:sz w:val="24"/>
          <w:szCs w:val="24"/>
          <w:color w:val="auto"/>
        </w:rPr>
      </w:pPr>
    </w:p>
    <w:tbl>
      <w:tblPr>
        <w:tblLayout w:type="fixed"/>
        <w:tblInd w:w="60" w:type="dxa"/>
        <w:tblCellMar>
          <w:top w:w="0" w:type="dxa"/>
          <w:left w:w="0" w:type="dxa"/>
          <w:bottom w:w="0" w:type="dxa"/>
          <w:right w:w="0" w:type="dxa"/>
        </w:tblCellMar>
      </w:tblPr>
      <w:tr>
        <w:trPr>
          <w:trHeight w:val="172"/>
        </w:trPr>
        <w:tc>
          <w:tcPr>
            <w:tcW w:w="4640" w:type="dxa"/>
            <w:vAlign w:val="bottom"/>
            <w:gridSpan w:val="4"/>
          </w:tcPr>
          <w:p>
            <w:pPr>
              <w:jc w:val="center"/>
              <w:ind w:left="849"/>
              <w:spacing w:after="0"/>
              <w:rPr>
                <w:sz w:val="20"/>
                <w:szCs w:val="20"/>
                <w:color w:val="auto"/>
              </w:rPr>
            </w:pPr>
            <w:r>
              <w:rPr>
                <w:rFonts w:ascii="Arial" w:cs="Arial" w:eastAsia="Arial" w:hAnsi="Arial"/>
                <w:sz w:val="13"/>
                <w:szCs w:val="13"/>
                <w:b w:val="1"/>
                <w:bCs w:val="1"/>
                <w:color w:val="auto"/>
                <w:w w:val="98"/>
              </w:rPr>
              <w:t>Delaware</w:t>
            </w: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tcPr>
          <w:p>
            <w:pPr>
              <w:jc w:val="right"/>
              <w:ind w:right="2112"/>
              <w:spacing w:after="0"/>
              <w:rPr>
                <w:sz w:val="20"/>
                <w:szCs w:val="20"/>
                <w:color w:val="auto"/>
              </w:rPr>
            </w:pPr>
            <w:r>
              <w:rPr>
                <w:rFonts w:ascii="Arial" w:cs="Arial" w:eastAsia="Arial" w:hAnsi="Arial"/>
                <w:sz w:val="13"/>
                <w:szCs w:val="13"/>
                <w:b w:val="1"/>
                <w:bCs w:val="1"/>
                <w:color w:val="auto"/>
              </w:rPr>
              <w:t>27-0239450</w:t>
            </w:r>
          </w:p>
        </w:tc>
        <w:tc>
          <w:tcPr>
            <w:tcW w:w="0" w:type="dxa"/>
            <w:vAlign w:val="bottom"/>
          </w:tcPr>
          <w:p>
            <w:pPr>
              <w:spacing w:after="0"/>
              <w:rPr>
                <w:sz w:val="1"/>
                <w:szCs w:val="1"/>
                <w:color w:val="auto"/>
              </w:rPr>
            </w:pPr>
          </w:p>
        </w:tc>
      </w:tr>
      <w:tr>
        <w:trPr>
          <w:trHeight w:val="345"/>
        </w:trPr>
        <w:tc>
          <w:tcPr>
            <w:tcW w:w="4640" w:type="dxa"/>
            <w:vAlign w:val="bottom"/>
            <w:gridSpan w:val="4"/>
          </w:tcPr>
          <w:p>
            <w:pPr>
              <w:jc w:val="center"/>
              <w:ind w:left="829"/>
              <w:spacing w:after="0"/>
              <w:rPr>
                <w:sz w:val="20"/>
                <w:szCs w:val="20"/>
                <w:color w:val="auto"/>
              </w:rPr>
            </w:pPr>
            <w:r>
              <w:rPr>
                <w:rFonts w:ascii="Arial" w:cs="Arial" w:eastAsia="Arial" w:hAnsi="Arial"/>
                <w:sz w:val="13"/>
                <w:szCs w:val="13"/>
                <w:color w:val="auto"/>
                <w:w w:val="97"/>
              </w:rPr>
              <w:t>(State or other jurisdiction of</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8"/>
              </w:rPr>
              <w:t>(I.R.S. Employer</w:t>
            </w:r>
          </w:p>
        </w:tc>
        <w:tc>
          <w:tcPr>
            <w:tcW w:w="0" w:type="dxa"/>
            <w:vAlign w:val="bottom"/>
          </w:tcPr>
          <w:p>
            <w:pPr>
              <w:spacing w:after="0"/>
              <w:rPr>
                <w:sz w:val="1"/>
                <w:szCs w:val="1"/>
                <w:color w:val="auto"/>
              </w:rPr>
            </w:pPr>
          </w:p>
        </w:tc>
      </w:tr>
      <w:tr>
        <w:trPr>
          <w:trHeight w:val="297"/>
        </w:trPr>
        <w:tc>
          <w:tcPr>
            <w:tcW w:w="4640" w:type="dxa"/>
            <w:vAlign w:val="bottom"/>
            <w:gridSpan w:val="4"/>
          </w:tcPr>
          <w:p>
            <w:pPr>
              <w:jc w:val="center"/>
              <w:ind w:left="849"/>
              <w:spacing w:after="0"/>
              <w:rPr>
                <w:sz w:val="20"/>
                <w:szCs w:val="20"/>
                <w:color w:val="auto"/>
              </w:rPr>
            </w:pPr>
            <w:r>
              <w:rPr>
                <w:rFonts w:ascii="Arial" w:cs="Arial" w:eastAsia="Arial" w:hAnsi="Arial"/>
                <w:sz w:val="13"/>
                <w:szCs w:val="13"/>
                <w:color w:val="auto"/>
                <w:w w:val="96"/>
              </w:rPr>
              <w:t>incorporation or organization)</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6"/>
              </w:rPr>
              <w:t>Identification No.)</w:t>
            </w:r>
          </w:p>
        </w:tc>
        <w:tc>
          <w:tcPr>
            <w:tcW w:w="0" w:type="dxa"/>
            <w:vAlign w:val="bottom"/>
          </w:tcPr>
          <w:p>
            <w:pPr>
              <w:spacing w:after="0"/>
              <w:rPr>
                <w:sz w:val="1"/>
                <w:szCs w:val="1"/>
                <w:color w:val="auto"/>
              </w:rPr>
            </w:pPr>
          </w:p>
        </w:tc>
      </w:tr>
      <w:tr>
        <w:trPr>
          <w:trHeight w:val="640"/>
        </w:trPr>
        <w:tc>
          <w:tcPr>
            <w:tcW w:w="4640" w:type="dxa"/>
            <w:vAlign w:val="bottom"/>
            <w:gridSpan w:val="4"/>
          </w:tcPr>
          <w:p>
            <w:pPr>
              <w:jc w:val="center"/>
              <w:ind w:left="849"/>
              <w:spacing w:after="0"/>
              <w:rPr>
                <w:sz w:val="20"/>
                <w:szCs w:val="20"/>
                <w:color w:val="auto"/>
              </w:rPr>
            </w:pPr>
            <w:r>
              <w:rPr>
                <w:rFonts w:ascii="Arial" w:cs="Arial" w:eastAsia="Arial" w:hAnsi="Arial"/>
                <w:sz w:val="13"/>
                <w:szCs w:val="13"/>
                <w:b w:val="1"/>
                <w:bCs w:val="1"/>
                <w:color w:val="auto"/>
                <w:w w:val="96"/>
              </w:rPr>
              <w:t>88 Kearny St, Ste 1600, San Francisco, California</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right"/>
              <w:ind w:right="2272"/>
              <w:spacing w:after="0"/>
              <w:rPr>
                <w:sz w:val="20"/>
                <w:szCs w:val="20"/>
                <w:color w:val="auto"/>
              </w:rPr>
            </w:pPr>
            <w:r>
              <w:rPr>
                <w:rFonts w:ascii="Arial" w:cs="Arial" w:eastAsia="Arial" w:hAnsi="Arial"/>
                <w:sz w:val="13"/>
                <w:szCs w:val="13"/>
                <w:b w:val="1"/>
                <w:bCs w:val="1"/>
                <w:color w:val="auto"/>
              </w:rPr>
              <w:t>94108</w:t>
            </w:r>
          </w:p>
        </w:tc>
        <w:tc>
          <w:tcPr>
            <w:tcW w:w="0" w:type="dxa"/>
            <w:vAlign w:val="bottom"/>
          </w:tcPr>
          <w:p>
            <w:pPr>
              <w:spacing w:after="0"/>
              <w:rPr>
                <w:sz w:val="1"/>
                <w:szCs w:val="1"/>
                <w:color w:val="auto"/>
              </w:rPr>
            </w:pPr>
          </w:p>
        </w:tc>
      </w:tr>
      <w:tr>
        <w:trPr>
          <w:trHeight w:val="183"/>
        </w:trPr>
        <w:tc>
          <w:tcPr>
            <w:tcW w:w="4640" w:type="dxa"/>
            <w:vAlign w:val="bottom"/>
            <w:gridSpan w:val="4"/>
          </w:tcPr>
          <w:p>
            <w:pPr>
              <w:jc w:val="center"/>
              <w:ind w:left="849"/>
              <w:spacing w:after="0"/>
              <w:rPr>
                <w:sz w:val="20"/>
                <w:szCs w:val="20"/>
                <w:color w:val="auto"/>
              </w:rPr>
            </w:pPr>
            <w:r>
              <w:rPr>
                <w:rFonts w:ascii="Arial" w:cs="Arial" w:eastAsia="Arial" w:hAnsi="Arial"/>
                <w:sz w:val="13"/>
                <w:szCs w:val="13"/>
                <w:color w:val="auto"/>
                <w:w w:val="97"/>
              </w:rPr>
              <w:t>(Address of principal executive offices)</w:t>
            </w: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r>
        <w:trPr>
          <w:trHeight w:val="451"/>
        </w:trPr>
        <w:tc>
          <w:tcPr>
            <w:tcW w:w="7820" w:type="dxa"/>
            <w:vAlign w:val="bottom"/>
            <w:gridSpan w:val="8"/>
          </w:tcPr>
          <w:p>
            <w:pPr>
              <w:jc w:val="center"/>
              <w:ind w:left="3249"/>
              <w:spacing w:after="0"/>
              <w:rPr>
                <w:sz w:val="20"/>
                <w:szCs w:val="20"/>
                <w:color w:val="auto"/>
              </w:rPr>
            </w:pPr>
            <w:r>
              <w:rPr>
                <w:rFonts w:ascii="Arial" w:cs="Arial" w:eastAsia="Arial" w:hAnsi="Arial"/>
                <w:sz w:val="14"/>
                <w:szCs w:val="14"/>
                <w:color w:val="auto"/>
              </w:rPr>
              <w:t>Registrant’s telephone number, including area code: (971) 365-3939</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Borders>
              <w:bottom w:val="single" w:sz="8" w:color="auto"/>
            </w:tcBorders>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100" w:type="dxa"/>
            <w:vAlign w:val="bottom"/>
            <w:gridSpan w:val="6"/>
          </w:tcPr>
          <w:p>
            <w:pPr>
              <w:jc w:val="center"/>
              <w:ind w:right="400"/>
              <w:spacing w:after="0"/>
              <w:rPr>
                <w:sz w:val="20"/>
                <w:szCs w:val="20"/>
                <w:color w:val="auto"/>
              </w:rPr>
            </w:pPr>
            <w:r>
              <w:rPr>
                <w:rFonts w:ascii="Arial" w:cs="Arial" w:eastAsia="Arial" w:hAnsi="Arial"/>
                <w:sz w:val="14"/>
                <w:szCs w:val="14"/>
                <w:color w:val="auto"/>
              </w:rPr>
              <w:t>Securities registered pursuant to Section 12(b) of the Act:</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276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3"/>
        </w:trPr>
        <w:tc>
          <w:tcPr>
            <w:tcW w:w="3640" w:type="dxa"/>
            <w:vAlign w:val="bottom"/>
          </w:tcPr>
          <w:p>
            <w:pPr>
              <w:jc w:val="center"/>
              <w:spacing w:after="0" w:line="173" w:lineRule="exact"/>
              <w:rPr>
                <w:sz w:val="20"/>
                <w:szCs w:val="20"/>
                <w:color w:val="auto"/>
              </w:rPr>
            </w:pPr>
            <w:r>
              <w:rPr>
                <w:rFonts w:ascii="Arial" w:cs="Arial" w:eastAsia="Arial" w:hAnsi="Arial"/>
                <w:sz w:val="18"/>
                <w:szCs w:val="18"/>
                <w:color w:val="auto"/>
                <w:w w:val="99"/>
              </w:rPr>
              <w:t>Class A Common Stock, par value $0.0001</w:t>
            </w:r>
          </w:p>
        </w:tc>
        <w:tc>
          <w:tcPr>
            <w:tcW w:w="8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3180" w:type="dxa"/>
            <w:vAlign w:val="bottom"/>
            <w:gridSpan w:val="4"/>
            <w:vMerge w:val="restart"/>
          </w:tcPr>
          <w:p>
            <w:pPr>
              <w:jc w:val="center"/>
              <w:ind w:right="1340"/>
              <w:spacing w:after="0"/>
              <w:rPr>
                <w:sz w:val="20"/>
                <w:szCs w:val="20"/>
                <w:color w:val="auto"/>
              </w:rPr>
            </w:pPr>
            <w:r>
              <w:rPr>
                <w:rFonts w:ascii="Arial" w:cs="Arial" w:eastAsia="Arial" w:hAnsi="Arial"/>
                <w:sz w:val="18"/>
                <w:szCs w:val="18"/>
                <w:color w:val="auto"/>
              </w:rPr>
              <w:t>EXFY</w:t>
            </w:r>
          </w:p>
        </w:tc>
        <w:tc>
          <w:tcPr>
            <w:tcW w:w="3320" w:type="dxa"/>
            <w:vAlign w:val="bottom"/>
            <w:vMerge w:val="restart"/>
          </w:tcPr>
          <w:p>
            <w:pPr>
              <w:jc w:val="center"/>
              <w:ind w:right="272"/>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47"/>
        </w:trPr>
        <w:tc>
          <w:tcPr>
            <w:tcW w:w="4640" w:type="dxa"/>
            <w:vAlign w:val="bottom"/>
            <w:gridSpan w:val="4"/>
          </w:tcPr>
          <w:p>
            <w:pPr>
              <w:jc w:val="center"/>
              <w:ind w:right="1000"/>
              <w:spacing w:after="0"/>
              <w:rPr>
                <w:sz w:val="20"/>
                <w:szCs w:val="20"/>
                <w:color w:val="auto"/>
              </w:rPr>
            </w:pPr>
            <w:r>
              <w:rPr>
                <w:rFonts w:ascii="Arial" w:cs="Arial" w:eastAsia="Arial" w:hAnsi="Arial"/>
                <w:sz w:val="18"/>
                <w:szCs w:val="18"/>
                <w:color w:val="auto"/>
                <w:w w:val="99"/>
              </w:rPr>
              <w:t>per share</w:t>
            </w:r>
          </w:p>
        </w:tc>
        <w:tc>
          <w:tcPr>
            <w:tcW w:w="3180" w:type="dxa"/>
            <w:vAlign w:val="bottom"/>
            <w:gridSpan w:val="4"/>
            <w:vMerge w:val="continue"/>
          </w:tcPr>
          <w:p>
            <w:pPr>
              <w:spacing w:after="0"/>
              <w:rPr>
                <w:sz w:val="21"/>
                <w:szCs w:val="21"/>
                <w:color w:val="auto"/>
              </w:rPr>
            </w:pPr>
          </w:p>
        </w:tc>
        <w:tc>
          <w:tcPr>
            <w:tcW w:w="3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23"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6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6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894" w:right="379" w:bottom="1440" w:gutter="0" w:footer="0" w:header="0"/>
        </w:sectPr>
      </w:pPr>
    </w:p>
    <w:p>
      <w:pPr>
        <w:spacing w:after="0" w:line="14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Large 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Accelerated filer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40"/>
          </w:cols>
          <w:pgMar w:left="320" w:top="894" w:right="37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Non-accelerated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Smaller reporting company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40"/>
          </w:cols>
          <w:pgMar w:left="320" w:top="894" w:right="37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highlight w:val="black"/>
        </w:rPr>
        <w:t>☐</w:t>
      </w:r>
    </w:p>
    <w:p>
      <w:pPr>
        <w:sectPr>
          <w:pgSz w:w="11900" w:h="16838" w:orient="portrait"/>
          <w:cols w:equalWidth="0" w:num="1">
            <w:col w:w="11200"/>
          </w:cols>
          <w:pgMar w:left="320" w:top="894" w:right="379" w:bottom="1440" w:gutter="0" w:footer="0" w:header="0"/>
          <w:type w:val="continuous"/>
        </w:sectPr>
      </w:pPr>
    </w:p>
    <w:p>
      <w:pPr>
        <w:spacing w:after="0" w:line="200" w:lineRule="exact"/>
        <w:rPr>
          <w:sz w:val="24"/>
          <w:szCs w:val="24"/>
          <w:color w:val="auto"/>
        </w:rPr>
      </w:pPr>
    </w:p>
    <w:p>
      <w:pPr>
        <w:spacing w:after="0" w:line="253" w:lineRule="exact"/>
        <w:rPr>
          <w:sz w:val="24"/>
          <w:szCs w:val="24"/>
          <w:color w:val="auto"/>
        </w:rPr>
      </w:pPr>
    </w:p>
    <w:p>
      <w:pPr>
        <w:ind w:right="26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160"/>
        <w:spacing w:after="0" w:line="285" w:lineRule="auto"/>
        <w:rPr>
          <w:sz w:val="20"/>
          <w:szCs w:val="20"/>
          <w:color w:val="auto"/>
        </w:rPr>
      </w:pPr>
      <w:r>
        <w:rPr>
          <w:rFonts w:ascii="Arial" w:cs="Arial" w:eastAsia="Arial" w:hAnsi="Arial"/>
          <w:sz w:val="14"/>
          <w:szCs w:val="14"/>
          <w:color w:val="auto"/>
        </w:rPr>
        <w:t>The registrant had outstanding 84,278,255 shares of Class A common stock, par value of $0.0001 per share, 4,209,827 shares of LT10 common stock, par value $0.0001 per share, and 7,950,037 shares of LT50 common stock, par value $0.0001 per share, as of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type w:val="continuous"/>
        </w:sectPr>
      </w:pPr>
    </w:p>
    <w:bookmarkStart w:id="1" w:name="page2"/>
    <w:bookmarkEnd w:id="1"/>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39"/>
        </w:trPr>
        <w:tc>
          <w:tcPr>
            <w:tcW w:w="9600" w:type="dxa"/>
            <w:vAlign w:val="bottom"/>
            <w:gridSpan w:val="2"/>
          </w:tcPr>
          <w:p>
            <w:pPr>
              <w:ind w:left="20"/>
              <w:spacing w:after="0"/>
              <w:rPr>
                <w:sz w:val="20"/>
                <w:szCs w:val="20"/>
                <w:color w:val="auto"/>
              </w:rPr>
            </w:pPr>
            <w:r>
              <w:rPr>
                <w:rFonts w:ascii="Arial" w:cs="Arial" w:eastAsia="Arial" w:hAnsi="Arial"/>
                <w:sz w:val="18"/>
                <w:szCs w:val="18"/>
                <w:color w:val="03D47C"/>
              </w:rPr>
              <w:t>Special Note Regarding Forward-Looking Statements</w:t>
            </w:r>
          </w:p>
        </w:tc>
        <w:tc>
          <w:tcPr>
            <w:tcW w:w="1640" w:type="dxa"/>
            <w:vAlign w:val="bottom"/>
          </w:tcPr>
          <w:p>
            <w:pPr>
              <w:jc w:val="right"/>
              <w:spacing w:after="0"/>
              <w:rPr>
                <w:sz w:val="20"/>
                <w:szCs w:val="20"/>
                <w:color w:val="auto"/>
              </w:rPr>
            </w:pPr>
            <w:r>
              <w:rPr>
                <w:rFonts w:ascii="Arial" w:cs="Arial" w:eastAsia="Arial" w:hAnsi="Arial"/>
                <w:sz w:val="18"/>
                <w:szCs w:val="18"/>
                <w:color w:val="03D47C"/>
              </w:rPr>
              <w:t>1</w:t>
            </w:r>
          </w:p>
        </w:tc>
      </w:tr>
      <w:tr>
        <w:trPr>
          <w:trHeight w:val="531"/>
        </w:trPr>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03D47C"/>
              </w:rPr>
              <w:t>Part I - Financial Information</w:t>
            </w:r>
          </w:p>
        </w:tc>
        <w:tc>
          <w:tcPr>
            <w:tcW w:w="1640" w:type="dxa"/>
            <w:vAlign w:val="bottom"/>
          </w:tcPr>
          <w:p>
            <w:pPr>
              <w:spacing w:after="0"/>
              <w:rPr>
                <w:sz w:val="24"/>
                <w:szCs w:val="24"/>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1.</w:t>
            </w:r>
          </w:p>
        </w:tc>
        <w:tc>
          <w:tcPr>
            <w:tcW w:w="8580" w:type="dxa"/>
            <w:vAlign w:val="bottom"/>
          </w:tcPr>
          <w:p>
            <w:pPr>
              <w:ind w:left="320"/>
              <w:spacing w:after="0"/>
              <w:rPr>
                <w:sz w:val="20"/>
                <w:szCs w:val="20"/>
                <w:color w:val="auto"/>
              </w:rPr>
            </w:pPr>
            <w:r>
              <w:rPr>
                <w:rFonts w:ascii="Arial" w:cs="Arial" w:eastAsia="Arial" w:hAnsi="Arial"/>
                <w:sz w:val="18"/>
                <w:szCs w:val="18"/>
                <w:color w:val="03D47C"/>
              </w:rPr>
              <w:t>Condensed Consolidated Financial Statements</w:t>
            </w:r>
          </w:p>
        </w:tc>
        <w:tc>
          <w:tcPr>
            <w:tcW w:w="1640" w:type="dxa"/>
            <w:vAlign w:val="bottom"/>
          </w:tcPr>
          <w:p>
            <w:pPr>
              <w:jc w:val="right"/>
              <w:spacing w:after="0"/>
              <w:rPr>
                <w:sz w:val="20"/>
                <w:szCs w:val="20"/>
                <w:color w:val="auto"/>
              </w:rPr>
            </w:pPr>
            <w:r>
              <w:rPr>
                <w:rFonts w:ascii="Arial" w:cs="Arial" w:eastAsia="Arial" w:hAnsi="Arial"/>
                <w:sz w:val="18"/>
                <w:szCs w:val="18"/>
                <w:color w:val="03D47C"/>
              </w:rPr>
              <w:t>4</w:t>
            </w:r>
          </w:p>
        </w:tc>
      </w:tr>
      <w:tr>
        <w:trPr>
          <w:trHeight w:val="230"/>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Balance Sheets</w:t>
            </w:r>
          </w:p>
        </w:tc>
        <w:tc>
          <w:tcPr>
            <w:tcW w:w="1640" w:type="dxa"/>
            <w:vAlign w:val="bottom"/>
          </w:tcPr>
          <w:p>
            <w:pPr>
              <w:jc w:val="right"/>
              <w:spacing w:after="0"/>
              <w:rPr>
                <w:sz w:val="20"/>
                <w:szCs w:val="20"/>
                <w:color w:val="auto"/>
              </w:rPr>
            </w:pPr>
            <w:r>
              <w:rPr>
                <w:rFonts w:ascii="Arial" w:cs="Arial" w:eastAsia="Arial" w:hAnsi="Arial"/>
                <w:sz w:val="18"/>
                <w:szCs w:val="18"/>
                <w:color w:val="03D47C"/>
              </w:rPr>
              <w:t>5</w:t>
            </w:r>
          </w:p>
        </w:tc>
      </w:tr>
      <w:tr>
        <w:trPr>
          <w:trHeight w:val="229"/>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Statements of Operations</w:t>
            </w:r>
          </w:p>
        </w:tc>
        <w:tc>
          <w:tcPr>
            <w:tcW w:w="1640" w:type="dxa"/>
            <w:vAlign w:val="bottom"/>
          </w:tcPr>
          <w:p>
            <w:pPr>
              <w:jc w:val="right"/>
              <w:spacing w:after="0"/>
              <w:rPr>
                <w:sz w:val="20"/>
                <w:szCs w:val="20"/>
                <w:color w:val="auto"/>
              </w:rPr>
            </w:pPr>
            <w:r>
              <w:rPr>
                <w:rFonts w:ascii="Arial" w:cs="Arial" w:eastAsia="Arial" w:hAnsi="Arial"/>
                <w:sz w:val="18"/>
                <w:szCs w:val="18"/>
                <w:color w:val="03D47C"/>
              </w:rPr>
              <w:t>6</w:t>
            </w:r>
          </w:p>
        </w:tc>
      </w:tr>
      <w:tr>
        <w:trPr>
          <w:trHeight w:val="229"/>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Statements of Changes in Stockholders’ Equity</w:t>
            </w:r>
          </w:p>
        </w:tc>
        <w:tc>
          <w:tcPr>
            <w:tcW w:w="1640" w:type="dxa"/>
            <w:vAlign w:val="bottom"/>
          </w:tcPr>
          <w:p>
            <w:pPr>
              <w:jc w:val="right"/>
              <w:spacing w:after="0"/>
              <w:rPr>
                <w:sz w:val="20"/>
                <w:szCs w:val="20"/>
                <w:color w:val="auto"/>
              </w:rPr>
            </w:pPr>
            <w:r>
              <w:rPr>
                <w:rFonts w:ascii="Arial" w:cs="Arial" w:eastAsia="Arial" w:hAnsi="Arial"/>
                <w:sz w:val="18"/>
                <w:szCs w:val="18"/>
                <w:color w:val="03D47C"/>
              </w:rPr>
              <w:t>7</w:t>
            </w:r>
          </w:p>
        </w:tc>
      </w:tr>
      <w:tr>
        <w:trPr>
          <w:trHeight w:val="230"/>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Statements of Cash Flows</w:t>
            </w:r>
          </w:p>
        </w:tc>
        <w:tc>
          <w:tcPr>
            <w:tcW w:w="1640" w:type="dxa"/>
            <w:vAlign w:val="bottom"/>
          </w:tcPr>
          <w:p>
            <w:pPr>
              <w:jc w:val="right"/>
              <w:spacing w:after="0"/>
              <w:rPr>
                <w:sz w:val="20"/>
                <w:szCs w:val="20"/>
                <w:color w:val="auto"/>
              </w:rPr>
            </w:pPr>
            <w:r>
              <w:rPr>
                <w:rFonts w:ascii="Arial" w:cs="Arial" w:eastAsia="Arial" w:hAnsi="Arial"/>
                <w:sz w:val="18"/>
                <w:szCs w:val="18"/>
                <w:color w:val="03D47C"/>
              </w:rPr>
              <w:t>9</w:t>
            </w:r>
          </w:p>
        </w:tc>
      </w:tr>
      <w:tr>
        <w:trPr>
          <w:trHeight w:val="229"/>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Notes to Condensed Consolidated Financial Statements</w:t>
            </w:r>
          </w:p>
        </w:tc>
        <w:tc>
          <w:tcPr>
            <w:tcW w:w="1640" w:type="dxa"/>
            <w:vAlign w:val="bottom"/>
          </w:tcPr>
          <w:p>
            <w:pPr>
              <w:jc w:val="right"/>
              <w:spacing w:after="0"/>
              <w:rPr>
                <w:sz w:val="20"/>
                <w:szCs w:val="20"/>
                <w:color w:val="auto"/>
              </w:rPr>
            </w:pPr>
            <w:r>
              <w:rPr>
                <w:rFonts w:ascii="Arial" w:cs="Arial" w:eastAsia="Arial" w:hAnsi="Arial"/>
                <w:sz w:val="18"/>
                <w:szCs w:val="18"/>
                <w:color w:val="03D47C"/>
              </w:rPr>
              <w:t>11</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2.</w:t>
            </w:r>
          </w:p>
        </w:tc>
        <w:tc>
          <w:tcPr>
            <w:tcW w:w="8580" w:type="dxa"/>
            <w:vAlign w:val="bottom"/>
          </w:tcPr>
          <w:p>
            <w:pPr>
              <w:ind w:left="320"/>
              <w:spacing w:after="0"/>
              <w:rPr>
                <w:sz w:val="20"/>
                <w:szCs w:val="20"/>
                <w:color w:val="auto"/>
              </w:rPr>
            </w:pPr>
            <w:r>
              <w:rPr>
                <w:rFonts w:ascii="Arial" w:cs="Arial" w:eastAsia="Arial" w:hAnsi="Arial"/>
                <w:sz w:val="18"/>
                <w:szCs w:val="18"/>
                <w:color w:val="03D47C"/>
              </w:rPr>
              <w:t>Management's Discussion and Analysis of Financial Condition and Results of Operations</w:t>
            </w:r>
          </w:p>
        </w:tc>
        <w:tc>
          <w:tcPr>
            <w:tcW w:w="1640" w:type="dxa"/>
            <w:vAlign w:val="bottom"/>
          </w:tcPr>
          <w:p>
            <w:pPr>
              <w:jc w:val="right"/>
              <w:spacing w:after="0"/>
              <w:rPr>
                <w:sz w:val="20"/>
                <w:szCs w:val="20"/>
                <w:color w:val="auto"/>
              </w:rPr>
            </w:pPr>
            <w:r>
              <w:rPr>
                <w:rFonts w:ascii="Arial" w:cs="Arial" w:eastAsia="Arial" w:hAnsi="Arial"/>
                <w:sz w:val="18"/>
                <w:szCs w:val="18"/>
                <w:color w:val="03D47C"/>
              </w:rPr>
              <w:t>26</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3.</w:t>
            </w:r>
          </w:p>
        </w:tc>
        <w:tc>
          <w:tcPr>
            <w:tcW w:w="8580" w:type="dxa"/>
            <w:vAlign w:val="bottom"/>
          </w:tcPr>
          <w:p>
            <w:pPr>
              <w:ind w:left="320"/>
              <w:spacing w:after="0"/>
              <w:rPr>
                <w:sz w:val="20"/>
                <w:szCs w:val="20"/>
                <w:color w:val="auto"/>
              </w:rPr>
            </w:pPr>
            <w:r>
              <w:rPr>
                <w:rFonts w:ascii="Arial" w:cs="Arial" w:eastAsia="Arial" w:hAnsi="Arial"/>
                <w:sz w:val="18"/>
                <w:szCs w:val="18"/>
                <w:color w:val="03D47C"/>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8"/>
                <w:szCs w:val="18"/>
                <w:color w:val="03D47C"/>
              </w:rPr>
              <w:t>38</w:t>
            </w:r>
          </w:p>
        </w:tc>
      </w:tr>
      <w:tr>
        <w:trPr>
          <w:trHeight w:val="239"/>
        </w:trPr>
        <w:tc>
          <w:tcPr>
            <w:tcW w:w="1020" w:type="dxa"/>
            <w:vAlign w:val="bottom"/>
          </w:tcPr>
          <w:p>
            <w:pPr>
              <w:ind w:left="20"/>
              <w:spacing w:after="0"/>
              <w:rPr>
                <w:sz w:val="20"/>
                <w:szCs w:val="20"/>
                <w:color w:val="auto"/>
              </w:rPr>
            </w:pPr>
            <w:r>
              <w:rPr>
                <w:rFonts w:ascii="Arial" w:cs="Arial" w:eastAsia="Arial" w:hAnsi="Arial"/>
                <w:sz w:val="18"/>
                <w:szCs w:val="18"/>
                <w:color w:val="03D47C"/>
              </w:rPr>
              <w:t>Item 4.</w:t>
            </w:r>
          </w:p>
        </w:tc>
        <w:tc>
          <w:tcPr>
            <w:tcW w:w="8580" w:type="dxa"/>
            <w:vAlign w:val="bottom"/>
          </w:tcPr>
          <w:p>
            <w:pPr>
              <w:ind w:left="320"/>
              <w:spacing w:after="0"/>
              <w:rPr>
                <w:sz w:val="20"/>
                <w:szCs w:val="20"/>
                <w:color w:val="auto"/>
              </w:rPr>
            </w:pPr>
            <w:r>
              <w:rPr>
                <w:rFonts w:ascii="Arial" w:cs="Arial" w:eastAsia="Arial" w:hAnsi="Arial"/>
                <w:sz w:val="18"/>
                <w:szCs w:val="18"/>
                <w:color w:val="03D47C"/>
              </w:rPr>
              <w:t>Controls and Procedures</w:t>
            </w:r>
          </w:p>
        </w:tc>
        <w:tc>
          <w:tcPr>
            <w:tcW w:w="1640" w:type="dxa"/>
            <w:vAlign w:val="bottom"/>
          </w:tcPr>
          <w:p>
            <w:pPr>
              <w:jc w:val="right"/>
              <w:spacing w:after="0"/>
              <w:rPr>
                <w:sz w:val="20"/>
                <w:szCs w:val="20"/>
                <w:color w:val="auto"/>
              </w:rPr>
            </w:pPr>
            <w:r>
              <w:rPr>
                <w:rFonts w:ascii="Arial" w:cs="Arial" w:eastAsia="Arial" w:hAnsi="Arial"/>
                <w:sz w:val="18"/>
                <w:szCs w:val="18"/>
                <w:color w:val="03D47C"/>
              </w:rPr>
              <w:t>38</w:t>
            </w:r>
          </w:p>
        </w:tc>
      </w:tr>
      <w:tr>
        <w:trPr>
          <w:trHeight w:val="531"/>
        </w:trPr>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03D47C"/>
              </w:rPr>
              <w:t>Part II - Other Information</w:t>
            </w:r>
          </w:p>
        </w:tc>
        <w:tc>
          <w:tcPr>
            <w:tcW w:w="1640" w:type="dxa"/>
            <w:vAlign w:val="bottom"/>
          </w:tcPr>
          <w:p>
            <w:pPr>
              <w:spacing w:after="0"/>
              <w:rPr>
                <w:sz w:val="24"/>
                <w:szCs w:val="24"/>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1.</w:t>
            </w:r>
          </w:p>
        </w:tc>
        <w:tc>
          <w:tcPr>
            <w:tcW w:w="8580" w:type="dxa"/>
            <w:vAlign w:val="bottom"/>
          </w:tcPr>
          <w:p>
            <w:pPr>
              <w:ind w:left="320"/>
              <w:spacing w:after="0"/>
              <w:rPr>
                <w:sz w:val="20"/>
                <w:szCs w:val="20"/>
                <w:color w:val="auto"/>
              </w:rPr>
            </w:pPr>
            <w:r>
              <w:rPr>
                <w:rFonts w:ascii="Arial" w:cs="Arial" w:eastAsia="Arial" w:hAnsi="Arial"/>
                <w:sz w:val="18"/>
                <w:szCs w:val="18"/>
                <w:color w:val="03D47C"/>
              </w:rPr>
              <w:t>Legal Proceedings</w:t>
            </w:r>
          </w:p>
        </w:tc>
        <w:tc>
          <w:tcPr>
            <w:tcW w:w="1640" w:type="dxa"/>
            <w:vAlign w:val="bottom"/>
          </w:tcPr>
          <w:p>
            <w:pPr>
              <w:jc w:val="right"/>
              <w:spacing w:after="0"/>
              <w:rPr>
                <w:sz w:val="20"/>
                <w:szCs w:val="20"/>
                <w:color w:val="auto"/>
              </w:rPr>
            </w:pPr>
            <w:r>
              <w:rPr>
                <w:rFonts w:ascii="Arial" w:cs="Arial" w:eastAsia="Arial" w:hAnsi="Arial"/>
                <w:sz w:val="18"/>
                <w:szCs w:val="18"/>
                <w:color w:val="03D47C"/>
              </w:rPr>
              <w:t>39</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1A.</w:t>
            </w:r>
          </w:p>
        </w:tc>
        <w:tc>
          <w:tcPr>
            <w:tcW w:w="8580" w:type="dxa"/>
            <w:vAlign w:val="bottom"/>
          </w:tcPr>
          <w:p>
            <w:pPr>
              <w:ind w:left="320"/>
              <w:spacing w:after="0"/>
              <w:rPr>
                <w:sz w:val="20"/>
                <w:szCs w:val="20"/>
                <w:color w:val="auto"/>
              </w:rPr>
            </w:pPr>
            <w:r>
              <w:rPr>
                <w:rFonts w:ascii="Arial" w:cs="Arial" w:eastAsia="Arial" w:hAnsi="Arial"/>
                <w:sz w:val="18"/>
                <w:szCs w:val="18"/>
                <w:color w:val="03D47C"/>
              </w:rPr>
              <w:t>Risk Factors</w:t>
            </w:r>
          </w:p>
        </w:tc>
        <w:tc>
          <w:tcPr>
            <w:tcW w:w="1640" w:type="dxa"/>
            <w:vAlign w:val="bottom"/>
          </w:tcPr>
          <w:p>
            <w:pPr>
              <w:jc w:val="right"/>
              <w:spacing w:after="0"/>
              <w:rPr>
                <w:sz w:val="20"/>
                <w:szCs w:val="20"/>
                <w:color w:val="auto"/>
              </w:rPr>
            </w:pPr>
            <w:r>
              <w:rPr>
                <w:rFonts w:ascii="Arial" w:cs="Arial" w:eastAsia="Arial" w:hAnsi="Arial"/>
                <w:sz w:val="18"/>
                <w:szCs w:val="18"/>
                <w:color w:val="03D47C"/>
              </w:rPr>
              <w:t>40</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2.</w:t>
            </w:r>
          </w:p>
        </w:tc>
        <w:tc>
          <w:tcPr>
            <w:tcW w:w="8580" w:type="dxa"/>
            <w:vAlign w:val="bottom"/>
          </w:tcPr>
          <w:p>
            <w:pPr>
              <w:ind w:left="320"/>
              <w:spacing w:after="0"/>
              <w:rPr>
                <w:sz w:val="20"/>
                <w:szCs w:val="20"/>
                <w:color w:val="auto"/>
              </w:rPr>
            </w:pPr>
            <w:r>
              <w:rPr>
                <w:rFonts w:ascii="Arial" w:cs="Arial" w:eastAsia="Arial" w:hAnsi="Arial"/>
                <w:sz w:val="18"/>
                <w:szCs w:val="18"/>
                <w:color w:val="03D47C"/>
              </w:rPr>
              <w:t>Unregistered Sales of Equity Securities and Use of Proceeds</w:t>
            </w:r>
          </w:p>
        </w:tc>
        <w:tc>
          <w:tcPr>
            <w:tcW w:w="1640" w:type="dxa"/>
            <w:vAlign w:val="bottom"/>
          </w:tcPr>
          <w:p>
            <w:pPr>
              <w:jc w:val="right"/>
              <w:spacing w:after="0"/>
              <w:rPr>
                <w:sz w:val="20"/>
                <w:szCs w:val="20"/>
                <w:color w:val="auto"/>
              </w:rPr>
            </w:pPr>
            <w:r>
              <w:rPr>
                <w:rFonts w:ascii="Arial" w:cs="Arial" w:eastAsia="Arial" w:hAnsi="Arial"/>
                <w:sz w:val="18"/>
                <w:szCs w:val="18"/>
                <w:color w:val="03D47C"/>
              </w:rPr>
              <w:t>41</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3.</w:t>
            </w:r>
          </w:p>
        </w:tc>
        <w:tc>
          <w:tcPr>
            <w:tcW w:w="8580" w:type="dxa"/>
            <w:vAlign w:val="bottom"/>
          </w:tcPr>
          <w:p>
            <w:pPr>
              <w:ind w:left="320"/>
              <w:spacing w:after="0"/>
              <w:rPr>
                <w:sz w:val="20"/>
                <w:szCs w:val="20"/>
                <w:color w:val="auto"/>
              </w:rPr>
            </w:pPr>
            <w:r>
              <w:rPr>
                <w:rFonts w:ascii="Arial" w:cs="Arial" w:eastAsia="Arial" w:hAnsi="Arial"/>
                <w:sz w:val="18"/>
                <w:szCs w:val="18"/>
                <w:color w:val="03D47C"/>
              </w:rPr>
              <w:t>Defaults Upon Senior Securities</w:t>
            </w:r>
          </w:p>
        </w:tc>
        <w:tc>
          <w:tcPr>
            <w:tcW w:w="1640" w:type="dxa"/>
            <w:vAlign w:val="bottom"/>
          </w:tcPr>
          <w:p>
            <w:pPr>
              <w:jc w:val="right"/>
              <w:spacing w:after="0"/>
              <w:rPr>
                <w:sz w:val="20"/>
                <w:szCs w:val="20"/>
                <w:color w:val="auto"/>
              </w:rPr>
            </w:pPr>
            <w:r>
              <w:rPr>
                <w:rFonts w:ascii="Arial" w:cs="Arial" w:eastAsia="Arial" w:hAnsi="Arial"/>
                <w:sz w:val="18"/>
                <w:szCs w:val="18"/>
                <w:color w:val="03D47C"/>
              </w:rPr>
              <w:t>41</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4.</w:t>
            </w:r>
          </w:p>
        </w:tc>
        <w:tc>
          <w:tcPr>
            <w:tcW w:w="8580" w:type="dxa"/>
            <w:vAlign w:val="bottom"/>
          </w:tcPr>
          <w:p>
            <w:pPr>
              <w:ind w:left="320"/>
              <w:spacing w:after="0"/>
              <w:rPr>
                <w:sz w:val="20"/>
                <w:szCs w:val="20"/>
                <w:color w:val="auto"/>
              </w:rPr>
            </w:pPr>
            <w:r>
              <w:rPr>
                <w:rFonts w:ascii="Arial" w:cs="Arial" w:eastAsia="Arial" w:hAnsi="Arial"/>
                <w:sz w:val="18"/>
                <w:szCs w:val="18"/>
                <w:color w:val="03D47C"/>
              </w:rPr>
              <w:t>Mine Safety Disclosures</w:t>
            </w:r>
          </w:p>
        </w:tc>
        <w:tc>
          <w:tcPr>
            <w:tcW w:w="1640" w:type="dxa"/>
            <w:vAlign w:val="bottom"/>
          </w:tcPr>
          <w:p>
            <w:pPr>
              <w:jc w:val="right"/>
              <w:spacing w:after="0"/>
              <w:rPr>
                <w:sz w:val="20"/>
                <w:szCs w:val="20"/>
                <w:color w:val="auto"/>
              </w:rPr>
            </w:pPr>
            <w:r>
              <w:rPr>
                <w:rFonts w:ascii="Arial" w:cs="Arial" w:eastAsia="Arial" w:hAnsi="Arial"/>
                <w:sz w:val="18"/>
                <w:szCs w:val="18"/>
                <w:color w:val="03D47C"/>
              </w:rPr>
              <w:t>41</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5.</w:t>
            </w:r>
          </w:p>
        </w:tc>
        <w:tc>
          <w:tcPr>
            <w:tcW w:w="8580" w:type="dxa"/>
            <w:vAlign w:val="bottom"/>
          </w:tcPr>
          <w:p>
            <w:pPr>
              <w:ind w:left="320"/>
              <w:spacing w:after="0"/>
              <w:rPr>
                <w:sz w:val="20"/>
                <w:szCs w:val="20"/>
                <w:color w:val="auto"/>
              </w:rPr>
            </w:pPr>
            <w:r>
              <w:rPr>
                <w:rFonts w:ascii="Arial" w:cs="Arial" w:eastAsia="Arial" w:hAnsi="Arial"/>
                <w:sz w:val="18"/>
                <w:szCs w:val="18"/>
                <w:color w:val="03D47C"/>
              </w:rPr>
              <w:t>Other Information</w:t>
            </w:r>
          </w:p>
        </w:tc>
        <w:tc>
          <w:tcPr>
            <w:tcW w:w="1640" w:type="dxa"/>
            <w:vAlign w:val="bottom"/>
          </w:tcPr>
          <w:p>
            <w:pPr>
              <w:jc w:val="right"/>
              <w:spacing w:after="0"/>
              <w:rPr>
                <w:sz w:val="20"/>
                <w:szCs w:val="20"/>
                <w:color w:val="auto"/>
              </w:rPr>
            </w:pPr>
            <w:r>
              <w:rPr>
                <w:rFonts w:ascii="Arial" w:cs="Arial" w:eastAsia="Arial" w:hAnsi="Arial"/>
                <w:sz w:val="18"/>
                <w:szCs w:val="18"/>
                <w:color w:val="03D47C"/>
              </w:rPr>
              <w:t>41</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6.</w:t>
            </w:r>
          </w:p>
        </w:tc>
        <w:tc>
          <w:tcPr>
            <w:tcW w:w="8580" w:type="dxa"/>
            <w:vAlign w:val="bottom"/>
          </w:tcPr>
          <w:p>
            <w:pPr>
              <w:ind w:left="320"/>
              <w:spacing w:after="0"/>
              <w:rPr>
                <w:sz w:val="20"/>
                <w:szCs w:val="20"/>
                <w:color w:val="auto"/>
              </w:rPr>
            </w:pPr>
            <w:r>
              <w:rPr>
                <w:rFonts w:ascii="Arial" w:cs="Arial" w:eastAsia="Arial" w:hAnsi="Arial"/>
                <w:sz w:val="18"/>
                <w:szCs w:val="18"/>
                <w:color w:val="03D47C"/>
              </w:rPr>
              <w:t>Exhibits</w:t>
            </w:r>
          </w:p>
        </w:tc>
        <w:tc>
          <w:tcPr>
            <w:tcW w:w="1640" w:type="dxa"/>
            <w:vAlign w:val="bottom"/>
          </w:tcPr>
          <w:p>
            <w:pPr>
              <w:jc w:val="right"/>
              <w:spacing w:after="0"/>
              <w:rPr>
                <w:sz w:val="20"/>
                <w:szCs w:val="20"/>
                <w:color w:val="auto"/>
              </w:rPr>
            </w:pPr>
            <w:r>
              <w:rPr>
                <w:rFonts w:ascii="Arial" w:cs="Arial" w:eastAsia="Arial" w:hAnsi="Arial"/>
                <w:sz w:val="18"/>
                <w:szCs w:val="18"/>
                <w:color w:val="03D47C"/>
              </w:rPr>
              <w:t>42</w:t>
            </w:r>
          </w:p>
        </w:tc>
      </w:tr>
      <w:tr>
        <w:trPr>
          <w:trHeight w:val="247"/>
        </w:trPr>
        <w:tc>
          <w:tcPr>
            <w:tcW w:w="1020" w:type="dxa"/>
            <w:vAlign w:val="bottom"/>
          </w:tcPr>
          <w:p>
            <w:pPr>
              <w:spacing w:after="0"/>
              <w:rPr>
                <w:sz w:val="21"/>
                <w:szCs w:val="21"/>
                <w:color w:val="auto"/>
              </w:rPr>
            </w:pPr>
          </w:p>
        </w:tc>
        <w:tc>
          <w:tcPr>
            <w:tcW w:w="8580" w:type="dxa"/>
            <w:vAlign w:val="bottom"/>
          </w:tcPr>
          <w:p>
            <w:pPr>
              <w:ind w:left="320"/>
              <w:spacing w:after="0"/>
              <w:rPr>
                <w:sz w:val="20"/>
                <w:szCs w:val="20"/>
                <w:color w:val="auto"/>
              </w:rPr>
            </w:pPr>
            <w:r>
              <w:rPr>
                <w:rFonts w:ascii="Arial" w:cs="Arial" w:eastAsia="Arial" w:hAnsi="Arial"/>
                <w:sz w:val="18"/>
                <w:szCs w:val="18"/>
                <w:b w:val="1"/>
                <w:bCs w:val="1"/>
                <w:color w:val="03D47C"/>
              </w:rPr>
              <w:t>Signatures</w:t>
            </w:r>
          </w:p>
        </w:tc>
        <w:tc>
          <w:tcPr>
            <w:tcW w:w="1640" w:type="dxa"/>
            <w:vAlign w:val="bottom"/>
          </w:tcPr>
          <w:p>
            <w:pPr>
              <w:jc w:val="right"/>
              <w:spacing w:after="0"/>
              <w:rPr>
                <w:sz w:val="20"/>
                <w:szCs w:val="20"/>
                <w:color w:val="auto"/>
              </w:rPr>
            </w:pPr>
            <w:r>
              <w:rPr>
                <w:rFonts w:ascii="Arial" w:cs="Arial" w:eastAsia="Arial" w:hAnsi="Arial"/>
                <w:sz w:val="18"/>
                <w:szCs w:val="18"/>
                <w:color w:val="03D47C"/>
              </w:rPr>
              <w:t>43</w:t>
            </w:r>
          </w:p>
        </w:tc>
      </w:tr>
      <w:tr>
        <w:trPr>
          <w:trHeight w:val="2020"/>
        </w:trPr>
        <w:tc>
          <w:tcPr>
            <w:tcW w:w="102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Special Note Regarding Forward-Looking Statements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We intend such forward-looking statements to be covered by the safe harbor provisions for forward-looking statements contained in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1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44"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85"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7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that we may incur to maintain and expand our business and operations to remain competitive;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40" w:right="6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Nasdaq continued listing requirements for minimum bid price or other Nasdaq listing requirements and the potential delisting of our common stock;</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44" w:lineRule="exact"/>
        <w:rPr>
          <w:rFonts w:ascii="Arial" w:cs="Arial" w:eastAsia="Arial" w:hAnsi="Arial"/>
          <w:sz w:val="18"/>
          <w:szCs w:val="18"/>
          <w:color w:val="auto"/>
        </w:rPr>
      </w:pPr>
    </w:p>
    <w:p>
      <w:pPr>
        <w:ind w:left="340" w:right="56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62"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conflict in the Middle East;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which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impact on our business operations as a result of using artificial intelligence or other machine learning technologies in our services;</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44"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85"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security incidents,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340" w:right="2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tariffs and global trade disruptions on us, our customers and our vendors, including the impact on inflation, supply chains and consumer sentiment; and</w:t>
      </w:r>
    </w:p>
    <w:p>
      <w:pPr>
        <w:spacing w:after="0" w:line="85"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Part I, Item 1A. "Risk Factors" in our Annual Report on Form 10-K for the year ended December 31, 2025 and elsewhere in this Quarterly Report on Form 10-Q.</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Part I, Item 1A. "Risk Factors" and elsewhere in our Annual Report on Form 10-K for the year ended December 31, 2025,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002E22"/>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March 31,</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66,528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63,080</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12,617</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53,581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45,378</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26,344</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153,007</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13,269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13,596</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13,016</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4,730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185,989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17,893</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27,545</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46,405</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5,061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192"/>
        </w:trPr>
        <w:tc>
          <w:tcPr>
            <w:tcW w:w="8020" w:type="dxa"/>
            <w:vAlign w:val="bottom"/>
          </w:tcPr>
          <w:p>
            <w:pPr>
              <w:ind w:left="78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52,069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53,244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par value $0.0001; 10,000,000 shares authorized; no shares issued and outstanding as of March 31, 2026</w:t>
            </w:r>
          </w:p>
        </w:tc>
        <w:tc>
          <w:tcPr>
            <w:tcW w:w="16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December 31, 2025</w:t>
            </w:r>
          </w:p>
        </w:tc>
        <w:tc>
          <w:tcPr>
            <w:tcW w:w="16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20"/>
              <w:spacing w:after="0"/>
              <w:rPr>
                <w:sz w:val="20"/>
                <w:szCs w:val="20"/>
                <w:color w:val="auto"/>
              </w:rPr>
            </w:pPr>
            <w:r>
              <w:rPr>
                <w:rFonts w:ascii="Arial" w:cs="Arial" w:eastAsia="Arial" w:hAnsi="Arial"/>
                <w:sz w:val="14"/>
                <w:szCs w:val="14"/>
                <w:color w:val="auto"/>
              </w:rPr>
              <w:t>Common stock, par value $0.0001;</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Class A common stock; 1,000,000,000 shares authorized; 84,272,879 and 80,767,385 shares issued and outstanding as of</w:t>
            </w: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March 31, 2026 and December 31, 2025, respectively</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020" w:type="dxa"/>
            <w:vAlign w:val="bottom"/>
          </w:tcPr>
          <w:p>
            <w:pPr>
              <w:ind w:left="20"/>
              <w:spacing w:after="0" w:line="157" w:lineRule="exact"/>
              <w:rPr>
                <w:sz w:val="20"/>
                <w:szCs w:val="20"/>
                <w:color w:val="auto"/>
              </w:rPr>
            </w:pPr>
            <w:r>
              <w:rPr>
                <w:rFonts w:ascii="Arial" w:cs="Arial" w:eastAsia="Arial" w:hAnsi="Arial"/>
                <w:sz w:val="14"/>
                <w:szCs w:val="14"/>
                <w:color w:val="auto"/>
              </w:rPr>
              <w:t>LT10 common stock; 21,871,197 shares authorized; 4,209,827 shares issued and outstanding as of March 31, 2026 and</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December 31, 2025,</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20" w:type="dxa"/>
            <w:vAlign w:val="bottom"/>
          </w:tcPr>
          <w:p>
            <w:pPr>
              <w:ind w:left="20"/>
              <w:spacing w:after="0" w:line="151" w:lineRule="exact"/>
              <w:rPr>
                <w:sz w:val="20"/>
                <w:szCs w:val="20"/>
                <w:color w:val="auto"/>
              </w:rPr>
            </w:pPr>
            <w:r>
              <w:rPr>
                <w:rFonts w:ascii="Arial" w:cs="Arial" w:eastAsia="Arial" w:hAnsi="Arial"/>
                <w:sz w:val="14"/>
                <w:szCs w:val="14"/>
                <w:color w:val="auto"/>
              </w:rPr>
              <w:t>LT50 common stock; 24,893,067 and 24,967,114 shares authorized as of March 31, 2026 and December 31, 2025,</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180"/>
              <w:spacing w:after="0" w:line="145" w:lineRule="exact"/>
              <w:rPr>
                <w:sz w:val="20"/>
                <w:szCs w:val="20"/>
                <w:color w:val="auto"/>
              </w:rPr>
            </w:pPr>
            <w:r>
              <w:rPr>
                <w:rFonts w:ascii="Arial" w:cs="Arial" w:eastAsia="Arial" w:hAnsi="Arial"/>
                <w:sz w:val="14"/>
                <w:szCs w:val="14"/>
                <w:color w:val="auto"/>
              </w:rPr>
              <w:t>respectively; 7,950,037 and 8,083,690 shares issued and outstanding as of March 31, 2026 and December 31, 2025,</w:t>
            </w:r>
          </w:p>
        </w:tc>
        <w:tc>
          <w:tcPr>
            <w:tcW w:w="16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802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304,953</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(174,554)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(172,217)</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138,528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132,745</w:t>
            </w:r>
          </w:p>
        </w:tc>
        <w:tc>
          <w:tcPr>
            <w:tcW w:w="0" w:type="dxa"/>
            <w:vAlign w:val="bottom"/>
          </w:tcPr>
          <w:p>
            <w:pPr>
              <w:spacing w:after="0"/>
              <w:rPr>
                <w:sz w:val="1"/>
                <w:szCs w:val="1"/>
                <w:color w:val="auto"/>
              </w:rPr>
            </w:pPr>
          </w:p>
        </w:tc>
      </w:tr>
      <w:tr>
        <w:trPr>
          <w:trHeight w:val="200"/>
        </w:trPr>
        <w:tc>
          <w:tcPr>
            <w:tcW w:w="8020" w:type="dxa"/>
            <w:vAlign w:val="bottom"/>
          </w:tcPr>
          <w:p>
            <w:pPr>
              <w:ind w:left="76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190,597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185,989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used to compute net loss per share: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93,719,202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91,501,083</w:t>
            </w:r>
          </w:p>
        </w:tc>
        <w:tc>
          <w:tcPr>
            <w:tcW w:w="0" w:type="dxa"/>
            <w:vAlign w:val="bottom"/>
          </w:tcPr>
          <w:p>
            <w:pPr>
              <w:spacing w:after="0"/>
              <w:rPr>
                <w:sz w:val="1"/>
                <w:szCs w:val="1"/>
                <w:color w:val="auto"/>
              </w:rPr>
            </w:pPr>
          </w:p>
        </w:tc>
      </w:tr>
      <w:tr>
        <w:trPr>
          <w:trHeight w:val="54"/>
        </w:trPr>
        <w:tc>
          <w:tcPr>
            <w:tcW w:w="7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25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98"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4"/>
        </w:trPr>
        <w:tc>
          <w:tcPr>
            <w:tcW w:w="2780" w:type="dxa"/>
            <w:vAlign w:val="bottom"/>
          </w:tcPr>
          <w:p>
            <w:pPr>
              <w:spacing w:after="0" w:line="144" w:lineRule="exact"/>
              <w:rPr>
                <w:sz w:val="20"/>
                <w:szCs w:val="20"/>
                <w:color w:val="auto"/>
              </w:rPr>
            </w:pPr>
            <w:r>
              <w:rPr>
                <w:rFonts w:ascii="Arial" w:cs="Arial" w:eastAsia="Arial" w:hAnsi="Arial"/>
                <w:sz w:val="16"/>
                <w:szCs w:val="16"/>
                <w:b w:val="1"/>
                <w:bCs w:val="1"/>
                <w:color w:val="auto"/>
              </w:rPr>
              <w:t>Three months ended March 31,</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6"/>
                <w:szCs w:val="16"/>
                <w:b w:val="1"/>
                <w:bCs w:val="1"/>
                <w:color w:val="auto"/>
              </w:rPr>
              <w:t>2026</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spacing w:after="0"/>
              <w:rPr>
                <w:sz w:val="20"/>
                <w:szCs w:val="20"/>
                <w:color w:val="auto"/>
              </w:rPr>
            </w:pPr>
            <w:r>
              <w:rPr>
                <w:rFonts w:ascii="Arial" w:cs="Arial" w:eastAsia="Arial" w:hAnsi="Arial"/>
                <w:sz w:val="16"/>
                <w:szCs w:val="16"/>
                <w:color w:val="auto"/>
              </w:rPr>
              <w:t>Balance at December 31, 2025</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exercise of stock options</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Settlement of liability-classified</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restricted common shares</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connection with restricted stock units</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vesting</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ind w:left="40"/>
              <w:spacing w:after="0"/>
              <w:rPr>
                <w:sz w:val="20"/>
                <w:szCs w:val="20"/>
                <w:color w:val="auto"/>
              </w:rPr>
            </w:pPr>
            <w:r>
              <w:rPr>
                <w:rFonts w:ascii="Arial" w:cs="Arial" w:eastAsia="Arial" w:hAnsi="Arial"/>
                <w:sz w:val="16"/>
                <w:szCs w:val="16"/>
                <w:color w:val="auto"/>
              </w:rPr>
              <w:t>Stock-based compensation</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600" w:type="dxa"/>
            <w:vAlign w:val="bottom"/>
            <w:gridSpan w:val="2"/>
          </w:tcPr>
          <w:p>
            <w:pPr>
              <w:spacing w:after="0"/>
              <w:rPr>
                <w:sz w:val="20"/>
                <w:szCs w:val="20"/>
                <w:color w:val="auto"/>
              </w:rPr>
            </w:pPr>
            <w:r>
              <w:rPr>
                <w:rFonts w:ascii="Arial" w:cs="Arial" w:eastAsia="Arial" w:hAnsi="Arial"/>
                <w:sz w:val="16"/>
                <w:szCs w:val="16"/>
                <w:color w:val="auto"/>
              </w:rPr>
              <w:t>Balance at March 31, 2026</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20" w:type="dxa"/>
            <w:vAlign w:val="bottom"/>
            <w:gridSpan w:val="3"/>
          </w:tcPr>
          <w:p>
            <w:pPr>
              <w:ind w:left="6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60"/>
              <w:spacing w:after="0" w:line="122" w:lineRule="exact"/>
              <w:rPr>
                <w:sz w:val="20"/>
                <w:szCs w:val="20"/>
                <w:color w:val="auto"/>
              </w:rPr>
            </w:pPr>
            <w:r>
              <w:rPr>
                <w:rFonts w:ascii="Arial" w:cs="Arial" w:eastAsia="Arial" w:hAnsi="Arial"/>
                <w:sz w:val="14"/>
                <w:szCs w:val="14"/>
                <w:b w:val="1"/>
                <w:bCs w:val="1"/>
                <w:color w:val="auto"/>
              </w:rPr>
              <w:t>Additional</w:t>
            </w:r>
          </w:p>
        </w:tc>
        <w:tc>
          <w:tcPr>
            <w:tcW w:w="12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jc w:val="right"/>
              <w:spacing w:after="0"/>
              <w:rPr>
                <w:sz w:val="20"/>
                <w:szCs w:val="20"/>
                <w:color w:val="auto"/>
              </w:rPr>
            </w:pPr>
            <w:r>
              <w:rPr>
                <w:rFonts w:ascii="Arial" w:cs="Arial" w:eastAsia="Arial" w:hAnsi="Arial"/>
                <w:sz w:val="16"/>
                <w:szCs w:val="16"/>
                <w:color w:val="auto"/>
              </w:rPr>
              <w:t>93,060,902</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304,953</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(172,217)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132,745</w:t>
            </w: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43,759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3,268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459,586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2,682,042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1,828</w:t>
            </w:r>
          </w:p>
        </w:tc>
      </w:tr>
      <w:tr>
        <w:trPr>
          <w:trHeight w:val="540"/>
        </w:trPr>
        <w:tc>
          <w:tcPr>
            <w:tcW w:w="1120" w:type="dxa"/>
            <w:vAlign w:val="bottom"/>
          </w:tcPr>
          <w:p>
            <w:pPr>
              <w:jc w:val="right"/>
              <w:spacing w:after="0"/>
              <w:rPr>
                <w:sz w:val="20"/>
                <w:szCs w:val="20"/>
                <w:color w:val="auto"/>
              </w:rPr>
            </w:pPr>
            <w:r>
              <w:rPr>
                <w:rFonts w:ascii="Arial" w:cs="Arial" w:eastAsia="Arial" w:hAnsi="Arial"/>
                <w:sz w:val="16"/>
                <w:szCs w:val="16"/>
                <w:color w:val="auto"/>
              </w:rPr>
              <w:t>183,186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6,248</w:t>
            </w:r>
          </w:p>
        </w:tc>
      </w:tr>
      <w:tr>
        <w:trPr>
          <w:trHeight w:val="217"/>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(2,337)</w:t>
            </w: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96,432,743</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313,072</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(174,554)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138,528</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00" w:space="160"/>
            <w:col w:w="5980"/>
          </w:cols>
          <w:pgMar w:left="320" w:top="580" w:right="3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25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98"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4"/>
        </w:trPr>
        <w:tc>
          <w:tcPr>
            <w:tcW w:w="2780" w:type="dxa"/>
            <w:vAlign w:val="bottom"/>
          </w:tcPr>
          <w:p>
            <w:pPr>
              <w:spacing w:after="0" w:line="144" w:lineRule="exact"/>
              <w:rPr>
                <w:sz w:val="20"/>
                <w:szCs w:val="20"/>
                <w:color w:val="auto"/>
              </w:rPr>
            </w:pPr>
            <w:r>
              <w:rPr>
                <w:rFonts w:ascii="Arial" w:cs="Arial" w:eastAsia="Arial" w:hAnsi="Arial"/>
                <w:sz w:val="16"/>
                <w:szCs w:val="16"/>
                <w:b w:val="1"/>
                <w:bCs w:val="1"/>
                <w:color w:val="auto"/>
              </w:rPr>
              <w:t>Three months ended March 31,</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spacing w:after="0"/>
              <w:rPr>
                <w:sz w:val="20"/>
                <w:szCs w:val="20"/>
                <w:color w:val="auto"/>
              </w:rPr>
            </w:pPr>
            <w:r>
              <w:rPr>
                <w:rFonts w:ascii="Arial" w:cs="Arial" w:eastAsia="Arial" w:hAnsi="Arial"/>
                <w:sz w:val="16"/>
                <w:szCs w:val="16"/>
                <w:color w:val="auto"/>
              </w:rPr>
              <w:t>Balance at December 31, 2024</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exercise of stock options</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Vesting of early exercised stock</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0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connection with restricted stock units</w:t>
            </w: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gridSpan w:val="2"/>
          </w:tcPr>
          <w:p>
            <w:pPr>
              <w:ind w:left="120"/>
              <w:spacing w:after="0"/>
              <w:rPr>
                <w:sz w:val="20"/>
                <w:szCs w:val="20"/>
                <w:color w:val="auto"/>
              </w:rPr>
            </w:pPr>
            <w:r>
              <w:rPr>
                <w:rFonts w:ascii="Arial" w:cs="Arial" w:eastAsia="Arial" w:hAnsi="Arial"/>
                <w:sz w:val="16"/>
                <w:szCs w:val="16"/>
                <w:color w:val="auto"/>
              </w:rPr>
              <w:t>vesting</w:t>
            </w:r>
          </w:p>
        </w:tc>
        <w:tc>
          <w:tcPr>
            <w:tcW w:w="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ind w:left="40"/>
              <w:spacing w:after="0"/>
              <w:rPr>
                <w:sz w:val="20"/>
                <w:szCs w:val="20"/>
                <w:color w:val="auto"/>
              </w:rPr>
            </w:pPr>
            <w:r>
              <w:rPr>
                <w:rFonts w:ascii="Arial" w:cs="Arial" w:eastAsia="Arial" w:hAnsi="Arial"/>
                <w:sz w:val="16"/>
                <w:szCs w:val="16"/>
                <w:color w:val="auto"/>
              </w:rPr>
              <w:t>Stock-based compensation</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600" w:type="dxa"/>
            <w:vAlign w:val="bottom"/>
            <w:gridSpan w:val="2"/>
          </w:tcPr>
          <w:p>
            <w:pPr>
              <w:spacing w:after="0"/>
              <w:rPr>
                <w:sz w:val="20"/>
                <w:szCs w:val="20"/>
                <w:color w:val="auto"/>
              </w:rPr>
            </w:pPr>
            <w:r>
              <w:rPr>
                <w:rFonts w:ascii="Arial" w:cs="Arial" w:eastAsia="Arial" w:hAnsi="Arial"/>
                <w:sz w:val="16"/>
                <w:szCs w:val="16"/>
                <w:color w:val="auto"/>
              </w:rPr>
              <w:t>Balance at March 31, 2025</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20" w:type="dxa"/>
            <w:vAlign w:val="bottom"/>
            <w:gridSpan w:val="3"/>
          </w:tcPr>
          <w:p>
            <w:pPr>
              <w:ind w:left="6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60"/>
              <w:spacing w:after="0" w:line="122" w:lineRule="exact"/>
              <w:rPr>
                <w:sz w:val="20"/>
                <w:szCs w:val="20"/>
                <w:color w:val="auto"/>
              </w:rPr>
            </w:pPr>
            <w:r>
              <w:rPr>
                <w:rFonts w:ascii="Arial" w:cs="Arial" w:eastAsia="Arial" w:hAnsi="Arial"/>
                <w:sz w:val="14"/>
                <w:szCs w:val="14"/>
                <w:b w:val="1"/>
                <w:bCs w:val="1"/>
                <w:color w:val="auto"/>
              </w:rPr>
              <w:t>Additional</w:t>
            </w:r>
          </w:p>
        </w:tc>
        <w:tc>
          <w:tcPr>
            <w:tcW w:w="12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jc w:val="right"/>
              <w:spacing w:after="0"/>
              <w:rPr>
                <w:sz w:val="20"/>
                <w:szCs w:val="20"/>
                <w:color w:val="auto"/>
              </w:rPr>
            </w:pPr>
            <w:r>
              <w:rPr>
                <w:rFonts w:ascii="Arial" w:cs="Arial" w:eastAsia="Arial" w:hAnsi="Arial"/>
                <w:sz w:val="16"/>
                <w:szCs w:val="16"/>
                <w:color w:val="auto"/>
              </w:rPr>
              <w:t>91,376,765</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279,062</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(150,828)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128,243</w:t>
            </w: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75,289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78"/>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4,957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729,486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540"/>
        </w:trPr>
        <w:tc>
          <w:tcPr>
            <w:tcW w:w="1120" w:type="dxa"/>
            <w:vAlign w:val="bottom"/>
          </w:tcPr>
          <w:p>
            <w:pPr>
              <w:jc w:val="right"/>
              <w:spacing w:after="0"/>
              <w:rPr>
                <w:sz w:val="20"/>
                <w:szCs w:val="20"/>
                <w:color w:val="auto"/>
              </w:rPr>
            </w:pPr>
            <w:r>
              <w:rPr>
                <w:rFonts w:ascii="Arial" w:cs="Arial" w:eastAsia="Arial" w:hAnsi="Arial"/>
                <w:sz w:val="16"/>
                <w:szCs w:val="16"/>
                <w:color w:val="auto"/>
              </w:rPr>
              <w:t>197,170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8,229</w:t>
            </w:r>
          </w:p>
        </w:tc>
      </w:tr>
      <w:tr>
        <w:trPr>
          <w:trHeight w:val="217"/>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(3,169)</w:t>
            </w: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92,383,667</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288,639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(153,997)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134,651</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00" w:space="160"/>
            <w:col w:w="5980"/>
          </w:cols>
          <w:pgMar w:left="320" w:top="580" w:right="339" w:bottom="1440" w:gutter="0" w:footer="0" w:header="0"/>
          <w:type w:val="continuous"/>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cash provided by operating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 of operating lease right-of-use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Loss on impairment, receivables and sale or disposal of equipment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Settlement assets,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Software development costs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Change in customer funds,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Proceeds from common stock purchased under Matching Plan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on exercise of stock options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90,834</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96,349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Noncash investing and financing items: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capitalized as software development costs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Purchases of property and equipment and capitalized software in accounts payable and accrued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Reconciliation of cash and cash equivalents and restricted cash to the Condensed Consolidated Balance</w:t>
      </w:r>
    </w:p>
    <w:tbl>
      <w:tblPr>
        <w:tblLayout w:type="fixed"/>
        <w:tblInd w:w="0" w:type="dxa"/>
        <w:tblCellMar>
          <w:top w:w="0" w:type="dxa"/>
          <w:left w:w="0" w:type="dxa"/>
          <w:bottom w:w="0" w:type="dxa"/>
          <w:right w:w="0" w:type="dxa"/>
        </w:tblCellMar>
      </w:tblPr>
      <w:tr>
        <w:trPr>
          <w:trHeight w:val="201"/>
        </w:trPr>
        <w:tc>
          <w:tcPr>
            <w:tcW w:w="7980" w:type="dxa"/>
            <w:vAlign w:val="bottom"/>
          </w:tcPr>
          <w:p>
            <w:pPr>
              <w:ind w:left="180"/>
              <w:spacing w:after="0"/>
              <w:rPr>
                <w:sz w:val="20"/>
                <w:szCs w:val="20"/>
                <w:color w:val="auto"/>
              </w:rPr>
            </w:pPr>
            <w:r>
              <w:rPr>
                <w:rFonts w:ascii="Arial" w:cs="Arial" w:eastAsia="Arial" w:hAnsi="Arial"/>
                <w:sz w:val="16"/>
                <w:szCs w:val="16"/>
                <w:color w:val="auto"/>
              </w:rPr>
              <w:t>Sheets: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59,627</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Restricted cash included in other current assets</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19,225</w:t>
            </w: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included in settlement assets, net</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17,497</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109,597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96,349</w:t>
            </w:r>
          </w:p>
        </w:tc>
      </w:tr>
      <w:tr>
        <w:trPr>
          <w:trHeight w:val="21"/>
        </w:trPr>
        <w:tc>
          <w:tcPr>
            <w:tcW w:w="7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 – GENERAL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primarily on a per-active-member basis. Expensify has subsidiaries in the United States ("U.S."), Australia, Canada, Netherlands and the United Kingdom ("UK").</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2025 ("2025 Annual Report").</w:t>
      </w:r>
    </w:p>
    <w:p>
      <w:pPr>
        <w:spacing w:after="0" w:line="1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Results of operations for the three months ended March 31, 2026 are not necessarily indicative of the results that may be expected for the year ending December 31, 2026 or for any other future annual or interim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Estimates and assumptions by management affect the Company’s classification of employee and employee-related expenses, the useful lives and recoverability of long-lived assets, income taxes, capitalization of internal-use software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4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Company’s significant accounting policies are discussed in Note 2 of the 2025 Annual Report. Since the date the 2025 Annual Report was filed with the SEC, other than the updates made below to Settlement Assets, Net and Liabilities and Allowance for Expected Credit Losses, there have been no material changes to the Company's significant accounting policies, including the adoption status of recent accounting pronouncements.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Net and Liabilities and Allowance for Expected Credit Losses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up to three business days.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 Changes in settlement receivables and liabilities are presented as financing activities as the Change in customer funds, net on the Condensed Consolidated Statements of Cash Flows based on the nature of the activity underlying the Company’s customer accounts.</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customer transactions incurred through the Expensify Card, the Company initiates a transaction facilitated by a third-party vendor to collect funds from customers that are deposited into a commercial bank account held by the Company. The majority of customers settle Expensify Card transactions on a daily basis while certain customers settle Expensify Card transactions on a monthly basis. The Company records a settlement receivable from customers for Expensify Card transactions until funds are cleared in the Company’s commercial bank account. A liability is recorded for Expensify Card transactions until funds are remitted to the issuing bank. Changes in settlement receivables and liabilities for customer transactions incurred through the Expensify Card are presented as operating activities on the Condensed Consolidated Statements of Cash Flows based on the nature of the activity underlying the Company’s customer accounts.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revised the consolidated statement of cash flows for the first quarter of 2025 in the first quarter of 2026 for the classification of changes in reimbursement related settlement assets and liabilities. As a result of the revision, cash provided by operating activities increased and net cash provided by financing activities decreased by $3.1 million for the three months ended March 31, 2025. This revision was deemed to be immaterial to the condensed consolidated financial statements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60"/>
        <w:spacing w:after="0" w:line="288" w:lineRule="auto"/>
        <w:rPr>
          <w:sz w:val="20"/>
          <w:szCs w:val="20"/>
          <w:color w:val="auto"/>
        </w:rPr>
      </w:pPr>
      <w:r>
        <w:rPr>
          <w:rFonts w:ascii="Arial" w:cs="Arial" w:eastAsia="Arial" w:hAnsi="Arial"/>
          <w:sz w:val="29"/>
          <w:szCs w:val="29"/>
          <w:b w:val="1"/>
          <w:bCs w:val="1"/>
          <w:color w:val="002E22"/>
        </w:rPr>
        <w:t>NOTE 2 – REVENUE, NET AND CERTAIN STATEMENT OF OPERATIONS COMPONENTS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 Net</w:t>
      </w:r>
    </w:p>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table below provides information about disaggregated revenue, net from customers (in thousands). No individual customer represented more than 10% of the Company’s total revenue, net during each of the three months ended March 31,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Interchange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Cashback rewards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33,969</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 below provides the Company's total revenue, net by geographic region based on the transaction currency (in thousands). No other individual country outside of the United States accounted for more than 10% of total revenue, net during each of the three months ended March 31,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33,969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Under the Expensify Card program, the Company receives consideration from a vendor for certain volume-based incentives from Visa, which are included as a reduction to Cost of revenue, net on the Condensed Consolidated Statements of Operations as earned. The amounts earned under these volume-based incentives were $0.3 million and $0.2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3 – CERTAIN BALANCE SHEET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6,181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Earned interchange restricted cash</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restricted cash</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insurance recoveries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45"/>
        </w:trPr>
        <w:tc>
          <w:tcPr>
            <w:tcW w:w="7980" w:type="dxa"/>
            <w:vAlign w:val="bottom"/>
          </w:tcPr>
          <w:p>
            <w:pPr>
              <w:spacing w:after="0"/>
              <w:rPr>
                <w:sz w:val="20"/>
                <w:szCs w:val="20"/>
                <w:color w:val="auto"/>
              </w:rPr>
            </w:pPr>
            <w:r>
              <w:rPr>
                <w:rFonts w:ascii="Arial" w:cs="Arial" w:eastAsia="Arial" w:hAnsi="Arial"/>
                <w:sz w:val="18"/>
                <w:szCs w:val="18"/>
                <w:b w:val="1"/>
                <w:bCs w:val="1"/>
                <w:color w:val="auto"/>
              </w:rPr>
              <w:t>Capitalized Software, Net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3"/>
        </w:trPr>
        <w:tc>
          <w:tcPr>
            <w:tcW w:w="7980" w:type="dxa"/>
            <w:vAlign w:val="bottom"/>
          </w:tcPr>
          <w:p>
            <w:pPr>
              <w:spacing w:after="0"/>
              <w:rPr>
                <w:sz w:val="20"/>
                <w:szCs w:val="20"/>
                <w:color w:val="auto"/>
              </w:rPr>
            </w:pPr>
            <w:r>
              <w:rPr>
                <w:rFonts w:ascii="Arial" w:cs="Arial" w:eastAsia="Arial" w:hAnsi="Arial"/>
                <w:sz w:val="18"/>
                <w:szCs w:val="18"/>
                <w:color w:val="auto"/>
              </w:rPr>
              <w:t>Capitalized software, net consisted of the following (in thousands):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8"/>
        </w:trPr>
        <w:tc>
          <w:tcPr>
            <w:tcW w:w="7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01"/>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7"/>
                <w:szCs w:val="17"/>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$2.1 million and $1.8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23,205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Depreciation expense related to property and equipment is recorded in General and administrative, Sales and marketing, and Other income, net on the Condensed Consolidated Statements of Operations. Depreciation expense related to property and equipment was $0.2 million and $0.1 million for the three months ended March 31, 2026 and 2025,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Cashback rewards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payroll liability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Estimated putative class action liability</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17,893</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4 –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2024, the Company entered into a Second Amended and Restated Loan and Security Agreement (as subsequently amended, the "2024 Amended Loan and Security Agreement") with Canadian Imperial Bank of Commerce (“CIBC”). The 2024 Amended Loan and Security Agreement provided for a $25.0 million revolving credit facility, which was terminated on July 1, 2025. At the time of such termination, the Company had no borrowings under the revolving credit facility, and certain terms of the 2024 Amended Loan and Security Agreement, including collateral security, survived the termination with respect to outstanding Contingent Obligations (as defined in the 2024 Amended Loan and Security Agreement) arising from Bank Services (as defined in the 2024 Amended Loan and Security Agreement). There were no penalties incurred by the Company as a result of the termination of the revolving credit facility.</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2024, the Company entered into an irrevocable standby letter of credit (the "Letter of Credit") issued under the 2024 Amended Loan and Security Agreement to reduce cash collateral requirements in connection with the Expensify Card program. The Letter of Credit was issued in the amount of $1.0 million for the benefit of The Bancorp Bank, N.A. On April 16, 2025, the Company entered into an amendment to the irrevocable standby letter of credit to increase the Letter of Credit to $7.5 million. The Letter of Credit remained outstanding following the termination of the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Security Agreement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9, 2025, the Company entered into a Letter of Credit Facility and Security Agreement (the “LOC Security Agreement”) with CIBC. The LOC Security Agreement, among other things, provides for the issuance of additional irrevocable standby letters of credit, governs the terms of the outstanding Letter of Credit originally issued under the 2024 Amended Loan and Security Agreement, grants to CIBC, for the ratable benefit of the lenders, a security interest in substantially all of the assets of the Company and its subsidiaries, and also replaces the 2024 Amended Loan and Security Agreement with respect to the Contingent Obligations (as defined in the LOC Security Agreement). Under the LOC Security Agreement, the Letter of Credit remained at $7.5 million and expires on March 20, 2027. The Letter of Credit automatically renews for successive one-year periods unless the Company or the issuing bank provide notice of non-renewal prior to the expiration date. No amounts had been drawn on the Letter of Credit as of March 31,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the Company, the Company's executive officers and several of the Company's current and former directors as defendants (collectively, the “Defendants”). The lawsuit is purportedly brought on behalf of all those who purchased or acquired the Company's stock pursuant or traceable to its initial public offering ("IPO"). The complaint alleges claims under Sections 11 and 15 of the Securities Act of 1933 based on allegedly false or misleading statements in the offering documents filed in connection with the IPO. The lawsuit seeks unspecified damages and other relief. On December 17, 2025, after conducting mediation within the current discovery phase of the lawsuit, the parties reached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agreement-in-principle to settle all claims in the Putative Class Action for an aggregate sum of $9.5 million. Plaintiff filed a stipulation of settlement and motion for preliminary approval of settlement on February 12, 2026. On February 23, 2026, the Court granted preliminary approval of the settlement. On April 28, 2026, Plaintiff filed a motion for final approval of the settlement, as well as motion for attorneys' fees. A hearing on final approval of the settlement is set for June 30, 2026. During the three months ended March 31, 2026, the Company deposited $9.5 million into escrow for the proposed settlement, which consisted of $2.6 million paid by the Company and $6.9 million recovered under the Company's applicable insurance policies.</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shareholder derivative lawsuits filed during the year ended December 31, 2025 and in the first quarter of 2026 in the United States District Court for the District of Oregon naming the Company as nominal defendant, with the Company's executive officers and several of the Company's current and former directors as defendants (collectively, the “Derivative Defendants”) remain pending. The Derivative Defendants deny the allegations of wrongdoing and will continue to vigorously defend against the claims in the shareholder derivative lawsuits. At this time, the Company is unable to estimate the probability or the amount of liability, if any, related to these matters.</w:t>
      </w:r>
    </w:p>
    <w:p>
      <w:pPr>
        <w:spacing w:after="0" w:line="1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March 31, 2026, there were no other legal contingency matters, either individually or in aggregate, that would have a material adverse effect on the Company’s financial position, results of operations or cash flows.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5 – STOCK INCENTIVE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On November 9, 2021, the Board of Directors amended and restated the 2019 Stock Plan to, among other things, increase the common stock reserved for issuance under the 2019 Stock Plan to an aggregate of 16,856,770 shares of Class A common stock and LT50 common stock.</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Stock Plans will continue to govern the terms and conditions of the outstanding awards granted under them.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2021, the Board of Directors adopted, and the Company's stockholders approved, the 2021 Incentive Plans, which both became effective immediately before the effectiveness of the Company's IPO Registration Statement on Form S-1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common stock or LT50 common stock underlying outstanding stock-based awards granted under the 2019 Stock Plan. The number of shares of Class A common stock reserved and available for issuance under the 2021 Incentive Plans as of March 31, 2026 and December 31, 2025 was 23,431,446 shares and 20,992,688 shares, respectively. The number of shares reserved for issuance under the 2021 Incentive Plans will automatically increase each subsequent January 1 through January 1, 2031, by the lesser of (A) 6% of the aggregate number of shares of all classes of common stock outstanding on the last day of the immediately preceding calendar year, or</w:t>
      </w:r>
    </w:p>
    <w:p>
      <w:pPr>
        <w:ind w:right="180" w:firstLine="8"/>
        <w:spacing w:after="0" w:line="266"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lesser number of shares as determined by the Company’s Board of Directors or compensation committee; provided, however, that no more than 87,576,990 shares of Class A common stock may be issued upon the exercise of incentive 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and Matching Plan</w:t>
      </w:r>
    </w:p>
    <w:p>
      <w:pPr>
        <w:spacing w:after="0" w:line="15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spacing w:after="0" w:line="1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one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price of the Company's Class A common stock on the Nasdaq Stock Market LLC on the date of grant. The Company recognizes stock-based compensation expense related to the matched shares pursuant to its Matching Plan on a straight-line basis over the applicable three-month offering period.</w:t>
      </w:r>
    </w:p>
    <w:p>
      <w:pPr>
        <w:spacing w:after="0" w:line="10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March 14, 2026 purchased a total of 2,229,537 shares of Class A common stock, based on a purchase price of $0.82, resulting in gross cash proceeds to the Company of $1.8 million.</w:t>
      </w:r>
    </w:p>
    <w:p>
      <w:pPr>
        <w:spacing w:after="0" w:line="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March 14, 2025 purchased a total of 332,783 shares of Class A common stock, based on a purchase price of $3.46, resulting in gross cash proceeds to the Company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offering period ended March 14, 2026, the Company elected to match each share of Class A common stock purchased or issued under the Matching Plan with 1/20 of a share of Class A common stock. During the three months ended March 31, 2026, the Company granted 452,505 shares of Class A common stock under the Matching Plan.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offering period ended March 14, 2025, the Company elected to match each share of Class A common stock purchased or issued under the Matching Plan with 1/20 of a share of Class A common stock. During the three months ended March 31, 2025, the Company granted 218,504 shares of Class A common stock under the Matching Plan.</w:t>
      </w:r>
    </w:p>
    <w:p>
      <w:pPr>
        <w:spacing w:after="0" w:line="1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The Company did not make any discretionary contributions under the Matching Plan to eligible Service Providers during the three months ended March 31, 2026. During the three months ended March 31, 2025, the Company granted 178,199 shares of Class A common stock as discretionary contributions under the Matching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Equity-Classified Awards</w:t>
      </w:r>
    </w:p>
    <w:p>
      <w:pPr>
        <w:spacing w:after="0" w:line="15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During the three months ended March 31, 2026, equity-classified RSU activity for Service Providers and non-employee directors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LT50 Common Stock</w:t>
            </w: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6"/>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1,547,676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(91,593)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(91,593)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March 31, 2026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1,435,899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1,282,209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As of March 31, 2026, the Company had $64.3 million of unrecognized stock-based compensation expense related to unvested equity-classified RSUs, which is expected to be recognized over the remaining weighted average life of 3.34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Awards</w:t>
      </w:r>
    </w:p>
    <w:p>
      <w:pPr>
        <w:spacing w:after="0" w:line="14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June 20, 2025, pursuant to the 2021 Incentive Plans, the Company's compensation committee approved and authorized the grant of Class A common stock RSUs to certain Service Providers, to be issued on a quarterly basis through March 2029. Issuances of the Class A common stock RSUs occur automatically each quarter using a predetermined fixed dollar amount that gradually decreases over time. Each RSU vests immediately on the date it is issued, and both the issuance and vesting are subject to a service condition that will ultimately be satisfied over four years. The first quarterly automatic issuance occurred on June 20, 2025 and the remaining RSUs will be subject to quarterly issuance and vesting thereon until fully issued. The number of RSUs to be automatically issued on each issuance date is determined based on the closing price of the Company's Class A common stock on the Nasdaq Stock Market LLC on the 15th calendar day of the month during which the RSU award is issued, or the immediately preceding trading day. The awards are accounted for as liability awards and will be recognized on a straight-line basis over the life of the awards.</w:t>
      </w:r>
    </w:p>
    <w:p>
      <w:pPr>
        <w:spacing w:after="0" w:line="1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issued 459,586 Class A common stock RSUs and settled liability-classified awards with a fair value of $0.4 million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As of March 31, 2026, the Company had $2.3 million of unrecognized stock-based compensation expense related to unvested liability-classified RSUs, which is expected to be recognized over the remaining weighted average life of 1.15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(43,759)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and exercisable at March 31, 2026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3,127,559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total pretax intrinsic value of options outstanding and exercisable at March 31, 2026 was immaterial. The intrinsic value is the difference between the estimated fair market value of the Company’s common stock at the date of exercise and the exercise price for in-the-money options.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there was no unrecognized stock-based compensation cost related to unvested stock options.</w:t>
      </w:r>
    </w:p>
    <w:p>
      <w:pPr>
        <w:spacing w:after="0" w:line="15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Cash received from option exercises and purchases of shares under the Stock Plans for the three months ended March 31, 2026 and 2025 was immaterial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the stock-based compensation expense recognized for awards granted under the Company's authorized stock incentive plans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9"/>
                <w:szCs w:val="19"/>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Equity-classified restricted stock units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6,077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liability-classified restricted stock units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8,229</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stock-based compensation capitalized as software development costs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Condensed Consolidated Statements of Operations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9"/>
                <w:szCs w:val="19"/>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2,402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E22"/>
        </w:rPr>
        <w:t>NOTE 6 – INCOME TAXES</w:t>
      </w:r>
    </w:p>
    <w:p>
      <w:pPr>
        <w:spacing w:after="0" w:line="168" w:lineRule="exact"/>
        <w:rPr>
          <w:sz w:val="20"/>
          <w:szCs w:val="20"/>
          <w:color w:val="auto"/>
        </w:rPr>
      </w:pPr>
    </w:p>
    <w:p>
      <w:pPr>
        <w:ind w:left="20" w:right="340"/>
        <w:spacing w:after="0" w:line="287" w:lineRule="auto"/>
        <w:rPr>
          <w:sz w:val="20"/>
          <w:szCs w:val="20"/>
          <w:color w:val="auto"/>
        </w:rPr>
      </w:pPr>
      <w:r>
        <w:rPr>
          <w:rFonts w:ascii="Arial" w:cs="Arial" w:eastAsia="Arial" w:hAnsi="Arial"/>
          <w:sz w:val="18"/>
          <w:szCs w:val="18"/>
          <w:color w:val="auto"/>
        </w:rPr>
        <w:t>For the three months ended March 31, 2026, the Company prepared its interim tax provision by applying a year-to-date effective tax rate, which the Company believes results in the best estimate of the annual effective tax rate.</w:t>
      </w:r>
    </w:p>
    <w:p>
      <w:pPr>
        <w:spacing w:after="0" w:line="85" w:lineRule="exact"/>
        <w:rPr>
          <w:sz w:val="20"/>
          <w:szCs w:val="20"/>
          <w:color w:val="auto"/>
        </w:rPr>
      </w:pPr>
    </w:p>
    <w:p>
      <w:pPr>
        <w:ind w:left="20" w:right="220"/>
        <w:spacing w:after="0" w:line="287" w:lineRule="auto"/>
        <w:rPr>
          <w:sz w:val="20"/>
          <w:szCs w:val="20"/>
          <w:color w:val="auto"/>
        </w:rPr>
      </w:pPr>
      <w:r>
        <w:rPr>
          <w:rFonts w:ascii="Arial" w:cs="Arial" w:eastAsia="Arial" w:hAnsi="Arial"/>
          <w:sz w:val="18"/>
          <w:szCs w:val="18"/>
          <w:color w:val="auto"/>
        </w:rPr>
        <w:t>The Company recorded a provision for income taxes of $0.5 million and $2.0 million for the three months ended March 31, 2026 and 2025, respectively, which resulted in effective tax rates of (29.8)% and (172.5)%, respectively.</w:t>
      </w:r>
    </w:p>
    <w:p>
      <w:pPr>
        <w:spacing w:after="0" w:line="72" w:lineRule="exact"/>
        <w:rPr>
          <w:sz w:val="20"/>
          <w:szCs w:val="20"/>
          <w:color w:val="auto"/>
        </w:rPr>
      </w:pPr>
    </w:p>
    <w:p>
      <w:pPr>
        <w:ind w:left="20" w:right="140"/>
        <w:spacing w:after="0" w:line="287" w:lineRule="auto"/>
        <w:rPr>
          <w:sz w:val="20"/>
          <w:szCs w:val="20"/>
          <w:color w:val="auto"/>
        </w:rPr>
      </w:pPr>
      <w:r>
        <w:rPr>
          <w:rFonts w:ascii="Arial" w:cs="Arial" w:eastAsia="Arial" w:hAnsi="Arial"/>
          <w:sz w:val="18"/>
          <w:szCs w:val="18"/>
          <w:color w:val="auto"/>
        </w:rPr>
        <w:t>The effective income tax rate differs from the statutory tax rate in 2026 and 2025 primarily due to non-deductible stock-based compensation and the change in the valuation allowance, partially offset by Section 162(m) of the Internal Revenue Code compensation limitations.</w:t>
      </w:r>
    </w:p>
    <w:p>
      <w:pPr>
        <w:spacing w:after="0" w:line="85" w:lineRule="exact"/>
        <w:rPr>
          <w:sz w:val="20"/>
          <w:szCs w:val="20"/>
          <w:color w:val="auto"/>
        </w:rPr>
      </w:pPr>
    </w:p>
    <w:p>
      <w:pPr>
        <w:ind w:left="20" w:right="880"/>
        <w:spacing w:after="0" w:line="287" w:lineRule="auto"/>
        <w:rPr>
          <w:sz w:val="20"/>
          <w:szCs w:val="20"/>
          <w:color w:val="auto"/>
        </w:rPr>
      </w:pPr>
      <w:r>
        <w:rPr>
          <w:rFonts w:ascii="Arial" w:cs="Arial" w:eastAsia="Arial" w:hAnsi="Arial"/>
          <w:sz w:val="18"/>
          <w:szCs w:val="18"/>
          <w:color w:val="auto"/>
        </w:rPr>
        <w:t>The amount of cash paid for income taxes was $0.9 million and $0.6 million for the three months ended March 31, 2026 and 2025, respectively.</w:t>
      </w:r>
    </w:p>
    <w:p>
      <w:pPr>
        <w:spacing w:after="0" w:line="85" w:lineRule="exact"/>
        <w:rPr>
          <w:sz w:val="20"/>
          <w:szCs w:val="20"/>
          <w:color w:val="auto"/>
        </w:rPr>
      </w:pPr>
    </w:p>
    <w:p>
      <w:pPr>
        <w:ind w:left="20" w:right="140"/>
        <w:spacing w:after="0" w:line="259"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March 31, 2026 and December 31, 2025, the Company recorded an uncertain tax position liability of $1.7 million and $1.6 million, respectively, within Other liabilities on the Condensed Consolidated Balance Sheets. This liability includes $0.3 million of interest and penalties as of March 31, 2026 and December 31, 2025.</w:t>
      </w:r>
    </w:p>
    <w:p>
      <w:pPr>
        <w:spacing w:after="0" w:line="98" w:lineRule="exact"/>
        <w:rPr>
          <w:sz w:val="20"/>
          <w:szCs w:val="20"/>
          <w:color w:val="auto"/>
        </w:rPr>
      </w:pPr>
    </w:p>
    <w:p>
      <w:pPr>
        <w:ind w:left="20" w:right="160"/>
        <w:spacing w:after="0" w:line="259" w:lineRule="auto"/>
        <w:rPr>
          <w:sz w:val="20"/>
          <w:szCs w:val="20"/>
          <w:color w:val="auto"/>
        </w:rPr>
      </w:pPr>
      <w:r>
        <w:rPr>
          <w:rFonts w:ascii="Arial" w:cs="Arial" w:eastAsia="Arial" w:hAnsi="Arial"/>
          <w:sz w:val="18"/>
          <w:szCs w:val="18"/>
          <w:color w:val="auto"/>
        </w:rPr>
        <w:t>H.R.1, enacted into law on July 4, 2025, introduced provisions that modified the Internal Revenue Code (“IRC”), including the immediate expensing of domestic research and development expenditures for tax purposes. As previously required under the Tax Cuts and Jobs Act, the Company capitalized and amortized research and experimental (“R&amp;D”) expenditures under IRC Section 174 for tax years beginning after December 31, 2021. With the enactment of H.R.1 in 2025, the Company began deducting domestic Section 174 costs in the year they were incurred. The Company will continue to capitalize and amortize R&amp;D costs over 15 years for R&amp;D performed outside of the U.S.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E22"/>
        </w:rPr>
        <w:t>NOTE 7 – NET LOSS PER SHARE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2026</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7"/>
                <w:szCs w:val="17"/>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LT10</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LT50</w:t>
            </w: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Net loss, basic and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81,466,597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4,209,827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8,042,778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93,719,202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compute net loss per share, basic and diluted</w:t>
            </w:r>
          </w:p>
        </w:tc>
        <w:tc>
          <w:tcPr>
            <w:tcW w:w="3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2025</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7"/>
                <w:szCs w:val="17"/>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LT10</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LT50</w:t>
            </w: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Net loss, basic and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Pr>
          <w:p>
            <w:pPr>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79,577,238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4,209,827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7,714,018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91,501,083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compute net loss per share, basic and diluted</w:t>
            </w:r>
          </w:p>
        </w:tc>
        <w:tc>
          <w:tcPr>
            <w:tcW w:w="3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right="100"/>
        <w:spacing w:after="0" w:line="255"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 a ten-month notice period for LT10 common stock and a 50-month notice period for LT50 common stock to convert into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will be the same for the Class A, LT10 and LT50 common stock on an individual or combined basis.</w:t>
      </w:r>
    </w:p>
    <w:p>
      <w:pPr>
        <w:spacing w:after="0" w:line="113" w:lineRule="exact"/>
        <w:rPr>
          <w:sz w:val="20"/>
          <w:szCs w:val="20"/>
          <w:color w:val="auto"/>
        </w:rPr>
      </w:pPr>
    </w:p>
    <w:p>
      <w:pPr>
        <w:ind w:left="20" w:right="8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68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March 31, 2026</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ind w:left="600"/>
              <w:spacing w:after="0"/>
              <w:rPr>
                <w:sz w:val="20"/>
                <w:szCs w:val="20"/>
                <w:color w:val="auto"/>
              </w:rPr>
            </w:pPr>
            <w:r>
              <w:rPr>
                <w:rFonts w:ascii="Arial" w:cs="Arial" w:eastAsia="Arial" w:hAnsi="Arial"/>
                <w:sz w:val="14"/>
                <w:szCs w:val="14"/>
                <w:b w:val="1"/>
                <w:bCs w:val="1"/>
                <w:color w:val="auto"/>
              </w:rPr>
              <w:t>LT10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ind w:left="620"/>
              <w:spacing w:after="0"/>
              <w:rPr>
                <w:sz w:val="20"/>
                <w:szCs w:val="20"/>
                <w:color w:val="auto"/>
              </w:rPr>
            </w:pPr>
            <w:r>
              <w:rPr>
                <w:rFonts w:ascii="Arial" w:cs="Arial" w:eastAsia="Arial" w:hAnsi="Arial"/>
                <w:sz w:val="14"/>
                <w:szCs w:val="14"/>
                <w:b w:val="1"/>
                <w:bCs w:val="1"/>
                <w:color w:val="auto"/>
              </w:rPr>
              <w:t>LT50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439,188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439,188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77,933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77,933</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517,121</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01"/>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 March 31, 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ind w:left="620"/>
              <w:spacing w:after="0"/>
              <w:rPr>
                <w:sz w:val="20"/>
                <w:szCs w:val="20"/>
                <w:color w:val="auto"/>
              </w:rPr>
            </w:pPr>
            <w:r>
              <w:rPr>
                <w:rFonts w:ascii="Arial" w:cs="Arial" w:eastAsia="Arial" w:hAnsi="Arial"/>
                <w:sz w:val="14"/>
                <w:szCs w:val="14"/>
                <w:b w:val="1"/>
                <w:bCs w:val="1"/>
                <w:color w:val="auto"/>
              </w:rPr>
              <w:t>LT10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ind w:left="620"/>
              <w:spacing w:after="0"/>
              <w:rPr>
                <w:sz w:val="20"/>
                <w:szCs w:val="20"/>
                <w:color w:val="auto"/>
              </w:rPr>
            </w:pPr>
            <w:r>
              <w:rPr>
                <w:rFonts w:ascii="Arial" w:cs="Arial" w:eastAsia="Arial" w:hAnsi="Arial"/>
                <w:sz w:val="14"/>
                <w:szCs w:val="14"/>
                <w:b w:val="1"/>
                <w:bCs w:val="1"/>
                <w:color w:val="auto"/>
              </w:rPr>
              <w:t>LT50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24"/>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2,106,034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2,106,034</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28,145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28,145</w:t>
            </w:r>
          </w:p>
        </w:tc>
        <w:tc>
          <w:tcPr>
            <w:tcW w:w="20" w:type="dxa"/>
            <w:vAlign w:val="bottom"/>
          </w:tcPr>
          <w:p>
            <w:pPr>
              <w:spacing w:after="0"/>
              <w:rPr>
                <w:sz w:val="19"/>
                <w:szCs w:val="19"/>
                <w:color w:val="auto"/>
              </w:rPr>
            </w:pP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2,134,179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8 – EQUITY</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25, 2025, the Executive Committee approved a share repurchase program with authorization to purchase up to $ 50.0 million of shares of Class A common stock that expires on March 31, 2028 ("2025 Share Repurchase Program"). Under the 2025 Share Repurchase Program, the Company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the Company's current and future debt agreements and other considerations. The 2025 Share Repurchase Program does not obligate the Company to acquire any particular amount of Class A common stock, and the program may be suspended or terminated by the Company at any time at its discretion without prior notice.</w:t>
      </w:r>
    </w:p>
    <w:p>
      <w:pPr>
        <w:spacing w:after="0" w:line="11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During each of the three months ended March 31, 2026 and 2025, the Company did not repurchase any shares of Class A common stock under the 2025 Share Repurchase Program.</w:t>
      </w:r>
    </w:p>
    <w:p>
      <w:pPr>
        <w:spacing w:after="0" w:line="7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March 31, 2026, the Company had approximately $41.0 million remaining under the 2025 Share Repurchase Program, not including amounts used for net share settlement of vested equity incentive awards.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9 – SEGMENT REPORTING</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as one reportable segment because its chief operating decision maker ("CODM"), a committee that consists of the chief executive officer, the chief financial officer, and the chief strategy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are presented on the Condensed Consolidated Statements of Operations. Interest income is recorded within Other income, net on the Condensed Consolidated Statements of Operations. Interest income was $0.4 million during each of the three months ended March 31, 2026 and 2025. The measure of segment assets is Total assets as reported on the Condensed Consolidated Balance Sheets. Substantially all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10 –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Delisting</w:t>
      </w:r>
    </w:p>
    <w:p>
      <w:pPr>
        <w:spacing w:after="0" w:line="1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April 17, 2026, the Company received a deficiency letter from the Nasdaq Listing Qualifications Department of The Nasdaq Stock Market LLC (“Nasdaq”) notifying the Company that, for the last 30 consecutive business days, the closing bid price for the Company’s Class A common stock had been below the minimum $ 1.00 per share required for continued listing on The Nasdaq Global Select Market pursuant to Nasdaq Listing Rule 5450(a)(1) (the “Minimum Bid Price Requirement”).</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Nasdaq deficiency letter has no immediate effect on the listing of the Company’s Class A common stock, and the Class A common stock continues to trade on The Nasdaq Global Select Market as of the date of this Quarterly Report on Form 10-Q. In accordance with Nasdaq Listing Rule 5810(c)(3)(A), the Company has 180 calendar days, or until October 14, 2026 (the “Compliance Date”), to regain compliance with the Minimum Bid Price Requirement. To regain compliance, the closing bid price of the Company’s Class A common stock must be at least $1.00 per share for a minimum of ten consecutive business days before the Compliance Date.</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intends to monitor the closing bid price of its Class A common stock and may, if appropriate, consider available options to regain compliance with the Minimum Bid Price Requirement, including potentially seeking to effect a reverse stock split. However, there can be no assurance that the Company will be able to regain compliance with the Minimum Bid Price Requirement or will otherwise be in compliance with other Nasdaq Listing Rules. To the extent that the Company is unable to resolve the listing deficiency, there is a risk that the Company's Class A common stock may be delisted from Nasdaq, which would adversely impact liquidity and potentially result in an even lower share price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80"/>
        <w:spacing w:after="0" w:line="298" w:lineRule="auto"/>
        <w:rPr>
          <w:sz w:val="20"/>
          <w:szCs w:val="20"/>
          <w:color w:val="auto"/>
        </w:rPr>
      </w:pPr>
      <w:r>
        <w:rPr>
          <w:rFonts w:ascii="Arial" w:cs="Arial" w:eastAsia="Arial" w:hAnsi="Arial"/>
          <w:sz w:val="29"/>
          <w:szCs w:val="29"/>
          <w:b w:val="1"/>
          <w:bCs w:val="1"/>
          <w:color w:val="002E22"/>
        </w:rPr>
        <w:t>Item 2. Management's Discussion and Analysis of Financial Condition and Results of Operations</w:t>
      </w:r>
    </w:p>
    <w:p>
      <w:pPr>
        <w:spacing w:after="0" w:line="2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2025 ("2025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2025 Annual Report and included elsewhere in this Quarterly Report on Form 10-Q. See "Special Note Regarding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OVERVIEW</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1.9 billion expense transactions on our platform as of March 31, 2026, freeing people to spend less time managing expenses and more time doing the things they love. For the quarter ended March 31, 2026, an average of 632,000 paid members across an average of 41,500 companies and over 200 countries and territories used Expensify to make money easy.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MACROECONOMIC TRENDS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and the operations of our customers, the majority of which are small and medium-sized businesses, depend on the overall state of the economy, and we and they could be negatively impacted by slower economic growth and a potential for a recession. Although certain indicators have suggested that inflation has made downward progress, the economy continues to be impacted by elevated inflation rates and faces further inflation risk. Tariff and trade issues, as well as geopolitical uncertainty and instability, including the conflict in the Middle East, also continue to cause overall uncertainty with respect to the economy. See Part I, Item 1A. "Risk Factors" in our 2025 Annual Report and our subsequent filings for further discussion of the possible impact of such macroeconomic trends on our business. Additionally, other potential challenging macroeconomic conditions, and the resulting impact on business continuity and travel,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Net</w:t>
      </w:r>
    </w:p>
    <w:p>
      <w:pPr>
        <w:spacing w:after="0" w:line="1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firstLine="8"/>
        <w:spacing w:after="0" w:line="253"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 Revenue earned from subscription fees was $30.9 million and $33.2 million for the three months ended March 31, 2026 and 2025, respectively.</w:t>
      </w:r>
    </w:p>
    <w:p>
      <w:pPr>
        <w:spacing w:after="0" w:line="10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also offer an Expensify charge card (the "Expensify Card"), which operates under an agreement with the issuing bank, The Bancorp Bank, N.A. ("Bancorp"), to issue Expensify Cards to customers and authorize and settle transactions on the Visa card network.</w:t>
      </w:r>
    </w:p>
    <w:p>
      <w:pPr>
        <w:spacing w:after="0" w:line="8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Under the Expensify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net on the Condensed Consolidated Statements of Operations. Interchange revenue was $5.5 million and $5.0 million for the three months ended March 31, 2026 and 2025, respectively.</w:t>
      </w:r>
    </w:p>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offer a cashback rewards program to all customers under the Expensify Card program based on volume of Expensify Card transactions. Cashback rewards are earned on a monthly basis and are applied against outstanding customer receivables or are paid out the following month. We consider our cashback rewards as consideration payable to a customer, and they are recorded as contra revenue within Revenue, net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and based on the timing of payments made to customers. The cost of cashback rewards was $2.6 million and $2.3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revenue, net primarily consists of personnel-related expenses, including stock-based compensation, attributable to supporting our customers and maintenance of our platform, amortization expense on capitalized software development costs, expenses related to hosting our service, including the costs of data center capacity, credit card processing fees, third-party software license fees, amortization of finance lease right-of-use assets, outsourcing engineering costs to maintain our platform, and outsourcing costs to support customer service, net of consideration from a vendor under the Expensify Card program for certain volume-based incentives from Visa.</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Under the Expensify Card program, we receive consideration from a vendor for certain volume-based incentives from Visa, which are included as a reduction to Cost of revenue, net on the Condensed Consolidated Statements of Operations as they are earned. The amounts earned under these volume-based incentives were $0.3 million and $0.2 million for the three months ended March 31, 2026 and 2025,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external professional services, including finance and accounting, audit, tax, legal and compliance, and human resources, third-party software license fees, and settlement losses, net of recoveries.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 income, net, consists primarily of interest income. It also includes the results of operations of our Fifth &amp; Harvey, LLC subsidiary, which holds title to and manages operations of the operating lease for lots in Portland, Oregon that are currently used to host multiple portable food vendors open to the general public, as well as realized gains and losses on foreign currency transactions and foreign currency remeasurement.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4, 2025, H.R.1 was enacted into law, which introduced provisions that modified the Internal Revenue Code (“IRC”), including the immediate expensing of domestic research and development expenditures for tax purposes. As previously required under the Tax Cuts and Jobs Act, we capitalized and amortized research and experimental (“R&amp;D”) expenditures under IRC Section 174 for tax years beginning after December 31, 2021. With the enactment of H.R.1 in 2025, we began deducting domestic Section 174 costs in the year they were incurred. We will continue to capitalize and amortize R&amp;D costs over 15 years for R&amp;D performed outside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Results of Operations</w:t>
      </w:r>
    </w:p>
    <w:p>
      <w:pPr>
        <w:spacing w:after="0" w:line="1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 sets forth our results of operations for each of the periods presented (in thousands, except percentages,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35"/>
        </w:trPr>
        <w:tc>
          <w:tcPr>
            <w:tcW w:w="7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36,074</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used to compute net loss per share:</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93,719,202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91,501,083</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5"/>
        </w:trPr>
        <w:tc>
          <w:tcPr>
            <w:tcW w:w="7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Borders>
              <w:top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top w:val="single" w:sz="8" w:color="auto"/>
              <w:bottom w:val="single" w:sz="8" w:color="auto"/>
            </w:tcBorders>
          </w:tcPr>
          <w:p>
            <w:pPr>
              <w:spacing w:after="0"/>
              <w:rPr>
                <w:sz w:val="19"/>
                <w:szCs w:val="19"/>
                <w:color w:val="auto"/>
              </w:rPr>
            </w:pPr>
          </w:p>
        </w:tc>
      </w:tr>
      <w:tr>
        <w:trPr>
          <w:trHeight w:val="196"/>
        </w:trPr>
        <w:tc>
          <w:tcPr>
            <w:tcW w:w="8020" w:type="dxa"/>
            <w:vAlign w:val="bottom"/>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35"/>
        </w:trPr>
        <w:tc>
          <w:tcPr>
            <w:tcW w:w="8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3,039</w:t>
            </w: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1,863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2,402</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760"/>
        <w:spacing w:after="0" w:line="441" w:lineRule="auto"/>
        <w:rPr>
          <w:sz w:val="20"/>
          <w:szCs w:val="20"/>
          <w:color w:val="auto"/>
        </w:rPr>
      </w:pPr>
      <w:r>
        <w:rPr>
          <w:rFonts w:ascii="Arial" w:cs="Arial" w:eastAsia="Arial" w:hAnsi="Arial"/>
          <w:sz w:val="18"/>
          <w:szCs w:val="18"/>
          <w:b w:val="1"/>
          <w:bCs w:val="1"/>
          <w:color w:val="auto"/>
        </w:rPr>
        <w:t xml:space="preserve">COMPARISON OF THE THREE MONTHS ENDED MARCH 31, 2026 AND 2025 </w:t>
      </w:r>
      <w:r>
        <w:rPr>
          <w:rFonts w:ascii="Arial" w:cs="Arial" w:eastAsia="Arial" w:hAnsi="Arial"/>
          <w:sz w:val="18"/>
          <w:szCs w:val="18"/>
          <w:b w:val="1"/>
          <w:bCs w:val="1"/>
          <w:i w:val="1"/>
          <w:iCs w:val="1"/>
          <w:color w:val="auto"/>
        </w:rPr>
        <w:t>Revenue, Net</w:t>
      </w: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33,969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36,074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net decreased $ 2.1 million, or 6%, for the three months ended March 31, 2026 compared to the same period in 2025, primarily due to (i) a decrease in billable activity across our user base, and (ii) an increase in contra revenue related to cashback payments driven by the increased adoption and spend captured from members using the Expensify Card. This decrease was partially offset by an increase in interchange revenue driven by the adoption of the Expensify Card program.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236"/>
        </w:trPr>
        <w:tc>
          <w:tcPr>
            <w:tcW w:w="4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gridSpan w:val="6"/>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20"/>
                <w:szCs w:val="20"/>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17,832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16,171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18,242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net remained consistent for the three months ended March 31, 2026 compared to the same period in 2025.</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Gross margin decreased to 48% for the three months ended March 31, 2026 compared to 51% in the same period in 2025 due to the factors described in the preceding paragraph for Revenue, Net.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6"/>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5,358</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Research and development expenses decreased by $0.1 million, or 2%, for the three months ended March 31, 2026 compared to the same period in 2025, primarily due to a decrease in internal employee and external contributor time spent on project initiatives and new product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9,118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10,829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General and administrative expenses decreased $1.7 million, or 16%, for the three months ended March 31, 2026 compared to the same period in 2025, primarily due to a decrease in (i) settlement losses, net of recoveries, (ii) employee time spent on general and administrative activities, and (iii) accounting and audit fees. This decrease was partially offset by an increase in legal fees related to the Putative Class Action discussed in Part II, Item 1. "Legal Proceedings".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3,542</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Sales and marketing expenses increased $0.2 million, or 6%, for the three months ended March 31, 2026 compared to the same period in 2025, primarily due to an increase in advertising spend.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Other income, net changed by $0.2 million, or 47%, for the three months ended March 31, 2026 compared to the same period in 2025, primarily due to the net impact of period-over-period foreign currency gains and losses.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6"/>
        </w:trPr>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recorded a provision for income taxes of $0.5 million for the three months ended March 31, 2026 compared to a provision for income taxes of $2.0 million for the same period in 2025.</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three months ended March 31, 2026 and 2025, our effective income tax rate was (29.8)% and (172.5)%, respectively. The effective income tax rate differs from the statutory rate in 2026 and 2025 primarily due to non-deductible stock-based compensation and the change in the valuation allowance, partially offset by Section 162(m) of the Internal Revenue Code compensation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Liquidity and Capital Resources</w:t>
      </w:r>
    </w:p>
    <w:p>
      <w:pPr>
        <w:spacing w:after="0" w:line="16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As of March 31, 2026, we had $66.5 million in cash and cash equivalents with no outstanding indebtedness and a $7.5 million letter of credit outstanding.</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35"/>
        </w:trPr>
        <w:tc>
          <w:tcPr>
            <w:tcW w:w="7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OPERATING ACTIVITIES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cash provided by operating activities was $ 0.1 million for the three months ended March 31, 2026 as compared to $7.9 million for the same period in 2025. The decrease is primarily due to (i) a decrease in subscription revenue, and (ii) the settlement payment related to the Putative Class Action discussed under Part II, Item 1. "Legal Proceedings" and related legal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INVESTING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$1.4 million for the three months ended March 31, 2026, consisting of software development costs.</w:t>
      </w:r>
    </w:p>
    <w:p>
      <w:pPr>
        <w:spacing w:after="0" w:line="15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Net cash used in investing activities increased for the three months ended March 31, 2026 compared to the same period in 2025, primarily due to an increase in employee and external contributor software development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FINANCING ACTIVITIES</w:t>
      </w:r>
    </w:p>
    <w:p>
      <w:pPr>
        <w:spacing w:after="0" w:line="158" w:lineRule="exact"/>
        <w:rPr>
          <w:sz w:val="20"/>
          <w:szCs w:val="20"/>
          <w:color w:val="auto"/>
        </w:rPr>
      </w:pPr>
    </w:p>
    <w:p>
      <w:pPr>
        <w:ind w:right="240"/>
        <w:spacing w:after="0" w:line="318" w:lineRule="auto"/>
        <w:rPr>
          <w:sz w:val="20"/>
          <w:szCs w:val="20"/>
          <w:color w:val="auto"/>
        </w:rPr>
      </w:pPr>
      <w:r>
        <w:rPr>
          <w:rFonts w:ascii="Arial" w:cs="Arial" w:eastAsia="Arial" w:hAnsi="Arial"/>
          <w:sz w:val="17"/>
          <w:szCs w:val="17"/>
          <w:color w:val="auto"/>
        </w:rPr>
        <w:t>Net cash provided by financing activities was $6.3 million for the three months ended March 31, 2026, primarily consisting of the change in customer funds, net and proceeds from common stock purchased under the 2021 Stock Purchase and Matching Plan ("Matching Plan").</w:t>
      </w:r>
    </w:p>
    <w:p>
      <w:pPr>
        <w:spacing w:after="0" w:line="6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Net cash provided by financing activities increased for the three months ended March 31, 2026 compared to the same period in 2025, primarily due to the change in customer funds,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25, 2025, the Executive Committee approved a share repurchase program with authorization to purchase up to $ 50.0 million of shares of Class A common stock that expires on March 31, 2028 ("2025 Share Repurchase Program"). Under the 2025 Share Repurchase Program, we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current and future debt agreements and other considerations. The 2025 Share Repurchase Program does not obligate us to acquire any particular amount of Class A common stock, and the program may be suspended or terminated by us at any time at our discretion without prior notice.</w:t>
      </w:r>
    </w:p>
    <w:p>
      <w:pPr>
        <w:spacing w:after="0" w:line="1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March 31, 2026, we had $41.0 million remaining under the 2025 Share Repurchase Program, not including amounts used for net share settlement of vested equity incentive awards. See Note 8 to our condensed consolidated financial statements included elsewhere in this Quarterly Report on Form 10-Q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CREDIT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February 2024, we entered into a Second Amended and Restated Loan and Security Agreement (as subsequently amended, the "2024 Amended Loan and Security Agreement") with Canadian Imperial Bank of Commerce (“CIBC”). The 2024 Amended Loan and Security Agreement provided for a $25.0 million revolving credit facility, which was terminated on July 1, 2025. At the time of such termination, we had no borrowings under the revolving credit facility, and certain terms of the 2024 Amended Loan and Security Agreement, including collateral security, survived the termination with respect to outstanding Contingent Obligations (as defined in the 2024 Amended Loan and Security Agreement) arising from Bank Services (as defined in the 2024 Amended Loan and Security Agreement). There were no penalties incurred by us as a result of the termination of the revolving credit facility.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2024, we entered into an irrevocable standby letter of credit (the "Letter of Credit") issued under the 2024 Amended Loan and Security Agreement to reduce cash collateral requirements in connection with the Expensify Card program. The Letter of Credit was issued in the amount of $1.0 million for the benefit of Bancorp. On April 16, 2025, we entered into an amendment to the irrevocable standby letter of credit to increase the Letter of Credit to $7.5 million. The Letter of Credit remained outstanding following the termination of the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Security Agreement</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9, 2025, we entered into a Letter of Credit Facility and Security Agreement (the “LOC Security Agreement”) with CIBC. The LOC Security Agreement, among other things, provides for the issuance of additional irrevocable standby letters of credit, governs the terms of the outstanding Letter of Credit originally issued under the 2024 Amended Loan and Security Agreement, grants to CIBC, for the ratable benefit of the lenders, a security interest in substantially all of our assets and our subsidiaries, and also replaces the 2024 Amended Loan and Security Agreement with respect to the Contingent Obligations (as defined in the LOC Security Agreement). Under the LOC Security Agreement, the Letter of Credit remained at $7.5 million and expires on March 20, 2027. The Letter of Credit automatically renews for successive one-year periods unless we or the issuing bank provide notice of non-renewal prior to the expiration date. No amounts had been drawn on the Letter of Credit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subject to customary covenants under the LOC Security Agreement which, unless waived by CIBC, restrict our and our subsidiaries’ ability to, among other things, incur certain additional indebtedness, create or incur certain liens, permit a change of control, sell or transfer assets, pay dividends or make distributions, subject to certain exceptions.</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Key Business Metrics and Non-GAAP Financial Measures</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KEY BUSINESS METRICS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drives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small and medium businesses or sole proprietors with only one employee, the business owner may also be the only paid member.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each of the periods presented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Paid members</w:t>
            </w:r>
          </w:p>
        </w:tc>
      </w:tr>
      <w:tr>
        <w:trPr>
          <w:trHeight w:val="223"/>
        </w:trPr>
        <w:tc>
          <w:tcPr>
            <w:tcW w:w="8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March 31, 2025</w:t>
            </w:r>
          </w:p>
        </w:tc>
        <w:tc>
          <w:tcPr>
            <w:tcW w:w="2880" w:type="dxa"/>
            <w:vAlign w:val="bottom"/>
          </w:tcPr>
          <w:p>
            <w:pPr>
              <w:jc w:val="right"/>
              <w:spacing w:after="0"/>
              <w:rPr>
                <w:sz w:val="20"/>
                <w:szCs w:val="20"/>
                <w:color w:val="auto"/>
              </w:rPr>
            </w:pPr>
            <w:r>
              <w:rPr>
                <w:rFonts w:ascii="Arial" w:cs="Arial" w:eastAsia="Arial" w:hAnsi="Arial"/>
                <w:sz w:val="18"/>
                <w:szCs w:val="18"/>
                <w:color w:val="auto"/>
              </w:rPr>
              <w:t>657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define adjusted EBITDA as net loss excluding provision for income taxes, other income, net, depreciation and amortization and stock-based compensation expense. We define adjusted EBITDA margin as adjusted EBITDA divided by revenue, net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r>
      <w:tr>
        <w:trPr>
          <w:trHeight w:val="237"/>
        </w:trPr>
        <w:tc>
          <w:tcPr>
            <w:tcW w:w="7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(in thousands, except percentages)</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(2,337)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(3,169)</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i w:val="1"/>
                <w:iCs w:val="1"/>
                <w:color w:val="auto"/>
              </w:rPr>
              <w:t>Net loss margin</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(9)%</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2,006</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(324)</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1,943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5,977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7,990</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6,220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8,446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r>
      <w:tr>
        <w:trPr>
          <w:trHeight w:val="54"/>
        </w:trPr>
        <w:tc>
          <w:tcPr>
            <w:tcW w:w="7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Net Income and Non-GAAP Net Income Margin</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define non-GAAP net income as net loss excluding stock-based compensation expense. We define non-GAAP net income margin as non-GAAP net income divided by revenue, net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(2,337)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i w:val="1"/>
                <w:iCs w:val="1"/>
                <w:color w:val="auto"/>
              </w:rPr>
              <w:t>Net loss margin</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5,977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3,640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Non-GAAP net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0" w:type="dxa"/>
            <w:vAlign w:val="bottom"/>
          </w:tcPr>
          <w:p>
            <w:pPr>
              <w:spacing w:after="0"/>
              <w:rPr>
                <w:sz w:val="1"/>
                <w:szCs w:val="1"/>
                <w:color w:val="auto"/>
              </w:rPr>
            </w:pPr>
          </w:p>
        </w:tc>
      </w:tr>
      <w:tr>
        <w:trPr>
          <w:trHeight w:val="47"/>
        </w:trPr>
        <w:tc>
          <w:tcPr>
            <w:tcW w:w="7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and Free Cash Flow Margin</w:t>
      </w:r>
    </w:p>
    <w:p>
      <w:pPr>
        <w:spacing w:after="0" w:line="156"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define free cash flow as net cash provided by operating activities excluding changes in settlement assets, net and settlement liabilities, reduced by the purchases of property and equipment and software development costs. We define free cash flow margin as free cash flow divided by total revenue, net for the same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r>
      <w:tr>
        <w:trPr>
          <w:trHeight w:val="196"/>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(in thousands, except percentages)</w:t>
            </w: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7,856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i w:val="1"/>
                <w:iCs w:val="1"/>
                <w:color w:val="auto"/>
              </w:rPr>
              <w:t>Operating cash flow margin</w:t>
            </w:r>
          </w:p>
        </w:tc>
        <w:tc>
          <w:tcPr>
            <w:tcW w:w="340" w:type="dxa"/>
            <w:vAlign w:val="bottom"/>
          </w:tcPr>
          <w:p>
            <w:pPr>
              <w:spacing w:after="0"/>
              <w:rPr>
                <w:sz w:val="19"/>
                <w:szCs w:val="19"/>
                <w:color w:val="auto"/>
              </w:rPr>
            </w:pPr>
          </w:p>
        </w:tc>
        <w:tc>
          <w:tcPr>
            <w:tcW w:w="1460" w:type="dxa"/>
            <w:vAlign w:val="bottom"/>
            <w:gridSpan w:val="2"/>
          </w:tcPr>
          <w:p>
            <w:pPr>
              <w:ind w:left="960"/>
              <w:spacing w:after="0"/>
              <w:rPr>
                <w:sz w:val="20"/>
                <w:szCs w:val="20"/>
                <w:color w:val="auto"/>
              </w:rPr>
            </w:pPr>
            <w:r>
              <w:rPr>
                <w:rFonts w:ascii="Arial" w:cs="Arial" w:eastAsia="Arial" w:hAnsi="Arial"/>
                <w:sz w:val="18"/>
                <w:szCs w:val="18"/>
                <w:i w:val="1"/>
                <w:iCs w:val="1"/>
                <w:color w:val="auto"/>
              </w:rPr>
              <w:t>— %</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22 %</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settlement assets and liabilities: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Settlement assets, net</w:t>
            </w:r>
          </w:p>
        </w:tc>
        <w:tc>
          <w:tcPr>
            <w:tcW w:w="34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4,481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5,555</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liabilities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(3,809)</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(498)</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9,104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r>
      <w:tr>
        <w:trPr>
          <w:trHeight w:val="54"/>
        </w:trPr>
        <w:tc>
          <w:tcPr>
            <w:tcW w:w="7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Contractual Obligations and Commitments</w:t>
      </w:r>
    </w:p>
    <w:p>
      <w:pPr>
        <w:spacing w:after="0" w:line="1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March 31, 2026, there have been no material changes in our contractual obligations and commitments as disclosed in our 2025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Indemnification Agreements</w:t>
      </w:r>
    </w:p>
    <w:p>
      <w:pPr>
        <w:spacing w:after="0" w:line="16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7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Off-Balance Sheet Arrangements</w:t>
      </w:r>
    </w:p>
    <w:p>
      <w:pPr>
        <w:spacing w:after="0" w:line="18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Critical Accounting Policies and Estimates</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2025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Recent Accounting Pronouncements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issued accounting pronouncements not yet adopted as of the date of this Quarterly Report.</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Quantitative and Qualitative Disclosures About Market Risk</w:t>
      </w:r>
    </w:p>
    <w:p>
      <w:pPr>
        <w:spacing w:after="0" w:line="18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material changes in our market risk from the disclosure included under Part II, Item 7A. “Quantitative and Qualitative Disclosures About Market Risk” in our 2025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EVALUATION OF DISCLOSURE CONTROLS AND PROCEDURES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 ("SEC") rules and forms. Based on such evaluation, our chief executive officer and chief financial officer have concluded that as of March 31, 2026, our disclosure controls and procedures were effective at a reasonable assurance level.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CHANGES IN INTERNAL CONTROL OVER FINANCIAL REPORTING</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LIMITATIONS OF EFFECTIVENESS OF CONTROLS AND PROCEDURES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 Legal Proceedings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us, our executive officers and several of our current and former directors as defendants (collectively, the “Defendants”). The lawsuit is purportedly brought on behalf of all those who purchased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(the “Amended Complaint”),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limited modification, the magistrate’s findings and recommendations to grant in part and deny in part Defendants’ motion to dismiss the Amended Complaint.</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17, 2025, after conducting mediation within the current discovery phase of the lawsuit, the parties reached an agreement-in-principle to settle all claims in the Putative Class Action for an aggregate sum of $9.5 million. On February 12, 2026, lead plaintiff filed a stipulation of settlement and an unopposed motion for preliminary approval of settlement. On February 23, 2026, the Court granted preliminary approval of the settlement. On April 28, 2026, lead plaintiff filed a motion for final approval of the settlement, as well as motion for attorneys' fees. A hearing on final approval of the settlement is set for June 30, 2026. During the three months ended March 31, 2026, the Company deposited $9.5 million into escrow for the proposed settlement, which consisted of $2.6 million paid by the Company and $6.9 million recovered under the Company's applicable insurance policies.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May 9, 2024, a shareholder derivative lawsuit was filed in the United States District Court for the District of Oregon captioned O’Halloran v. Barrett, et al., Case No. 3:24-cv-00775 (the “O’Halloran Action”), purportedly on our behalf, naming us as nominal defendant, and our executive officers and several of our current and former directors as defendants (collectively, the “Derivative Defendants”). On August 14, 2024, the Court stayed the O’Halloran Action pending resolution of any and all motion(s) to dismiss the Putative Class Action.</w:t>
      </w:r>
    </w:p>
    <w:p>
      <w:pPr>
        <w:spacing w:after="0" w:line="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The Derivative Defendants deny the allegations of wrongdoing and will continue to vigorously defend against the claims in the Derivative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23, 2025, a shareholder derivative lawsuit was filed in the United States District Court for the District of Oregon captioned Choi v. Barrett, et al., Case No. 3:25-cv-1300 (the “Choi Action”), purportedly on our behalf against the Derivative Defendants and asserting substantively the same claims as those asserted in the O’Halloran Action. On October 20, 2025, the Court granted the parties’ stipulation to stay the Choi Action pending final resolution of the Putative Class Action. The Derivative Defendants deny the allegations of wrongdoing and will continue to vigorously defend against the claims in the Choi Action.</w:t>
      </w:r>
    </w:p>
    <w:p>
      <w:pPr>
        <w:spacing w:after="0" w:line="1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March 20, 2026, a shareholder derivative lawsuit was filed in the United States District Court for the District of Oregon captioned Mangiagli v. Barrett, et al., Case No. 3:26-cv-00544 (the “Mangiagli Action”), purportedly on our behalf against the Derivative Defendants and asserting substantively the same claims as those asserted in the O’Halloran Action and the Choi Action. The Derivative Defendants deny the allegations of wrongdoing and will continue to vigorously defend against the claims in the Mangiagli Action.</w:t>
      </w:r>
    </w:p>
    <w:p>
      <w:pPr>
        <w:spacing w:after="0" w:line="9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pacing w:after="0" w:line="8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1A. Risk Factors</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including the section titled "Management's Discussion and Analysis of Financial Condition and Results of Operations" and our condensed consolidated financial statements and related notes, you should carefully read and consider the risks and uncertainties discussed below, together with the risk factors discussed in Part I, Item 1A. "Risk Factors," of our 2025 Annual Report (as updated and supplemented below and in our subsequent filings) and in other documents that we file with the SEC.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stock price continues to remain below $1.00, our Class A common stock may be subject to delisting from Nasdaq.</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17, 2026, we received a deficiency letter from the Nasdaq Listing Qualifications Department (“the Staff”) of Nasdaq notifying us that, for the last 30 consecutive business days, the closing bid price for our Class A common stock had been below the minimum $ 1.00 per share required for continued listing on The Nasdaq Global Select Market pursuant to Nasdaq Listing Rule 5450(a)(1) (the “Minimum Bid Price Requirement”). In accordance with Nasdaq Listing Rule 5810(c)(3)(A), we have 180 calendar days, or until October 14, 2026 (the “Compliance Date”), to regain compliance with the Minimum Bid Price Requirement. To regain compliance, the closing bid price of our Class A common stock must be at least $1.00 per share for a minimum of ten consecutive business days before the Compliance Date.</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do not regain compliance with the Minimum Bid Price Requirement by October 14, 2026, we may be eligible for additional time to regain compliance. To qualify, we would be required to transfer to The Nasdaq Capital Market and meet the continued listing requirement for market value of publicly held shares and all other initial listing standards for The Nasdaq Capital Market, except for the Minimum Bid Price Requirement. In addition, we would be required to notify Nasdaq of our intent to cure the deficiency during the second compliance period, by effecting a reverse stock split if necessary. If the Company meets these requirements, following a transfer to The Nasdaq Capital Market, Nasdaq will inform us that we have been granted an additional 180 calendar days to regain compliance. However, if it appears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Staff that we will not be able to cure the deficiency, or if the Company is otherwise not eligible, Nasdaq will provide notice that our securities are subject to delisting, at which point we would have an opportunity to appeal the delisting determination to a hearings panel.</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intend to monitor the closing bid price of our Class A common stock and may, if appropriate, consider available options to regain compliance with the Minimum Bid Price Requirement, including potentially seeking to effect a reverse stock split. However, there can be no assurance that we will be able to regain compliance with the Minimum Bid Price Requirement or will otherwise be in compliance with other Nasdaq Listing Rules. To the extent that we are unable to resolve the listing deficiency, there is a risk that our Class A common stock may be delisted from Nasdaq, which would adversely impact liquidity of our Class A common stock and potentially result in an even lower share price for our Class A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ISSUER PURCHASES OF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8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 (or</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approximate dollar</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Weighted average</w:t>
            </w: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 as</w:t>
            </w:r>
          </w:p>
        </w:tc>
        <w:tc>
          <w:tcPr>
            <w:tcW w:w="80" w:type="dxa"/>
            <w:vAlign w:val="bottom"/>
          </w:tcPr>
          <w:p>
            <w:pPr>
              <w:spacing w:after="0"/>
              <w:rPr>
                <w:sz w:val="15"/>
                <w:szCs w:val="15"/>
                <w:color w:val="auto"/>
              </w:rPr>
            </w:pPr>
          </w:p>
        </w:tc>
        <w:tc>
          <w:tcPr>
            <w:tcW w:w="1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part of publicly</w:t>
            </w:r>
          </w:p>
        </w:tc>
        <w:tc>
          <w:tcPr>
            <w:tcW w:w="80" w:type="dxa"/>
            <w:vAlign w:val="bottom"/>
          </w:tcPr>
          <w:p>
            <w:pPr>
              <w:spacing w:after="0"/>
              <w:rPr>
                <w:sz w:val="16"/>
                <w:szCs w:val="16"/>
                <w:color w:val="auto"/>
              </w:rPr>
            </w:pPr>
          </w:p>
        </w:tc>
        <w:tc>
          <w:tcPr>
            <w:tcW w:w="19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rPr>
              <w:t>may yet be purchased</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19"/>
                <w:szCs w:val="19"/>
                <w:color w:val="auto"/>
              </w:rPr>
            </w:pPr>
          </w:p>
        </w:tc>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9"/>
                <w:szCs w:val="19"/>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price paid 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programs</w:t>
            </w:r>
          </w:p>
        </w:tc>
        <w:tc>
          <w:tcPr>
            <w:tcW w:w="80" w:type="dxa"/>
            <w:vAlign w:val="bottom"/>
          </w:tcPr>
          <w:p>
            <w:pPr>
              <w:spacing w:after="0"/>
              <w:rPr>
                <w:sz w:val="19"/>
                <w:szCs w:val="19"/>
                <w:color w:val="auto"/>
              </w:rPr>
            </w:pPr>
          </w:p>
        </w:tc>
        <w:tc>
          <w:tcPr>
            <w:tcW w:w="194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7"/>
              </w:rPr>
              <w:t>under the program</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1 - 31, 2026</w:t>
            </w:r>
          </w:p>
        </w:tc>
        <w:tc>
          <w:tcPr>
            <w:tcW w:w="192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41,000,511</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February 1 - 28, 2026</w:t>
            </w:r>
          </w:p>
        </w:tc>
        <w:tc>
          <w:tcPr>
            <w:tcW w:w="1920" w:type="dxa"/>
            <w:vAlign w:val="bottom"/>
          </w:tcPr>
          <w:p>
            <w:pPr>
              <w:ind w:left="172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920" w:type="dxa"/>
            <w:vAlign w:val="bottom"/>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41,000,511</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1 - 31, 2026</w:t>
            </w:r>
          </w:p>
        </w:tc>
        <w:tc>
          <w:tcPr>
            <w:tcW w:w="192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41,000,511</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100" w:hanging="332"/>
        <w:spacing w:after="0" w:line="281" w:lineRule="auto"/>
        <w:tabs>
          <w:tab w:leader="none" w:pos="370"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February 27, 2025, we announced the approval of a share repurchase program with authorization to purchase up to $50.0 million of our Class A common stock at management’s discretion that expires on March 31, 2028, does not obligate us to repurchase any specific number of shares and may be modified, suspended or terminated at any time at our discretion. As of March 31, 2026, we had $41.0 million remaining under the share repurchase authorization.</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Defaults Upon Senior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5.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Incorporated by Reference</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9"/>
          </w:tcPr>
          <w:p>
            <w:pPr>
              <w:ind w:left="4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File No.</w:t>
            </w:r>
          </w:p>
        </w:tc>
        <w:tc>
          <w:tcPr>
            <w:tcW w:w="1160" w:type="dxa"/>
            <w:vAlign w:val="bottom"/>
          </w:tcPr>
          <w:p>
            <w:pPr>
              <w:jc w:val="center"/>
              <w:ind w:left="19"/>
              <w:spacing w:after="0"/>
              <w:rPr>
                <w:sz w:val="20"/>
                <w:szCs w:val="20"/>
                <w:color w:val="auto"/>
              </w:rPr>
            </w:pPr>
            <w:r>
              <w:rPr>
                <w:rFonts w:ascii="Arial" w:cs="Arial" w:eastAsia="Arial" w:hAnsi="Arial"/>
                <w:sz w:val="16"/>
                <w:szCs w:val="16"/>
                <w:b w:val="1"/>
                <w:bCs w:val="1"/>
                <w:color w:val="auto"/>
              </w:rPr>
              <w:t>Exhibit</w:t>
            </w:r>
          </w:p>
        </w:tc>
        <w:tc>
          <w:tcPr>
            <w:tcW w:w="1580" w:type="dxa"/>
            <w:vAlign w:val="bottom"/>
          </w:tcPr>
          <w:p>
            <w:pPr>
              <w:jc w:val="center"/>
              <w:ind w:left="99"/>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69"/>
        </w:trPr>
        <w:tc>
          <w:tcPr>
            <w:tcW w:w="1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920" w:type="dxa"/>
            <w:vAlign w:val="bottom"/>
            <w:tcBorders>
              <w:top w:val="single" w:sz="8" w:color="auto"/>
            </w:tcBorders>
            <w:gridSpan w:val="13"/>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Amended and Restated Certificate of Incorporation of</w:t>
              </w:r>
            </w:hyperlink>
          </w:p>
        </w:tc>
        <w:tc>
          <w:tcPr>
            <w:tcW w:w="14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line="169" w:lineRule="exact"/>
              <w:rPr>
                <w:sz w:val="20"/>
                <w:szCs w:val="20"/>
                <w:color w:val="auto"/>
              </w:rPr>
            </w:pPr>
            <w:r>
              <w:rPr>
                <w:rFonts w:ascii="Arial" w:cs="Arial" w:eastAsia="Arial" w:hAnsi="Arial"/>
                <w:sz w:val="16"/>
                <w:szCs w:val="16"/>
                <w:color w:val="auto"/>
              </w:rPr>
              <w:t>001-41043</w:t>
            </w:r>
          </w:p>
        </w:tc>
        <w:tc>
          <w:tcPr>
            <w:tcW w:w="1160" w:type="dxa"/>
            <w:vAlign w:val="bottom"/>
          </w:tcPr>
          <w:p>
            <w:pPr>
              <w:jc w:val="center"/>
              <w:ind w:left="19"/>
              <w:spacing w:after="0" w:line="169" w:lineRule="exact"/>
              <w:rPr>
                <w:sz w:val="20"/>
                <w:szCs w:val="20"/>
                <w:color w:val="auto"/>
              </w:rPr>
            </w:pPr>
            <w:r>
              <w:rPr>
                <w:rFonts w:ascii="Arial" w:cs="Arial" w:eastAsia="Arial" w:hAnsi="Arial"/>
                <w:sz w:val="16"/>
                <w:szCs w:val="16"/>
                <w:color w:val="auto"/>
                <w:w w:val="98"/>
              </w:rPr>
              <w:t>3.1</w:t>
            </w:r>
          </w:p>
        </w:tc>
        <w:tc>
          <w:tcPr>
            <w:tcW w:w="1580" w:type="dxa"/>
            <w:vAlign w:val="bottom"/>
          </w:tcPr>
          <w:p>
            <w:pPr>
              <w:jc w:val="center"/>
              <w:ind w:left="99"/>
              <w:spacing w:after="0" w:line="169" w:lineRule="exact"/>
              <w:rPr>
                <w:sz w:val="20"/>
                <w:szCs w:val="20"/>
                <w:color w:val="auto"/>
              </w:rPr>
            </w:pPr>
            <w:r>
              <w:rPr>
                <w:rFonts w:ascii="Arial" w:cs="Arial" w:eastAsia="Arial" w:hAnsi="Arial"/>
                <w:sz w:val="16"/>
                <w:szCs w:val="16"/>
                <w:color w:val="auto"/>
              </w:rPr>
              <w:t>November 8 ,2024</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63">
              <w:r>
                <w:rPr>
                  <w:rFonts w:ascii="Arial" w:cs="Arial" w:eastAsia="Arial" w:hAnsi="Arial"/>
                  <w:sz w:val="16"/>
                  <w:szCs w:val="16"/>
                  <w:color w:val="0000FF"/>
                  <w:w w:val="99"/>
                </w:rPr>
                <w:t>the Registrant.</w:t>
              </w:r>
            </w:hyperlink>
          </w:p>
        </w:tc>
        <w:tc>
          <w:tcPr>
            <w:tcW w:w="2780" w:type="dxa"/>
            <w:vAlign w:val="bottom"/>
            <w:tcBorders>
              <w:top w:val="single" w:sz="8" w:color="0000FF"/>
            </w:tcBorders>
            <w:gridSpan w:val="9"/>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13"/>
          </w:tcPr>
          <w:p>
            <w:pPr>
              <w:spacing w:after="0"/>
              <w:rPr>
                <w:rFonts w:ascii="Arial" w:cs="Arial" w:eastAsia="Arial" w:hAnsi="Arial"/>
                <w:sz w:val="16"/>
                <w:szCs w:val="16"/>
                <w:color w:val="0000FF"/>
              </w:rPr>
            </w:pPr>
            <w:hyperlink r:id="rId64">
              <w:r>
                <w:rPr>
                  <w:rFonts w:ascii="Arial" w:cs="Arial" w:eastAsia="Arial" w:hAnsi="Arial"/>
                  <w:sz w:val="16"/>
                  <w:szCs w:val="16"/>
                  <w:color w:val="0000FF"/>
                </w:rPr>
                <w:t>Amended and Restated Bylaws of the Registrant.</w:t>
              </w:r>
            </w:hyperlink>
          </w:p>
        </w:tc>
        <w:tc>
          <w:tcPr>
            <w:tcW w:w="140" w:type="dxa"/>
            <w:vAlign w:val="bottom"/>
          </w:tcPr>
          <w:p>
            <w:pPr>
              <w:spacing w:after="0"/>
              <w:rPr>
                <w:sz w:val="21"/>
                <w:szCs w:val="21"/>
                <w:color w:val="auto"/>
              </w:rPr>
            </w:pPr>
          </w:p>
        </w:tc>
        <w:tc>
          <w:tcPr>
            <w:tcW w:w="13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60" w:type="dxa"/>
            <w:vAlign w:val="bottom"/>
          </w:tcPr>
          <w:p>
            <w:pPr>
              <w:jc w:val="center"/>
              <w:ind w:left="19"/>
              <w:spacing w:after="0"/>
              <w:rPr>
                <w:sz w:val="20"/>
                <w:szCs w:val="20"/>
                <w:color w:val="auto"/>
              </w:rPr>
            </w:pPr>
            <w:r>
              <w:rPr>
                <w:rFonts w:ascii="Arial" w:cs="Arial" w:eastAsia="Arial" w:hAnsi="Arial"/>
                <w:sz w:val="16"/>
                <w:szCs w:val="16"/>
                <w:color w:val="auto"/>
                <w:w w:val="98"/>
              </w:rPr>
              <w:t>3.2</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November 15,</w:t>
            </w:r>
          </w:p>
        </w:tc>
        <w:tc>
          <w:tcPr>
            <w:tcW w:w="0" w:type="dxa"/>
            <w:vAlign w:val="bottom"/>
          </w:tcPr>
          <w:p>
            <w:pPr>
              <w:spacing w:after="0"/>
              <w:rPr>
                <w:sz w:val="1"/>
                <w:szCs w:val="1"/>
                <w:color w:val="auto"/>
              </w:rPr>
            </w:pPr>
          </w:p>
        </w:tc>
      </w:tr>
      <w:tr>
        <w:trPr>
          <w:trHeight w:val="195"/>
        </w:trPr>
        <w:tc>
          <w:tcPr>
            <w:tcW w:w="140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tcBorders>
              <w:top w:val="single" w:sz="8" w:color="0000FF"/>
            </w:tcBorders>
            <w:gridSpan w:val="6"/>
            <w:vMerge w:val="restart"/>
          </w:tcPr>
          <w:p>
            <w:pPr>
              <w:spacing w:after="0"/>
              <w:rPr>
                <w:sz w:val="20"/>
                <w:szCs w:val="20"/>
                <w:color w:val="auto"/>
              </w:rPr>
            </w:pPr>
            <w:r>
              <w:rPr>
                <w:rFonts w:ascii="Arial" w:cs="Arial" w:eastAsia="Arial" w:hAnsi="Arial"/>
                <w:sz w:val="16"/>
                <w:szCs w:val="16"/>
                <w:color w:val="0000FF"/>
              </w:rPr>
              <w:t>Certification of the Principal Executive Officer,</w:t>
            </w:r>
          </w:p>
        </w:tc>
        <w:tc>
          <w:tcPr>
            <w:tcW w:w="260" w:type="dxa"/>
            <w:vAlign w:val="bottom"/>
            <w:tcBorders>
              <w:top w:val="single" w:sz="8" w:color="0000FF"/>
            </w:tcBorders>
            <w:gridSpan w:val="2"/>
            <w:vMerge w:val="restart"/>
          </w:tcPr>
          <w:p>
            <w:pPr>
              <w:spacing w:after="0"/>
              <w:rPr>
                <w:sz w:val="16"/>
                <w:szCs w:val="16"/>
                <w:color w:val="auto"/>
              </w:rPr>
            </w:pPr>
          </w:p>
        </w:tc>
        <w:tc>
          <w:tcPr>
            <w:tcW w:w="380" w:type="dxa"/>
            <w:vAlign w:val="bottom"/>
            <w:gridSpan w:val="5"/>
            <w:vMerge w:val="restart"/>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76"/>
        </w:trPr>
        <w:tc>
          <w:tcPr>
            <w:tcW w:w="14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tcBorders>
              <w:bottom w:val="single" w:sz="8" w:color="0000FF"/>
            </w:tcBorders>
            <w:gridSpan w:val="6"/>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380" w:type="dxa"/>
            <w:vAlign w:val="bottom"/>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gridSpan w:val="13"/>
          </w:tcPr>
          <w:p>
            <w:pPr>
              <w:spacing w:after="0" w:line="142" w:lineRule="exact"/>
              <w:rPr>
                <w:sz w:val="20"/>
                <w:szCs w:val="20"/>
                <w:color w:val="auto"/>
              </w:rPr>
            </w:pPr>
            <w:r>
              <w:rPr>
                <w:rFonts w:ascii="Arial" w:cs="Arial" w:eastAsia="Arial" w:hAnsi="Arial"/>
                <w:sz w:val="16"/>
                <w:szCs w:val="16"/>
                <w:color w:val="0000FF"/>
              </w:rPr>
              <w:t>pursuant to Rules 13a-14(a) and 15d-14(a) under the</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20" w:type="dxa"/>
            <w:vAlign w:val="bottom"/>
            <w:tcBorders>
              <w:bottom w:val="single" w:sz="8" w:color="0000FF"/>
            </w:tcBorders>
          </w:tcPr>
          <w:p>
            <w:pPr>
              <w:spacing w:after="0"/>
              <w:rPr>
                <w:sz w:val="12"/>
                <w:szCs w:val="12"/>
                <w:color w:val="auto"/>
              </w:rPr>
            </w:pPr>
          </w:p>
        </w:tc>
        <w:tc>
          <w:tcPr>
            <w:tcW w:w="3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0"/>
          </w:tcPr>
          <w:p>
            <w:pPr>
              <w:spacing w:after="0" w:line="142" w:lineRule="exact"/>
              <w:rPr>
                <w:sz w:val="20"/>
                <w:szCs w:val="20"/>
                <w:color w:val="auto"/>
              </w:rPr>
            </w:pPr>
            <w:r>
              <w:rPr>
                <w:rFonts w:ascii="Arial" w:cs="Arial" w:eastAsia="Arial" w:hAnsi="Arial"/>
                <w:sz w:val="16"/>
                <w:szCs w:val="16"/>
                <w:color w:val="0000FF"/>
              </w:rPr>
              <w:t>Oxley Act of 2002.</w:t>
            </w:r>
          </w:p>
        </w:tc>
        <w:tc>
          <w:tcPr>
            <w:tcW w:w="3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0000FF"/>
              </w:rPr>
              <w:t>Certification of the Principal Financial Officer,</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pursuant to Rules 13a-14(a) and 15d-14(a)</w:t>
            </w:r>
          </w:p>
        </w:tc>
        <w:tc>
          <w:tcPr>
            <w:tcW w:w="700" w:type="dxa"/>
            <w:vAlign w:val="bottom"/>
            <w:gridSpan w:val="8"/>
          </w:tcPr>
          <w:p>
            <w:pPr>
              <w:spacing w:after="0" w:line="142" w:lineRule="exact"/>
              <w:rPr>
                <w:sz w:val="20"/>
                <w:szCs w:val="20"/>
                <w:color w:val="auto"/>
              </w:rPr>
            </w:pPr>
            <w:r>
              <w:rPr>
                <w:rFonts w:ascii="Arial" w:cs="Arial" w:eastAsia="Arial" w:hAnsi="Arial"/>
                <w:sz w:val="16"/>
                <w:szCs w:val="16"/>
                <w:color w:val="0000FF"/>
              </w:rPr>
              <w:t>under the</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34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Oxley Act of 2002.</w:t>
            </w:r>
          </w:p>
        </w:tc>
        <w:tc>
          <w:tcPr>
            <w:tcW w:w="3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the Principal Executive Officer,</w:t>
            </w:r>
          </w:p>
        </w:tc>
        <w:tc>
          <w:tcPr>
            <w:tcW w:w="640" w:type="dxa"/>
            <w:vAlign w:val="bottom"/>
            <w:gridSpan w:val="7"/>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80" w:type="dxa"/>
            <w:vAlign w:val="bottom"/>
            <w:gridSpan w:val="6"/>
          </w:tcPr>
          <w:p>
            <w:pPr>
              <w:spacing w:after="0" w:line="142" w:lineRule="exact"/>
              <w:rPr>
                <w:sz w:val="20"/>
                <w:szCs w:val="20"/>
                <w:color w:val="auto"/>
              </w:rPr>
            </w:pPr>
            <w:r>
              <w:rPr>
                <w:rFonts w:ascii="Arial" w:cs="Arial" w:eastAsia="Arial" w:hAnsi="Arial"/>
                <w:sz w:val="16"/>
                <w:szCs w:val="16"/>
                <w:color w:val="0000FF"/>
              </w:rPr>
              <w:t>Act of</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2002.</w:t>
            </w:r>
          </w:p>
        </w:tc>
        <w:tc>
          <w:tcPr>
            <w:tcW w:w="6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9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0000FF"/>
              </w:rPr>
              <w:t>Certification of the Principal Financial Officer,</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80" w:type="dxa"/>
            <w:vAlign w:val="bottom"/>
            <w:gridSpan w:val="6"/>
          </w:tcPr>
          <w:p>
            <w:pPr>
              <w:spacing w:after="0" w:line="142" w:lineRule="exact"/>
              <w:rPr>
                <w:sz w:val="20"/>
                <w:szCs w:val="20"/>
                <w:color w:val="auto"/>
              </w:rPr>
            </w:pPr>
            <w:r>
              <w:rPr>
                <w:rFonts w:ascii="Arial" w:cs="Arial" w:eastAsia="Arial" w:hAnsi="Arial"/>
                <w:sz w:val="16"/>
                <w:szCs w:val="16"/>
                <w:color w:val="0000FF"/>
              </w:rPr>
              <w:t>Act of</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2002.</w:t>
            </w:r>
          </w:p>
        </w:tc>
        <w:tc>
          <w:tcPr>
            <w:tcW w:w="2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9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101.INS*</w:t>
            </w:r>
          </w:p>
        </w:tc>
        <w:tc>
          <w:tcPr>
            <w:tcW w:w="20" w:type="dxa"/>
            <w:vAlign w:val="bottom"/>
          </w:tcPr>
          <w:p>
            <w:pPr>
              <w:spacing w:after="0"/>
              <w:rPr>
                <w:sz w:val="24"/>
                <w:szCs w:val="24"/>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Instance Document.</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101.CAL*</w:t>
            </w: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Linkbase Document.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Linkable Document.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0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Cover Page Interactive Data File (embedded within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3"/>
          </w:tcPr>
          <w:p>
            <w:pPr>
              <w:spacing w:after="0"/>
              <w:rPr>
                <w:sz w:val="20"/>
                <w:szCs w:val="20"/>
                <w:color w:val="auto"/>
              </w:rPr>
            </w:pPr>
            <w:r>
              <w:rPr>
                <w:rFonts w:ascii="Arial" w:cs="Arial" w:eastAsia="Arial" w:hAnsi="Arial"/>
                <w:sz w:val="16"/>
                <w:szCs w:val="16"/>
                <w:color w:val="auto"/>
              </w:rPr>
              <w:t>the Inline XBRL document).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00" w:hanging="374"/>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400" w:right="120" w:hanging="374"/>
        <w:spacing w:after="0" w:line="238" w:lineRule="auto"/>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Signatures</w:t>
      </w:r>
    </w:p>
    <w:p>
      <w:pPr>
        <w:spacing w:after="0" w:line="3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580" w:type="dxa"/>
            <w:vAlign w:val="bottom"/>
            <w:gridSpan w:val="2"/>
          </w:tcPr>
          <w:p>
            <w:pPr>
              <w:ind w:left="214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640" w:type="dxa"/>
            <w:vAlign w:val="bottom"/>
          </w:tcPr>
          <w:p>
            <w:pPr>
              <w:spacing w:after="0"/>
              <w:rPr>
                <w:sz w:val="20"/>
                <w:szCs w:val="20"/>
                <w:color w:val="auto"/>
              </w:rPr>
            </w:pPr>
            <w:r>
              <w:rPr>
                <w:rFonts w:ascii="Arial" w:cs="Arial" w:eastAsia="Arial" w:hAnsi="Arial"/>
                <w:sz w:val="18"/>
                <w:szCs w:val="18"/>
                <w:color w:val="auto"/>
              </w:rPr>
              <w:t>Date: May 7, 2026</w:t>
            </w:r>
          </w:p>
        </w:tc>
        <w:tc>
          <w:tcPr>
            <w:tcW w:w="7580" w:type="dxa"/>
            <w:vAlign w:val="bottom"/>
            <w:gridSpan w:val="2"/>
          </w:tcPr>
          <w:p>
            <w:pPr>
              <w:ind w:left="2340"/>
              <w:spacing w:after="0"/>
              <w:rPr>
                <w:sz w:val="20"/>
                <w:szCs w:val="20"/>
                <w:color w:val="auto"/>
              </w:rPr>
            </w:pPr>
            <w:r>
              <w:rPr>
                <w:rFonts w:ascii="Arial" w:cs="Arial" w:eastAsia="Arial" w:hAnsi="Arial"/>
                <w:sz w:val="18"/>
                <w:szCs w:val="18"/>
                <w:color w:val="auto"/>
              </w:rPr>
              <w:t>By: /s/ David Barrett</w:t>
            </w:r>
          </w:p>
        </w:tc>
      </w:tr>
      <w:tr>
        <w:trPr>
          <w:trHeight w:val="218"/>
        </w:trPr>
        <w:tc>
          <w:tcPr>
            <w:tcW w:w="3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32"/>
        </w:trPr>
        <w:tc>
          <w:tcPr>
            <w:tcW w:w="3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3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2"/>
        </w:trPr>
        <w:tc>
          <w:tcPr>
            <w:tcW w:w="3640" w:type="dxa"/>
            <w:vAlign w:val="bottom"/>
          </w:tcPr>
          <w:p>
            <w:pPr>
              <w:spacing w:after="0"/>
              <w:rPr>
                <w:sz w:val="20"/>
                <w:szCs w:val="20"/>
                <w:color w:val="auto"/>
              </w:rPr>
            </w:pPr>
            <w:r>
              <w:rPr>
                <w:rFonts w:ascii="Arial" w:cs="Arial" w:eastAsia="Arial" w:hAnsi="Arial"/>
                <w:sz w:val="18"/>
                <w:szCs w:val="18"/>
                <w:color w:val="auto"/>
              </w:rPr>
              <w:t>Date: May 7, 2026</w:t>
            </w:r>
          </w:p>
        </w:tc>
        <w:tc>
          <w:tcPr>
            <w:tcW w:w="7580" w:type="dxa"/>
            <w:vAlign w:val="bottom"/>
            <w:gridSpan w:val="2"/>
          </w:tcPr>
          <w:p>
            <w:pPr>
              <w:ind w:left="2340"/>
              <w:spacing w:after="0"/>
              <w:rPr>
                <w:sz w:val="20"/>
                <w:szCs w:val="20"/>
                <w:color w:val="auto"/>
              </w:rPr>
            </w:pPr>
            <w:r>
              <w:rPr>
                <w:rFonts w:ascii="Arial" w:cs="Arial" w:eastAsia="Arial" w:hAnsi="Arial"/>
                <w:sz w:val="18"/>
                <w:szCs w:val="18"/>
                <w:color w:val="auto"/>
              </w:rPr>
              <w:t>By: /s/ Ryan Schaffer</w:t>
            </w:r>
          </w:p>
        </w:tc>
      </w:tr>
      <w:tr>
        <w:trPr>
          <w:trHeight w:val="218"/>
        </w:trPr>
        <w:tc>
          <w:tcPr>
            <w:tcW w:w="3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32"/>
        </w:trPr>
        <w:tc>
          <w:tcPr>
            <w:tcW w:w="3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45"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May 7,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53"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May 7,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firstLine="208"/>
        <w:spacing w:after="0" w:line="268"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2026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May 7,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firstLine="208"/>
        <w:spacing w:after="0" w:line="268"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2026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May 7,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2"/>
    </w:lvl>
  </w:abstractNum>
  <w:abstractNum w:abstractNumId="5">
    <w:nsid w:val="4DB127F8"/>
    <w:multiLevelType w:val="hybridMultilevel"/>
    <w:lvl w:ilvl="0">
      <w:lvlJc w:val="left"/>
      <w:lvlText w:val="(%1)"/>
      <w:numFmt w:val="lowerRoman"/>
      <w:start w:val="2"/>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3" Type="http://schemas.openxmlformats.org/officeDocument/2006/relationships/hyperlink" Target="https://www.sec.gov/ix?doc=/Archives/edgar/data/1476840/000147684024000215/exfy-20240930.htm" TargetMode="External"/><Relationship Id="rId64"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2026-05-07T15:17:59Z</dcterms:created>
  <dcterms:modified xsi:type="dcterms:W3CDTF">2026-05-07T15:17:59Z</dcterms:modified>
</cp:coreProperties>
</file>