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UNITED STATES</w:t>
      </w:r>
    </w:p>
    <w:p>
      <w:pPr>
        <w:spacing w:after="0" w:line="54"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SECURITIES AND EXCHANGE COMMISSION</w:t>
      </w:r>
    </w:p>
    <w:p>
      <w:pPr>
        <w:spacing w:after="0" w:line="19" w:lineRule="exact"/>
        <w:rPr>
          <w:sz w:val="24"/>
          <w:szCs w:val="24"/>
          <w:color w:val="auto"/>
        </w:rPr>
      </w:pPr>
    </w:p>
    <w:p>
      <w:pPr>
        <w:ind w:left="420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245110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SCHEDULE 14A</w:t>
      </w:r>
    </w:p>
    <w:p>
      <w:pPr>
        <w:spacing w:after="0" w:line="82" w:lineRule="exact"/>
        <w:rPr>
          <w:sz w:val="24"/>
          <w:szCs w:val="24"/>
          <w:color w:val="auto"/>
        </w:rPr>
      </w:pPr>
    </w:p>
    <w:p>
      <w:pPr>
        <w:jc w:val="center"/>
        <w:ind w:left="2120" w:right="900"/>
        <w:spacing w:after="0" w:line="269" w:lineRule="auto"/>
        <w:rPr>
          <w:sz w:val="20"/>
          <w:szCs w:val="20"/>
          <w:color w:val="auto"/>
        </w:rPr>
      </w:pPr>
      <w:r>
        <w:rPr>
          <w:rFonts w:ascii="Arial" w:cs="Arial" w:eastAsia="Arial" w:hAnsi="Arial"/>
          <w:sz w:val="25"/>
          <w:szCs w:val="25"/>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201295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ind w:left="3600"/>
        <w:spacing w:after="0"/>
        <w:rPr>
          <w:sz w:val="20"/>
          <w:szCs w:val="20"/>
          <w:color w:val="auto"/>
        </w:rPr>
      </w:pPr>
      <w:r>
        <w:rPr>
          <w:rFonts w:ascii="Arial" w:cs="Arial" w:eastAsia="Arial" w:hAnsi="Arial"/>
          <w:sz w:val="50"/>
          <w:szCs w:val="50"/>
          <w:b w:val="1"/>
          <w:bCs w:val="1"/>
          <w:color w:val="auto"/>
        </w:rPr>
        <w:t>EXPENSIFY, INC.</w:t>
      </w:r>
    </w:p>
    <w:p>
      <w:pPr>
        <w:spacing w:after="0" w:line="184"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(Name of the Registrant as Specified In Its Charter)</w:t>
      </w:r>
    </w:p>
    <w:p>
      <w:pPr>
        <w:spacing w:after="0" w:line="200" w:lineRule="exact"/>
        <w:rPr>
          <w:sz w:val="24"/>
          <w:szCs w:val="24"/>
          <w:color w:val="auto"/>
        </w:rPr>
      </w:pPr>
    </w:p>
    <w:p>
      <w:pPr>
        <w:spacing w:after="0" w:line="201"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2685415</wp:posOffset>
            </wp:positionH>
            <wp:positionV relativeFrom="page">
              <wp:posOffset>106045</wp:posOffset>
            </wp:positionV>
            <wp:extent cx="192024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2862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April 29,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cordially invite you to attend our 2022 Annual Meeting of Stockholders, to be held on Wednesday, June 22, 2022, at 10:00 a.m. (Pacific Time). The annual meeting will be a completely “virtual” meeting, conducted via live audio webcast, and you will not be able to attend the meeting in person. We believe the environmentally friendly virtual meeting format will provide expanded access, improved communication and cost savings for us and our stockholders. You will be able to attend the annual meeting, as well as vote and submit your questions during the live webcast of the meeting, by visiting www.virtualshareholdermeeting.com/EXFY2022 and entering the company number and control number included on your proxy card or in the instructions that accompany your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Whether or not you plan to attend the virtual annual meeting, your vote is very important and we encourage you to vote promptly. You may vote in advance by either marking, signing and returning the enclosed proxy card or using telephone or internet voting. For specific instructions on voting, please refer to the instructions on your enclosed proxy card. If you attend the virtual annual meeting, you will have the right to revoke your proxy and vote your shares virtually at the meeting. If you hold your shares through an account with a brokerage firm, bank, broker-dealer or other nominee, please follow the instructions you receive from them.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259840"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984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David Barrett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Founder, CEO and Director</w:t>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Expensify, Inc.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401 SW 5th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OR 92704</w:t>
      </w:r>
    </w:p>
    <w:p>
      <w:pPr>
        <w:spacing w:after="0" w:line="126" w:lineRule="exact"/>
        <w:rPr>
          <w:sz w:val="20"/>
          <w:szCs w:val="20"/>
          <w:color w:val="auto"/>
        </w:rPr>
      </w:pPr>
    </w:p>
    <w:p>
      <w:pPr>
        <w:spacing w:after="0"/>
        <w:rPr>
          <w:sz w:val="20"/>
          <w:szCs w:val="20"/>
          <w:color w:val="auto"/>
        </w:rPr>
      </w:pPr>
      <w:r>
        <w:rPr>
          <w:rFonts w:ascii="Arial" w:cs="Arial" w:eastAsia="Arial" w:hAnsi="Arial"/>
          <w:sz w:val="28"/>
          <w:szCs w:val="28"/>
          <w:color w:val="auto"/>
        </w:rPr>
        <w:t>NOTICE OF ANNUAL MEETING OF STOCKHOLDERS</w:t>
      </w:r>
    </w:p>
    <w:p>
      <w:pPr>
        <w:sectPr>
          <w:pgSz w:w="11900" w:h="16838" w:orient="portrait"/>
          <w:cols w:equalWidth="0" w:num="1">
            <w:col w:w="11180"/>
          </w:cols>
          <w:pgMar w:left="320" w:top="121" w:right="399" w:bottom="1440" w:gutter="0" w:footer="0" w:header="0"/>
        </w:sect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Wednesday, June 22, 2022 at 10:00 a.m. PDT</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Virtually at www.virtualshareholdermeeting.com/EXFY2022</w:t>
      </w:r>
    </w:p>
    <w:p>
      <w:pPr>
        <w:spacing w:after="0" w:line="27" w:lineRule="exact"/>
        <w:rPr>
          <w:sz w:val="20"/>
          <w:szCs w:val="20"/>
          <w:color w:val="auto"/>
        </w:rPr>
      </w:pPr>
    </w:p>
    <w:p>
      <w:pPr>
        <w:ind w:left="326" w:right="300" w:hanging="326"/>
        <w:spacing w:after="0" w:line="233" w:lineRule="auto"/>
        <w:tabs>
          <w:tab w:leader="none" w:pos="341"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the eight nominees named in this Proxy Statement to serve on our Board of Directors.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each nominee.</w:t>
      </w:r>
    </w:p>
    <w:p>
      <w:pPr>
        <w:spacing w:after="0" w:line="112" w:lineRule="exact"/>
        <w:rPr>
          <w:rFonts w:ascii="Arial" w:cs="Arial" w:eastAsia="Arial" w:hAnsi="Arial"/>
          <w:sz w:val="18"/>
          <w:szCs w:val="18"/>
          <w:color w:val="auto"/>
        </w:rPr>
      </w:pPr>
    </w:p>
    <w:p>
      <w:pPr>
        <w:ind w:left="326" w:right="60" w:hanging="326"/>
        <w:spacing w:after="0" w:line="236" w:lineRule="auto"/>
        <w:tabs>
          <w:tab w:leader="none" w:pos="327"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ended December 31, 2022. The Executive Committee on behalf of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85" w:lineRule="exact"/>
        <w:rPr>
          <w:rFonts w:ascii="Arial" w:cs="Arial" w:eastAsia="Arial" w:hAnsi="Arial"/>
          <w:sz w:val="18"/>
          <w:szCs w:val="18"/>
          <w:color w:val="auto"/>
        </w:rPr>
      </w:pPr>
    </w:p>
    <w:p>
      <w:pPr>
        <w:ind w:left="326" w:right="20" w:hanging="326"/>
        <w:spacing w:after="0" w:line="225" w:lineRule="auto"/>
        <w:tabs>
          <w:tab w:leader="none" w:pos="31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which may properly come before the 2022 Annual Meeting of Stockholders (the “Annual Meeting”) or any adjournment or postponement. In addition to the business to be transacted as described above, management will speak on our developments over the past year and respond to questions of general interest to stockholders.</w:t>
      </w:r>
    </w:p>
    <w:p>
      <w:pPr>
        <w:spacing w:after="0" w:line="101" w:lineRule="exact"/>
        <w:rPr>
          <w:sz w:val="20"/>
          <w:szCs w:val="20"/>
          <w:color w:val="auto"/>
        </w:rPr>
      </w:pPr>
    </w:p>
    <w:p>
      <w:pPr>
        <w:ind w:left="6" w:right="60"/>
        <w:spacing w:after="0" w:line="256" w:lineRule="auto"/>
        <w:rPr>
          <w:sz w:val="20"/>
          <w:szCs w:val="20"/>
          <w:color w:val="auto"/>
        </w:rPr>
      </w:pPr>
      <w:r>
        <w:rPr>
          <w:rFonts w:ascii="Arial" w:cs="Arial" w:eastAsia="Arial" w:hAnsi="Arial"/>
          <w:sz w:val="18"/>
          <w:szCs w:val="18"/>
          <w:color w:val="auto"/>
        </w:rPr>
        <w:t>Only stockholders of record as of the close of business on April 25, 2022 will be entitled to notice of, and to vote at the Annual Meeting.</w:t>
      </w:r>
    </w:p>
    <w:p>
      <w:pPr>
        <w:spacing w:after="0" w:line="31" w:lineRule="exact"/>
        <w:rPr>
          <w:sz w:val="20"/>
          <w:szCs w:val="20"/>
          <w:color w:val="auto"/>
        </w:rPr>
      </w:pPr>
    </w:p>
    <w:p>
      <w:pPr>
        <w:sectPr>
          <w:pgSz w:w="11900" w:h="16838" w:orient="portrait"/>
          <w:cols w:equalWidth="0" w:num="2">
            <w:col w:w="2114" w:space="720"/>
            <w:col w:w="8346"/>
          </w:cols>
          <w:pgMar w:left="320" w:top="121" w:right="39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As permitted by the rules of the Securities and Exchange Commission, we have elected to furnish our proxy materials to stockholders by</w:t>
      </w:r>
    </w:p>
    <w:p>
      <w:pPr>
        <w:ind w:left="20" w:right="20"/>
        <w:spacing w:after="0" w:line="221" w:lineRule="auto"/>
        <w:rPr>
          <w:sz w:val="20"/>
          <w:szCs w:val="20"/>
          <w:color w:val="auto"/>
        </w:rPr>
      </w:pPr>
      <w:r>
        <w:rPr>
          <w:rFonts w:ascii="Arial" w:cs="Arial" w:eastAsia="Arial" w:hAnsi="Arial"/>
          <w:sz w:val="18"/>
          <w:szCs w:val="18"/>
          <w:color w:val="auto"/>
        </w:rPr>
        <w:t>providing access to the materials on the internet. Accordingly, we are sending our stockholders a Notice of Internet Availability of Proxy Materials (the “Notice”) rather than a paper set of the proxy materials. The Notice includes instructions on how to access our proxy materials over the internet, as well as how to request the materials in paper form.</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Your vote is important. We encourage you to vote by proxy in advance of the meeting, whether or not you plan to attend the virtual</w:t>
      </w:r>
    </w:p>
    <w:p>
      <w:pPr>
        <w:spacing w:after="0" w:line="12" w:lineRule="exact"/>
        <w:rPr>
          <w:sz w:val="20"/>
          <w:szCs w:val="20"/>
          <w:color w:val="auto"/>
        </w:rPr>
      </w:pPr>
    </w:p>
    <w:p>
      <w:pPr>
        <w:ind w:left="20" w:right="300"/>
        <w:spacing w:after="0" w:line="234" w:lineRule="auto"/>
        <w:rPr>
          <w:sz w:val="20"/>
          <w:szCs w:val="20"/>
          <w:color w:val="auto"/>
        </w:rPr>
      </w:pPr>
      <w:r>
        <w:rPr>
          <w:rFonts w:ascii="Arial" w:cs="Arial" w:eastAsia="Arial" w:hAnsi="Arial"/>
          <w:sz w:val="18"/>
          <w:szCs w:val="18"/>
          <w:b w:val="1"/>
          <w:bCs w:val="1"/>
          <w:color w:val="auto"/>
        </w:rPr>
        <w:t>meeting. The Notice includes instructions on how to vote, including by internet or telephone. If you hold your shares through a brokerage firm, bank, broker-dealer or other nominee, please follow the instructions you receive from them.</w:t>
      </w:r>
    </w:p>
    <w:p>
      <w:pPr>
        <w:spacing w:after="0" w:line="348" w:lineRule="exact"/>
        <w:rPr>
          <w:sz w:val="20"/>
          <w:szCs w:val="20"/>
          <w:color w:val="auto"/>
        </w:rPr>
      </w:pPr>
    </w:p>
    <w:p>
      <w:pPr>
        <w:jc w:val="center"/>
        <w:ind w:left="380" w:right="40"/>
        <w:spacing w:after="0" w:line="26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22, 2022</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notice of the Annual Meeting, the Proxy Statement and the form of proxy are being distributed and made available on or about April 29,</w:t>
      </w:r>
    </w:p>
    <w:p>
      <w:pPr>
        <w:ind w:left="20" w:right="360"/>
        <w:spacing w:after="0" w:line="229" w:lineRule="auto"/>
        <w:rPr>
          <w:sz w:val="20"/>
          <w:szCs w:val="20"/>
          <w:color w:val="auto"/>
        </w:rPr>
      </w:pPr>
      <w:r>
        <w:rPr>
          <w:rFonts w:ascii="Arial" w:cs="Arial" w:eastAsia="Arial" w:hAnsi="Arial"/>
          <w:sz w:val="18"/>
          <w:szCs w:val="18"/>
          <w:color w:val="auto"/>
        </w:rPr>
        <w:t>2022. This Proxy Statement and our Annual Report on Form 10-K for the year ended December 31, 2021 (the “Annual Report”) are also available on our website, investors.expensify.com, as well as proxyvote.com.</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17780</wp:posOffset>
            </wp:positionV>
            <wp:extent cx="1285875"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Cole Eason</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Secretary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29, 2022</w:t>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040" w:type="dxa"/>
            <w:vAlign w:val="bottom"/>
            <w:gridSpan w:val="3"/>
          </w:tcPr>
          <w:p>
            <w:pPr>
              <w:ind w:left="2620"/>
              <w:spacing w:after="0"/>
              <w:rPr>
                <w:sz w:val="20"/>
                <w:szCs w:val="20"/>
                <w:color w:val="auto"/>
              </w:rPr>
            </w:pPr>
            <w:r>
              <w:rPr>
                <w:rFonts w:ascii="Arial" w:cs="Arial" w:eastAsia="Arial" w:hAnsi="Arial"/>
                <w:sz w:val="18"/>
                <w:szCs w:val="18"/>
                <w:b w:val="1"/>
                <w:bCs w:val="1"/>
                <w:color w:val="auto"/>
                <w:w w:val="92"/>
              </w:rPr>
              <w:t>Page</w:t>
            </w:r>
          </w:p>
        </w:tc>
      </w:tr>
      <w:tr>
        <w:trPr>
          <w:trHeight w:val="194"/>
        </w:trPr>
        <w:tc>
          <w:tcPr>
            <w:tcW w:w="1600" w:type="dxa"/>
            <w:vAlign w:val="bottom"/>
            <w:gridSpan w:val="2"/>
          </w:tcPr>
          <w:p>
            <w:pPr>
              <w:spacing w:after="0" w:line="195" w:lineRule="exact"/>
              <w:rPr>
                <w:sz w:val="20"/>
                <w:szCs w:val="20"/>
                <w:color w:val="auto"/>
              </w:rPr>
            </w:pPr>
            <w:r>
              <w:rPr>
                <w:rFonts w:ascii="Arial" w:cs="Arial" w:eastAsia="Arial" w:hAnsi="Arial"/>
                <w:sz w:val="18"/>
                <w:szCs w:val="18"/>
                <w:color w:val="0000FF"/>
                <w:w w:val="99"/>
              </w:rPr>
              <w:t>General Information</w:t>
            </w:r>
          </w:p>
        </w:tc>
        <w:tc>
          <w:tcPr>
            <w:tcW w:w="6180" w:type="dxa"/>
            <w:vAlign w:val="bottom"/>
            <w:gridSpan w:val="10"/>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1</w:t>
            </w:r>
          </w:p>
        </w:tc>
        <w:tc>
          <w:tcPr>
            <w:tcW w:w="160" w:type="dxa"/>
            <w:vAlign w:val="bottom"/>
          </w:tcPr>
          <w:p>
            <w:pPr>
              <w:spacing w:after="0"/>
              <w:rPr>
                <w:sz w:val="16"/>
                <w:szCs w:val="16"/>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580" w:type="dxa"/>
            <w:vAlign w:val="bottom"/>
            <w:gridSpan w:val="6"/>
          </w:tcPr>
          <w:p>
            <w:pPr>
              <w:spacing w:after="0"/>
              <w:rPr>
                <w:sz w:val="20"/>
                <w:szCs w:val="20"/>
                <w:color w:val="auto"/>
              </w:rPr>
            </w:pPr>
            <w:r>
              <w:rPr>
                <w:rFonts w:ascii="Arial" w:cs="Arial" w:eastAsia="Arial" w:hAnsi="Arial"/>
                <w:sz w:val="18"/>
                <w:szCs w:val="18"/>
                <w:color w:val="0000FF"/>
                <w:w w:val="99"/>
              </w:rPr>
              <w:t>Proposal 1: Election of Directors</w:t>
            </w:r>
          </w:p>
        </w:tc>
        <w:tc>
          <w:tcPr>
            <w:tcW w:w="5200" w:type="dxa"/>
            <w:vAlign w:val="bottom"/>
            <w:gridSpan w:val="6"/>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160" w:type="dxa"/>
            <w:vAlign w:val="bottom"/>
          </w:tcPr>
          <w:p>
            <w:pPr>
              <w:spacing w:after="0"/>
              <w:rPr>
                <w:sz w:val="18"/>
                <w:szCs w:val="18"/>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800" w:type="dxa"/>
            <w:vAlign w:val="bottom"/>
            <w:gridSpan w:val="3"/>
          </w:tcPr>
          <w:p>
            <w:pPr>
              <w:spacing w:after="0"/>
              <w:rPr>
                <w:sz w:val="20"/>
                <w:szCs w:val="20"/>
                <w:color w:val="auto"/>
              </w:rPr>
            </w:pPr>
            <w:r>
              <w:rPr>
                <w:rFonts w:ascii="Arial" w:cs="Arial" w:eastAsia="Arial" w:hAnsi="Arial"/>
                <w:sz w:val="18"/>
                <w:szCs w:val="18"/>
                <w:color w:val="0000FF"/>
                <w:w w:val="96"/>
              </w:rPr>
              <w:t>Corporate Governance</w:t>
            </w:r>
          </w:p>
        </w:tc>
        <w:tc>
          <w:tcPr>
            <w:tcW w:w="780" w:type="dxa"/>
            <w:vAlign w:val="bottom"/>
            <w:gridSpan w:val="3"/>
          </w:tcPr>
          <w:p>
            <w:pPr>
              <w:spacing w:after="0"/>
              <w:rPr>
                <w:sz w:val="18"/>
                <w:szCs w:val="18"/>
                <w:color w:val="auto"/>
              </w:rPr>
            </w:pPr>
          </w:p>
        </w:tc>
        <w:tc>
          <w:tcPr>
            <w:tcW w:w="5200" w:type="dxa"/>
            <w:vAlign w:val="bottom"/>
            <w:gridSpan w:val="6"/>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160" w:type="dxa"/>
            <w:vAlign w:val="bottom"/>
          </w:tcPr>
          <w:p>
            <w:pPr>
              <w:spacing w:after="0"/>
              <w:rPr>
                <w:sz w:val="18"/>
                <w:szCs w:val="18"/>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180" w:type="dxa"/>
            <w:vAlign w:val="bottom"/>
            <w:gridSpan w:val="8"/>
          </w:tcPr>
          <w:p>
            <w:pPr>
              <w:spacing w:after="0"/>
              <w:rPr>
                <w:sz w:val="20"/>
                <w:szCs w:val="20"/>
                <w:color w:val="auto"/>
              </w:rPr>
            </w:pPr>
            <w:r>
              <w:rPr>
                <w:rFonts w:ascii="Arial" w:cs="Arial" w:eastAsia="Arial" w:hAnsi="Arial"/>
                <w:sz w:val="18"/>
                <w:szCs w:val="18"/>
                <w:color w:val="0000FF"/>
                <w:w w:val="99"/>
              </w:rPr>
              <w:t>Environmental, Social, and Governance</w:t>
            </w:r>
          </w:p>
        </w:tc>
        <w:tc>
          <w:tcPr>
            <w:tcW w:w="4600" w:type="dxa"/>
            <w:vAlign w:val="bottom"/>
            <w:gridSpan w:val="4"/>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14</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7780" w:type="dxa"/>
            <w:vAlign w:val="bottom"/>
            <w:gridSpan w:val="12"/>
          </w:tcPr>
          <w:p>
            <w:pPr>
              <w:spacing w:after="0"/>
              <w:rPr>
                <w:sz w:val="20"/>
                <w:szCs w:val="20"/>
                <w:color w:val="auto"/>
              </w:rPr>
            </w:pPr>
            <w:r>
              <w:rPr>
                <w:rFonts w:ascii="Arial" w:cs="Arial" w:eastAsia="Arial" w:hAnsi="Arial"/>
                <w:sz w:val="18"/>
                <w:szCs w:val="18"/>
                <w:color w:val="0000FF"/>
              </w:rPr>
              <w:t>Proposal 2: Ratification of Independent Auditor</w:t>
            </w: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16</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720" w:type="dxa"/>
            <w:vAlign w:val="bottom"/>
            <w:gridSpan w:val="9"/>
          </w:tcPr>
          <w:p>
            <w:pPr>
              <w:spacing w:after="0"/>
              <w:rPr>
                <w:sz w:val="20"/>
                <w:szCs w:val="20"/>
                <w:color w:val="auto"/>
              </w:rPr>
            </w:pPr>
            <w:r>
              <w:rPr>
                <w:rFonts w:ascii="Arial" w:cs="Arial" w:eastAsia="Arial" w:hAnsi="Arial"/>
                <w:sz w:val="18"/>
                <w:szCs w:val="18"/>
                <w:color w:val="0000FF"/>
              </w:rPr>
              <w:t>Audit Committee Report</w:t>
            </w:r>
          </w:p>
        </w:tc>
        <w:tc>
          <w:tcPr>
            <w:tcW w:w="4060" w:type="dxa"/>
            <w:vAlign w:val="bottom"/>
            <w:gridSpan w:val="3"/>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17</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2000" w:type="dxa"/>
            <w:vAlign w:val="bottom"/>
            <w:gridSpan w:val="5"/>
          </w:tcPr>
          <w:p>
            <w:pPr>
              <w:spacing w:after="0"/>
              <w:rPr>
                <w:sz w:val="20"/>
                <w:szCs w:val="20"/>
                <w:color w:val="auto"/>
              </w:rPr>
            </w:pPr>
            <w:r>
              <w:rPr>
                <w:rFonts w:ascii="Arial" w:cs="Arial" w:eastAsia="Arial" w:hAnsi="Arial"/>
                <w:sz w:val="18"/>
                <w:szCs w:val="18"/>
                <w:color w:val="0000FF"/>
                <w:w w:val="99"/>
              </w:rPr>
              <w:t>Executive Compensation</w:t>
            </w:r>
          </w:p>
        </w:tc>
        <w:tc>
          <w:tcPr>
            <w:tcW w:w="5780" w:type="dxa"/>
            <w:vAlign w:val="bottom"/>
            <w:gridSpan w:val="7"/>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18</w:t>
            </w:r>
          </w:p>
        </w:tc>
      </w:tr>
      <w:tr>
        <w:trPr>
          <w:trHeight w:val="20"/>
        </w:trPr>
        <w:tc>
          <w:tcPr>
            <w:tcW w:w="11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2000" w:type="dxa"/>
            <w:vAlign w:val="bottom"/>
            <w:gridSpan w:val="5"/>
          </w:tcPr>
          <w:p>
            <w:pPr>
              <w:spacing w:after="0"/>
              <w:rPr>
                <w:sz w:val="20"/>
                <w:szCs w:val="20"/>
                <w:color w:val="auto"/>
              </w:rPr>
            </w:pPr>
            <w:r>
              <w:rPr>
                <w:rFonts w:ascii="Arial" w:cs="Arial" w:eastAsia="Arial" w:hAnsi="Arial"/>
                <w:sz w:val="18"/>
                <w:szCs w:val="18"/>
                <w:color w:val="0000FF"/>
              </w:rPr>
              <w:t>Director Compensation</w:t>
            </w:r>
          </w:p>
        </w:tc>
        <w:tc>
          <w:tcPr>
            <w:tcW w:w="5780" w:type="dxa"/>
            <w:vAlign w:val="bottom"/>
            <w:gridSpan w:val="7"/>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22</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7780" w:type="dxa"/>
            <w:vAlign w:val="bottom"/>
            <w:gridSpan w:val="12"/>
          </w:tcPr>
          <w:p>
            <w:pPr>
              <w:spacing w:after="0"/>
              <w:rPr>
                <w:sz w:val="20"/>
                <w:szCs w:val="20"/>
                <w:color w:val="auto"/>
              </w:rPr>
            </w:pPr>
            <w:r>
              <w:rPr>
                <w:rFonts w:ascii="Arial" w:cs="Arial" w:eastAsia="Arial" w:hAnsi="Arial"/>
                <w:sz w:val="18"/>
                <w:szCs w:val="18"/>
                <w:color w:val="0000FF"/>
              </w:rPr>
              <w:t>Stock Ownership of Certain Beneficial Owners and Management</w:t>
            </w: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24</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4280" w:type="dxa"/>
            <w:vAlign w:val="bottom"/>
            <w:gridSpan w:val="10"/>
          </w:tcPr>
          <w:p>
            <w:pPr>
              <w:spacing w:after="0"/>
              <w:rPr>
                <w:sz w:val="20"/>
                <w:szCs w:val="20"/>
                <w:color w:val="auto"/>
              </w:rPr>
            </w:pPr>
            <w:r>
              <w:rPr>
                <w:rFonts w:ascii="Arial" w:cs="Arial" w:eastAsia="Arial" w:hAnsi="Arial"/>
                <w:sz w:val="18"/>
                <w:szCs w:val="18"/>
                <w:color w:val="0000FF"/>
                <w:w w:val="99"/>
              </w:rPr>
              <w:t>Certain Relationships and Related Party Transactions</w:t>
            </w:r>
          </w:p>
        </w:tc>
        <w:tc>
          <w:tcPr>
            <w:tcW w:w="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27</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4280" w:type="dxa"/>
            <w:vAlign w:val="bottom"/>
            <w:gridSpan w:val="10"/>
          </w:tcPr>
          <w:p>
            <w:pPr>
              <w:spacing w:after="0"/>
              <w:rPr>
                <w:sz w:val="20"/>
                <w:szCs w:val="20"/>
                <w:color w:val="auto"/>
              </w:rPr>
            </w:pPr>
            <w:r>
              <w:rPr>
                <w:rFonts w:ascii="Arial" w:cs="Arial" w:eastAsia="Arial" w:hAnsi="Arial"/>
                <w:sz w:val="18"/>
                <w:szCs w:val="18"/>
                <w:color w:val="0000FF"/>
              </w:rPr>
              <w:t>Stockholder Proposals</w:t>
            </w:r>
          </w:p>
        </w:tc>
        <w:tc>
          <w:tcPr>
            <w:tcW w:w="3500" w:type="dxa"/>
            <w:vAlign w:val="bottom"/>
            <w:gridSpan w:val="2"/>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30</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7780" w:type="dxa"/>
            <w:vAlign w:val="bottom"/>
            <w:gridSpan w:val="12"/>
          </w:tcPr>
          <w:p>
            <w:pPr>
              <w:spacing w:after="0"/>
              <w:rPr>
                <w:sz w:val="20"/>
                <w:szCs w:val="20"/>
                <w:color w:val="auto"/>
              </w:rPr>
            </w:pPr>
            <w:r>
              <w:rPr>
                <w:rFonts w:ascii="Arial" w:cs="Arial" w:eastAsia="Arial" w:hAnsi="Arial"/>
                <w:sz w:val="18"/>
                <w:szCs w:val="18"/>
                <w:color w:val="0000FF"/>
              </w:rPr>
              <w:t>Delinquent Section 16(a) Reports</w:t>
            </w: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30</w:t>
            </w:r>
          </w:p>
        </w:tc>
      </w:tr>
      <w:tr>
        <w:trPr>
          <w:trHeight w:val="20"/>
        </w:trPr>
        <w:tc>
          <w:tcPr>
            <w:tcW w:w="110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2660" w:type="dxa"/>
            <w:vAlign w:val="bottom"/>
            <w:gridSpan w:val="7"/>
          </w:tcPr>
          <w:p>
            <w:pPr>
              <w:spacing w:after="0"/>
              <w:rPr>
                <w:sz w:val="20"/>
                <w:szCs w:val="20"/>
                <w:color w:val="auto"/>
              </w:rPr>
            </w:pPr>
            <w:r>
              <w:rPr>
                <w:rFonts w:ascii="Arial" w:cs="Arial" w:eastAsia="Arial" w:hAnsi="Arial"/>
                <w:sz w:val="18"/>
                <w:szCs w:val="18"/>
                <w:color w:val="0000FF"/>
              </w:rPr>
              <w:t>Other Matters</w:t>
            </w:r>
          </w:p>
        </w:tc>
        <w:tc>
          <w:tcPr>
            <w:tcW w:w="5120" w:type="dxa"/>
            <w:vAlign w:val="bottom"/>
            <w:gridSpan w:val="5"/>
          </w:tcPr>
          <w:p>
            <w:pPr>
              <w:spacing w:after="0"/>
              <w:rPr>
                <w:sz w:val="18"/>
                <w:szCs w:val="18"/>
                <w:color w:val="auto"/>
              </w:rPr>
            </w:pPr>
          </w:p>
        </w:tc>
        <w:tc>
          <w:tcPr>
            <w:tcW w:w="3040" w:type="dxa"/>
            <w:vAlign w:val="bottom"/>
            <w:gridSpan w:val="3"/>
          </w:tcPr>
          <w:p>
            <w:pPr>
              <w:jc w:val="center"/>
              <w:ind w:left="2550"/>
              <w:spacing w:after="0"/>
              <w:rPr>
                <w:sz w:val="20"/>
                <w:szCs w:val="20"/>
                <w:color w:val="auto"/>
              </w:rPr>
            </w:pPr>
            <w:r>
              <w:rPr>
                <w:rFonts w:ascii="Arial" w:cs="Arial" w:eastAsia="Arial" w:hAnsi="Arial"/>
                <w:sz w:val="18"/>
                <w:szCs w:val="18"/>
                <w:color w:val="0000FF"/>
                <w:w w:val="99"/>
              </w:rPr>
              <w:t>30</w:t>
            </w:r>
          </w:p>
        </w:tc>
      </w:tr>
      <w:tr>
        <w:trPr>
          <w:trHeight w:val="20"/>
        </w:trPr>
        <w:tc>
          <w:tcPr>
            <w:tcW w:w="1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0840"/>
          </w:cols>
          <w:pgMar w:left="320" w:top="122" w:right="7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w:t>
      </w:r>
    </w:p>
    <w:p>
      <w:pPr>
        <w:spacing w:after="0" w:line="3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Directors” or the “Board”) of Expensify, Inc., a Delaware corporation, for use at the 2022 Annual Meeting of Stockholders (the “Annual Meeting”). The Annual Meeting will take place virtually at www.virtualshareholdermeeting.com/EXFY2022 on Wednesday, June 22, 2022 at 10:00 a.m. (Pacific Time). You will not be able to attend in person. This Proxy Statement and related materials are first being mailed to stockholders on or about April 29, 2022. References in this Proxy Statement to “we,” “us,” “our” or the “Company” refer to Expensify, Inc. and its consolidated subsidiaries. When we refer to the Company’s fiscal year, we mean the annual period ended on December 31. This Proxy Statement covers our 2021 fiscal year, which was from January 1, 2021 through December 31, 2021 (“fiscal 2021”). Certain information contained in this Proxy Statement is incorporated by reference into Part III of our Annual Report on Form 10-K for the fiscal year ended December 31, 2021, as filed by the Company with the U.S. Securities and Exchange Commission (the “SEC”) on March 31, 2022 (the “Annual Report”).</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References to the “IPO” refer to the initial public offering of our Class A common stock in November 2021. We use the term “LT Holders” herein to refer to our current and former employees and service providers who hold shares of our LT10 common stock and/or our LT50 common stock through a voting trust (the “Voting Trust”) governed by a trust agreement, dated November 9, 2021, by and among the Company, each LT Holder and the trustees named therein (the “Voting Trust Agreement”). All outstanding shares of our LT10 common stock and LT50 common stock are held directly by the Voting Trust.</w:t>
      </w:r>
    </w:p>
    <w:p>
      <w:pPr>
        <w:spacing w:after="0" w:line="112" w:lineRule="exact"/>
        <w:rPr>
          <w:sz w:val="20"/>
          <w:szCs w:val="20"/>
          <w:color w:val="auto"/>
        </w:rPr>
      </w:pPr>
    </w:p>
    <w:p>
      <w:pPr>
        <w:ind w:right="1960"/>
        <w:spacing w:after="0" w:line="414" w:lineRule="auto"/>
        <w:rPr>
          <w:sz w:val="20"/>
          <w:szCs w:val="20"/>
          <w:color w:val="auto"/>
        </w:rPr>
      </w:pPr>
      <w:r>
        <w:rPr>
          <w:rFonts w:ascii="Arial" w:cs="Arial" w:eastAsia="Arial" w:hAnsi="Arial"/>
          <w:sz w:val="18"/>
          <w:szCs w:val="18"/>
          <w:color w:val="auto"/>
        </w:rPr>
        <w:t xml:space="preserve">Below are answers to common questions stockholders may have about the Proxy Materials and the Annual Meeting. </w:t>
      </w:r>
      <w:r>
        <w:rPr>
          <w:rFonts w:ascii="Arial" w:cs="Arial" w:eastAsia="Arial" w:hAnsi="Arial"/>
          <w:sz w:val="18"/>
          <w:szCs w:val="18"/>
          <w:b w:val="1"/>
          <w:bCs w:val="1"/>
          <w:i w:val="1"/>
          <w:iCs w:val="1"/>
          <w:color w:val="auto"/>
        </w:rPr>
        <w:t>What are the Proxy Materials?</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“Proxy Materials” are a reference to Proxy Statement and our Annual Report. If you request printed versions of the Proxy Materials, and you are entitled to vote at the Annual Meeting, you will also receive a proxy card.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instead of a full set of materials?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rules adopted by the SEC, we are electing to furnish the Proxy Materials to our stockholders by providing access to the Proxy Materials on the internet, rather than mailing printed copies. If you received a Notice of Internet Availability of Proxy Materials (the “Notice”) by mail, you will not receive printed copies of the Proxy Materials unless you request them. Instead, the Notice will instruct you how to access and review the Proxy Materials on the internet. If you would like printed copies of the Proxy Materials, please follow the instructions in the Notice.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are you holding a virtual Annual Meeting?</w:t>
      </w:r>
    </w:p>
    <w:p>
      <w:pPr>
        <w:spacing w:after="0" w:line="15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believe holding our Annual Meeting via live webcast is an environmentally friendly way to provide expanded access, improved communication and cost savings for us and our stockholders. The virtual meeting provides the same rights to participate as an in-person meeting. Stockholders will not be permitted to physically attend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participate in the Annual Meeting?</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Persons with evidence of stock ownership as of the Record Date (as defined below), including both stockholders of record and stockholders whose shares are held in street name (as described below), can participate in the Annual Meeting by visiting www.virtualshareholdermeeting.com/EXFY2022. You will need the 16-digit control number included on your Notice, on your proxy card or on the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that accompany your Proxy Materials. If you do not have a control number, please contact your brokerage firm, bank, broker-dealer or other nominee as soon as possible so that you can be provided with one. You may also submit questions in advance of the Annual Meeting by visiting www.proxyvote.com and entering your control number. Additional information regarding stockholder questions and participation, rules, procedures and technical support can be viewed 15 minutes prior to the meeting at www.virtualshareholdermeeting.com/EXFY2022.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may vote at the meeting?</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Holders of our Class A common stock, LT10 common stock and LT50 common stock as of the close of business on April 25, 2022 (the “Record Date”) may vote at the Annual Meeting. Pursuant to the Voting Trust Agreement, each LT Holder has agreed that the trustees of the Voting Trust (the “Trustees”), currently David Barrett, Ryan Schaffer and Jason Mills, have full authority to vote his or her shares on all matters in the Trustees’ sole and absolute discretion. </w:t>
      </w:r>
      <w:r>
        <w:rPr>
          <w:rFonts w:ascii="Arial" w:cs="Arial" w:eastAsia="Arial" w:hAnsi="Arial"/>
          <w:sz w:val="18"/>
          <w:szCs w:val="18"/>
          <w:b w:val="1"/>
          <w:bCs w:val="1"/>
          <w:u w:val="single" w:color="auto"/>
          <w:color w:val="auto"/>
        </w:rPr>
        <w:t>Because all outstanding shares of LT10 common stock and LT50 common stock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are held by the Voting Trust and voted by the Trustees of the Voting Trust, individual LT Holders will not receive proxy cards and are not eligible to cast votes at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1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Pursuant to the Voting Trust Agreement, each LT Holder has agreed that the Trustees of the Voting Trust have full authority to vote his or her shares on all matters in the Trustees’ sole and absolute discretion. </w:t>
      </w:r>
      <w:r>
        <w:rPr>
          <w:rFonts w:ascii="Arial" w:cs="Arial" w:eastAsia="Arial" w:hAnsi="Arial"/>
          <w:sz w:val="18"/>
          <w:szCs w:val="18"/>
          <w:b w:val="1"/>
          <w:bCs w:val="1"/>
          <w:u w:val="single" w:color="auto"/>
          <w:color w:val="auto"/>
        </w:rPr>
        <w:t>Because all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outstanding shares of LT10 common stock and LT50 common stock are held by the Voting Trust and voted by the Trustees of the Voting Trust, individual LT Holders will not receive proxy cards and are not eligible to cast votes at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items will be voted on at the Annual Meeting and how does the Board of Directors recommend that I vote?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to be voted on at the Annual Meeting:</w:t>
      </w:r>
    </w:p>
    <w:p>
      <w:pPr>
        <w:spacing w:after="0" w:line="144"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eight directors to our Board of Directors; and</w:t>
      </w:r>
    </w:p>
    <w:p>
      <w:pPr>
        <w:spacing w:after="0" w:line="157" w:lineRule="exact"/>
        <w:rPr>
          <w:rFonts w:ascii="Arial" w:cs="Arial" w:eastAsia="Arial" w:hAnsi="Arial"/>
          <w:sz w:val="18"/>
          <w:szCs w:val="18"/>
          <w:color w:val="auto"/>
        </w:rPr>
      </w:pPr>
    </w:p>
    <w:p>
      <w:pPr>
        <w:ind w:left="660" w:right="120" w:hanging="328"/>
        <w:spacing w:after="0" w:line="287"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(“EY”) as our independent registered public accounting firm for the fiscal year ending December 31, 2022.</w:t>
      </w:r>
    </w:p>
    <w:p>
      <w:pPr>
        <w:spacing w:after="0" w:line="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Executive Committee on behalf of 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each nominee as a Director and “</w:t>
      </w:r>
      <w:r>
        <w:rPr>
          <w:rFonts w:ascii="Arial" w:cs="Arial" w:eastAsia="Arial" w:hAnsi="Arial"/>
          <w:sz w:val="18"/>
          <w:szCs w:val="18"/>
          <w:b w:val="1"/>
          <w:bCs w:val="1"/>
          <w:color w:val="auto"/>
        </w:rPr>
        <w:t>FOR</w:t>
      </w:r>
      <w:r>
        <w:rPr>
          <w:rFonts w:ascii="Arial" w:cs="Arial" w:eastAsia="Arial" w:hAnsi="Arial"/>
          <w:sz w:val="18"/>
          <w:szCs w:val="18"/>
          <w:color w:val="auto"/>
        </w:rPr>
        <w:t>” Proposal 2. Our amended and restated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Executive Committee on behalf of our Board of Directors will have discretion to vote the shares subject to such proxies on those matters.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for each proposal?</w:t>
      </w:r>
    </w:p>
    <w:p>
      <w:pPr>
        <w:spacing w:after="0" w:line="15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Proposal 1, each director must be elected by a plurality of the votes cast. This means that the nominees receiving the largest number of “for” votes will be elected as directors. We do not have cumulative voting.</w:t>
      </w:r>
    </w:p>
    <w:p>
      <w:pPr>
        <w:spacing w:after="0" w:line="8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Proposal 2, the ratification of our independent registered public accounting firm for the fiscal year ending December 31, 2022, and any other proposals that may come before the Annual Meeting will be determined by the affirmative vote of the holders of a majority in voting power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Expensify’s multi-class ownership structure and Voting Trust impact the outcome of the Annual Meeting?</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Holders of our Class A common stock are entitled to one vote for each share held as of the Record Date. Holders of our LT10 common stock are entitled to ten votes for each share held as of the Record Date. Holders of our LT50 common stock are entitled to fifty votes for each share held as of the Record Date. Holders of our Class A common stock, LT10 common stock and LT50 common stock will vote as a single class on all matters at the Annual Meeting. At the close of business on the Record Date, we had outstanding and entitled to vote 68,032,660 shares of Class A common stock, 7,331,970 shares of LT10 common stock and 6,224,160 shares of LT50 common stock. All outstanding shares of our LT10 common stock and LT50 common stock are held directly by the Voting Trust, and pursuant to the Voting Trust Agreement, each LT Holder has agreed that the Trustees of the Voting Trust have full authority to vote his or her shares on all matters in the Trustees’ sole and absolute discretion. As a result, the Trustees of the Voting Trust will be entitled to an aggregate of 384,527,700 votes on all matters to be voted upon at the Annual Meeting, representing approximately 85.0% of the total voting power of our outstanding common stock.</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the Voting Trust to vote in favor of each of the nominees for director. As of the Record Date, the Voting Trust held sufficient shares of our common stock to ensure the election of such nominees at the Annual Meeting. We also expect the Voting Trust to vote in favor of the ratification of our independent registered public accounting firm.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abstentions and broker non-votes counted?</w:t>
      </w:r>
    </w:p>
    <w:p>
      <w:pPr>
        <w:spacing w:after="0" w:line="14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Abstentions (shares present at the meeting or represented by proxy that are voted “abstain”) and broker non-votes (explained below) are counted for the purpose of establishing the presence of a quorum, but are not counted as votes cast.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beneficial owner of shares held in street name?</w:t>
      </w:r>
    </w:p>
    <w:p>
      <w:pPr>
        <w:spacing w:after="0" w:line="15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Computershare Trust Company, N.A.,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a stockholder of record. Each LT Holder is not a stockholder of record by virtue of shares he or she beneficially holds through the Voting Trust.</w:t>
      </w:r>
    </w:p>
    <w:p>
      <w:pPr>
        <w:spacing w:after="0" w:line="9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then you are a beneficial owner of shares held in “street name.” The organization holding your account is considered the stockholder of record for purposes of voting at the Annual Meeting. As a beneficial owner, you have the right to direct the organization holding your account on how to vote the shares you hold in your account.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stockholders of record vote?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ways for stockholders of record to vote:</w:t>
      </w:r>
    </w:p>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 Advance</w:t>
      </w:r>
    </w:p>
    <w:p>
      <w:pPr>
        <w:spacing w:after="0" w:line="157" w:lineRule="exact"/>
        <w:rPr>
          <w:rFonts w:ascii="Arial" w:cs="Arial" w:eastAsia="Arial" w:hAnsi="Arial"/>
          <w:sz w:val="18"/>
          <w:szCs w:val="18"/>
          <w:color w:val="auto"/>
        </w:rPr>
      </w:pPr>
    </w:p>
    <w:p>
      <w:pPr>
        <w:ind w:left="1300" w:hanging="418"/>
        <w:spacing w:after="0" w:line="262" w:lineRule="auto"/>
        <w:tabs>
          <w:tab w:leader="none" w:pos="1292"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Via the internet: </w:t>
      </w:r>
      <w:r>
        <w:rPr>
          <w:rFonts w:ascii="Arial" w:cs="Arial" w:eastAsia="Arial" w:hAnsi="Arial"/>
          <w:sz w:val="18"/>
          <w:szCs w:val="18"/>
          <w:color w:val="auto"/>
        </w:rPr>
        <w:t>You may vote via the internet until 11:59 p.m. (Eastern Time) on the day before the Annual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visiting http://www.proxyvote.com and entering the unique control number for your shares located on the Notice of Internet Availability of Proxy Materials. If you submit a proxy over the internet, you do not need to return a written proxy card or voting instructions by mail.</w:t>
      </w:r>
    </w:p>
    <w:p>
      <w:pPr>
        <w:spacing w:after="0" w:line="108" w:lineRule="exact"/>
        <w:rPr>
          <w:rFonts w:ascii="Arial" w:cs="Arial" w:eastAsia="Arial" w:hAnsi="Arial"/>
          <w:sz w:val="18"/>
          <w:szCs w:val="18"/>
          <w:color w:val="auto"/>
        </w:rPr>
      </w:pPr>
    </w:p>
    <w:p>
      <w:pPr>
        <w:ind w:left="1300" w:hanging="466"/>
        <w:spacing w:after="0" w:line="268" w:lineRule="auto"/>
        <w:tabs>
          <w:tab w:leader="none" w:pos="1284"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by phone until 11:59 p.m. (Eastern Time) on the day before the Annual Meeting by calling (800)</w:t>
      </w:r>
      <w:r>
        <w:rPr>
          <w:rFonts w:ascii="Arial" w:cs="Arial" w:eastAsia="Arial" w:hAnsi="Arial"/>
          <w:sz w:val="18"/>
          <w:szCs w:val="18"/>
          <w:b w:val="1"/>
          <w:bCs w:val="1"/>
          <w:color w:val="auto"/>
        </w:rPr>
        <w:t xml:space="preserve"> </w:t>
      </w:r>
      <w:r>
        <w:rPr>
          <w:rFonts w:ascii="Arial" w:cs="Arial" w:eastAsia="Arial" w:hAnsi="Arial"/>
          <w:sz w:val="18"/>
          <w:szCs w:val="18"/>
          <w:color w:val="auto"/>
        </w:rPr>
        <w:t>690-6903. You will need the control number from your Notice of Internet Availability of Proxy Materials. If you submit a proxy by telephone, you do not need to return a written proxy card or voting instructions by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00" w:right="40" w:hanging="513"/>
        <w:spacing w:after="0" w:line="268" w:lineRule="auto"/>
        <w:tabs>
          <w:tab w:leader="none" w:pos="1276"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requested that Proxy Materials be mailed to you, you will receive a proxy card with your Proxy Materials. You</w:t>
      </w:r>
      <w:r>
        <w:rPr>
          <w:rFonts w:ascii="Arial" w:cs="Arial" w:eastAsia="Arial" w:hAnsi="Arial"/>
          <w:sz w:val="18"/>
          <w:szCs w:val="18"/>
          <w:b w:val="1"/>
          <w:bCs w:val="1"/>
          <w:color w:val="auto"/>
        </w:rPr>
        <w:t xml:space="preserve"> </w:t>
      </w:r>
      <w:r>
        <w:rPr>
          <w:rFonts w:ascii="Arial" w:cs="Arial" w:eastAsia="Arial" w:hAnsi="Arial"/>
          <w:sz w:val="18"/>
          <w:szCs w:val="18"/>
          <w:color w:val="auto"/>
        </w:rPr>
        <w:t>may vote by filling out and signing the proxy card and returning it in the envelope provided. The proxy card must be received by 5:00 p.m. (Pacific Time) on the day before the Annual Meeting.</w:t>
      </w:r>
    </w:p>
    <w:p>
      <w:pPr>
        <w:spacing w:after="0" w:line="89" w:lineRule="exact"/>
        <w:rPr>
          <w:rFonts w:ascii="Arial" w:cs="Arial" w:eastAsia="Arial" w:hAnsi="Arial"/>
          <w:sz w:val="18"/>
          <w:szCs w:val="18"/>
          <w:color w:val="auto"/>
        </w:rPr>
      </w:pPr>
    </w:p>
    <w:p>
      <w:pPr>
        <w:ind w:left="660" w:right="580" w:hanging="328"/>
        <w:spacing w:after="0" w:line="268"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You may also vote your shares during the live webcast of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www.virtualshareholdermeeting.com/EXFY2022 and entering the company number and control number from your Notice. Any previous votes that you submitted by mail, telephone or internet will be superseded.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beneficial owners of shares held in street name vote?</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You may also elect to participate in the Annual Meeting via live webcast, through which you may vote online during the Annual Meeting prior to the closing of the polls, and any previous votes that you submitted will be superseded.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submitting a proxy?</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Stockholders of record may revoke their proxy before the Annual Meeting by delivering to the Company’s Secretary a written notice stating that a proxy is revoked, by signing and delivering a proxy bearing a later date, by voting again via the internet or by telephone or by attending and voting during the Annual Meeting.</w:t>
      </w:r>
    </w:p>
    <w:p>
      <w:pPr>
        <w:spacing w:after="0" w:line="103" w:lineRule="exact"/>
        <w:rPr>
          <w:sz w:val="20"/>
          <w:szCs w:val="20"/>
          <w:color w:val="auto"/>
        </w:rPr>
      </w:pPr>
    </w:p>
    <w:p>
      <w:pPr>
        <w:ind w:right="500"/>
        <w:spacing w:after="0" w:line="414" w:lineRule="auto"/>
        <w:rPr>
          <w:sz w:val="20"/>
          <w:szCs w:val="20"/>
          <w:color w:val="auto"/>
        </w:rPr>
      </w:pPr>
      <w:r>
        <w:rPr>
          <w:rFonts w:ascii="Arial" w:cs="Arial" w:eastAsia="Arial" w:hAnsi="Arial"/>
          <w:sz w:val="18"/>
          <w:szCs w:val="18"/>
          <w:color w:val="auto"/>
        </w:rPr>
        <w:t xml:space="preserve">Beneficial owners of shares held in street name who wish to change their votes should contact the organization that holds their shares. </w:t>
      </w:r>
      <w:r>
        <w:rPr>
          <w:rFonts w:ascii="Arial" w:cs="Arial" w:eastAsia="Arial" w:hAnsi="Arial"/>
          <w:sz w:val="18"/>
          <w:szCs w:val="18"/>
          <w:b w:val="1"/>
          <w:bCs w:val="1"/>
          <w:i w:val="1"/>
          <w:iCs w:val="1"/>
          <w:color w:val="auto"/>
        </w:rPr>
        <w:t>If I hold shares in street name through a broker, can the broker vote my shares for me?</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Proposal 1 is not considered a “routine” proposal. Proposal 2 is a “routine” proposal. If you hold shares in street name and do not vote on Proposal 1, your shares will be counted as “broker non-votes.” Because Proposal 2 is considered “routine,” brokerage firms, banks, broker-dealers and other nominees have discretionary authority to vote without receiving instructions.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4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Presence at the Annual Meeting, virtually or by proxy, of the holders of a majority in voting power of the stock issued and outstanding and entitled to vote at the Annual Meeting will constitute a quorum, permitting the Annual Meeting to proceed and business to be conducted. Proxies received but with items marked as abstentions or containing broker non-votes will be included in the calculation of the number of votes considered to be present at the meeting for purposes of determining whether a quorum is present.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is paying the costs of the solicitation of proxies. Members of our Board and officers and employees may solicit proxies by mail, telephone, fax, email or in person. We will not pay directors, officers or employees any extra amounts for soliciting proxies. We may, upon request, reimburse brokerage firms, banks, broker-dealers or other nominees representing street name holders for their expenses in forwarding Proxy Materials to their customers who are street name holders and obtaining their voting instructions.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1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Representatives of Broadridge Investor Communications Services (“Broadridge”) will tabulate the votes, and a representative of Broadridge will act as inspector of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w:t>
      </w:r>
    </w:p>
    <w:p>
      <w:pPr>
        <w:spacing w:after="0" w:line="14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will file a Current Report on Form 8-K with the SEC including the final voting results from the Annual Meeting within four business days of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share an address with another stockholder. Why did we receive only one set of Proxy Materials?</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Some brokerage firms, banks, broker-dealers and other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brokerage firm, bank, broker-dealer or other nominee that holds your shares.</w:t>
      </w:r>
    </w:p>
    <w:p>
      <w:pPr>
        <w:spacing w:after="0" w:line="98"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Upon written request, we will promptly deliver a separate copy of the Proxy Materials to any stockholder at a shared address to which a single copy of any of those documents was delivered. To receive a separate copy of the Proxy Materials, you can contact Expensify Investor Relations at investors@expensify.com or by mail at EXFY Investor Relations,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 97204.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should I contact if I have additional questions?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You can contact Expensify Investor Relations at investors@expensify.com. Stockholders who hold their shares in street name should contact the organization that holds their shares for additional information on how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1: Election of Eight Directors</w:t>
      </w:r>
    </w:p>
    <w:p>
      <w:pPr>
        <w:spacing w:after="0" w:line="3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bylaws provide that our Board of Directors shall consist of such number of directors as shall from time to time be fixed by our Board of Directors. Currently, our Board of Directors is composed of eight members, three of whom have been determined by the Executive Committee on behalf of the Board of Directors to be independent directors as defined under the rules of The Nasdaq Stock Market LLC (“Nasdaq”). We do not have a classified board of directors. At each annual meeting of our stockholders, each of our directors will be elected by our stockholders to serve until the next annual meeting of our stockholders and until his or her successor is duly elected and qualified.</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Annual Meeting, the stockholders will vote on the election of the eight director nominees named in this Proxy Statement. Each of the directors elected at the Annual Meeting will hold office until the 2023 Annual Meeting of Stockholders (the “2023 Annual Meeting”) and until his or her successor has been duly elected and qualified. The Board of Directors has nominated Mr. David Barrett, Ms. Anu Muralidharan, Mr. Ryan Schaffer, Mr. Daniel Vidal, Mr. Jason Mills, Mr. Timothy L. Christen, Ms. Ellen Pao and Ms. Ying (Vivian) Liu for re-election to serve as the directors of the Company. The persons named as proxies in the enclosed proxy card will vote to elect each director nominee named in this Proxy Statement unless a stockholder indicates that his or her shares should be withheld with respect to one or more of such nominees.</w:t>
      </w:r>
    </w:p>
    <w:p>
      <w:pPr>
        <w:spacing w:after="0" w:line="11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We expect the Voting Trust to vote in favor of the eight nominees for directors. Please see “Certain Relationships and Related Party Transactions” below for a description of the Voting Trust Agreement.</w:t>
      </w:r>
    </w:p>
    <w:p>
      <w:pPr>
        <w:spacing w:after="0" w:line="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of Directors to fill the vacancy. All of the nominees are currently serving as directors and we do not expect that any of the nominees will be unavailable or will decline to serve.</w:t>
      </w:r>
    </w:p>
    <w:p>
      <w:pPr>
        <w:spacing w:after="0" w:line="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determining that each director should be nominated for re-election, our Board of Directors considered his or her service, business experience, prior directorships, and the qualifications, attributes and skills described in the nominee’s biography set forth below under “Corporate Governance—Executive Officers and Directors.” We believe that our directors provide an appropriate mix of experience and skills relevant to the size and nature of our business.</w:t>
      </w:r>
    </w:p>
    <w:p>
      <w:pPr>
        <w:spacing w:after="0" w:line="109"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auto"/>
        </w:rPr>
        <w:t>Our Executive Committee on behalf of our Board of Directors unanimously recommends that you vote “FOR” the election of each of Mr. Barrett, Mr. Schaffer, Ms. Muralidharan, Mr. Mills, Mr. Vidal, Mr. Christen, Ms. Liu and Ms. Pao.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44"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Below is a list of the names and ages, as of April 29, 2022, of our directors and executive officers, and a description of the business experience of each of them. There are no family relationships among any of our executive officers or directors.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62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9"/>
              </w:rPr>
              <w:t>Age</w:t>
            </w: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218"/>
        </w:trPr>
        <w:tc>
          <w:tcPr>
            <w:tcW w:w="270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45</w:t>
            </w:r>
          </w:p>
        </w:tc>
        <w:tc>
          <w:tcPr>
            <w:tcW w:w="6920" w:type="dxa"/>
            <w:vAlign w:val="bottom"/>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35</w:t>
            </w:r>
          </w:p>
        </w:tc>
        <w:tc>
          <w:tcPr>
            <w:tcW w:w="6920" w:type="dxa"/>
            <w:vAlign w:val="bottom"/>
          </w:tcPr>
          <w:p>
            <w:pPr>
              <w:ind w:left="180"/>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Anu Muralidharan</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39</w:t>
            </w:r>
          </w:p>
        </w:tc>
        <w:tc>
          <w:tcPr>
            <w:tcW w:w="6920" w:type="dxa"/>
            <w:vAlign w:val="bottom"/>
          </w:tcPr>
          <w:p>
            <w:pPr>
              <w:ind w:left="180"/>
              <w:spacing w:after="0"/>
              <w:rPr>
                <w:sz w:val="20"/>
                <w:szCs w:val="20"/>
                <w:color w:val="auto"/>
              </w:rPr>
            </w:pPr>
            <w:r>
              <w:rPr>
                <w:rFonts w:ascii="Arial" w:cs="Arial" w:eastAsia="Arial" w:hAnsi="Arial"/>
                <w:sz w:val="18"/>
                <w:szCs w:val="18"/>
                <w:color w:val="auto"/>
              </w:rPr>
              <w:t>Chief Operating Officer and Director</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Jason Mills</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40</w:t>
            </w:r>
          </w:p>
        </w:tc>
        <w:tc>
          <w:tcPr>
            <w:tcW w:w="69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Daniel Vidal</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33</w:t>
            </w:r>
          </w:p>
        </w:tc>
        <w:tc>
          <w:tcPr>
            <w:tcW w:w="69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Timothy L. Christen</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63</w:t>
            </w:r>
          </w:p>
        </w:tc>
        <w:tc>
          <w:tcPr>
            <w:tcW w:w="69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Ying (Vivian) Liu</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47</w:t>
            </w:r>
          </w:p>
        </w:tc>
        <w:tc>
          <w:tcPr>
            <w:tcW w:w="692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9"/>
        </w:trPr>
        <w:tc>
          <w:tcPr>
            <w:tcW w:w="2700" w:type="dxa"/>
            <w:vAlign w:val="bottom"/>
          </w:tcPr>
          <w:p>
            <w:pPr>
              <w:ind w:left="20"/>
              <w:spacing w:after="0"/>
              <w:rPr>
                <w:sz w:val="20"/>
                <w:szCs w:val="20"/>
                <w:color w:val="auto"/>
              </w:rPr>
            </w:pPr>
            <w:r>
              <w:rPr>
                <w:rFonts w:ascii="Arial" w:cs="Arial" w:eastAsia="Arial" w:hAnsi="Arial"/>
                <w:sz w:val="18"/>
                <w:szCs w:val="18"/>
                <w:color w:val="auto"/>
              </w:rPr>
              <w:t>Ellen Pao</w:t>
            </w:r>
          </w:p>
        </w:tc>
        <w:tc>
          <w:tcPr>
            <w:tcW w:w="1620" w:type="dxa"/>
            <w:vAlign w:val="bottom"/>
          </w:tcPr>
          <w:p>
            <w:pPr>
              <w:jc w:val="center"/>
              <w:ind w:left="850"/>
              <w:spacing w:after="0"/>
              <w:rPr>
                <w:sz w:val="20"/>
                <w:szCs w:val="20"/>
                <w:color w:val="auto"/>
              </w:rPr>
            </w:pPr>
            <w:r>
              <w:rPr>
                <w:rFonts w:ascii="Arial" w:cs="Arial" w:eastAsia="Arial" w:hAnsi="Arial"/>
                <w:sz w:val="18"/>
                <w:szCs w:val="18"/>
                <w:color w:val="auto"/>
                <w:w w:val="99"/>
              </w:rPr>
              <w:t>52</w:t>
            </w:r>
          </w:p>
        </w:tc>
        <w:tc>
          <w:tcPr>
            <w:tcW w:w="6920" w:type="dxa"/>
            <w:vAlign w:val="bottom"/>
          </w:tcPr>
          <w:p>
            <w:pPr>
              <w:ind w:left="180"/>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David Barrett </w:t>
      </w:r>
      <w:r>
        <w:rPr>
          <w:rFonts w:ascii="Arial" w:cs="Arial" w:eastAsia="Arial" w:hAnsi="Arial"/>
          <w:sz w:val="18"/>
          <w:szCs w:val="18"/>
          <w:color w:val="auto"/>
        </w:rPr>
        <w:t>founded Expensify and has served as our Chief Executive Officer and as a member of our board of directors since 2009.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Expensify, Mr. Barrett led engineering for 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Ryan Schaffer </w:t>
      </w:r>
      <w:r>
        <w:rPr>
          <w:rFonts w:ascii="Arial" w:cs="Arial" w:eastAsia="Arial" w:hAnsi="Arial"/>
          <w:sz w:val="18"/>
          <w:szCs w:val="18"/>
          <w:color w:val="auto"/>
        </w:rPr>
        <w:t>has served as our Chief Financial Officer and a member of our board of directors since 2017, and 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Anu Muralidharan </w:t>
      </w:r>
      <w:r>
        <w:rPr>
          <w:rFonts w:ascii="Arial" w:cs="Arial" w:eastAsia="Arial" w:hAnsi="Arial"/>
          <w:sz w:val="18"/>
          <w:szCs w:val="18"/>
          <w:color w:val="auto"/>
        </w:rPr>
        <w:t>has served as our Chief Operating Officer since January 2021 and a member of our board of directors since our IPO.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Muralidharan 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1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Jason Mills </w:t>
      </w:r>
      <w:r>
        <w:rPr>
          <w:rFonts w:ascii="Arial" w:cs="Arial" w:eastAsia="Arial" w:hAnsi="Arial"/>
          <w:sz w:val="18"/>
          <w:szCs w:val="18"/>
          <w:color w:val="auto"/>
        </w:rPr>
        <w:t>has served as a member of our board of directors since our IPO. Mr. Mills has served as our Chief Product Officer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he previously served as our Director of Product and Customers from January 2013 to May 2021. Prior to Expensify, Mr. Mills served as an 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qualified to serve as a member of our board of directors due to his long history of leadership with our company, his perspective and experience as our Chief Product Officer and his comprehensive knowledge of our business.</w:t>
      </w:r>
    </w:p>
    <w:p>
      <w:pPr>
        <w:spacing w:after="0" w:line="7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Daniel Vidal </w:t>
      </w:r>
      <w:r>
        <w:rPr>
          <w:rFonts w:ascii="Arial" w:cs="Arial" w:eastAsia="Arial" w:hAnsi="Arial"/>
          <w:sz w:val="18"/>
          <w:szCs w:val="18"/>
          <w:color w:val="auto"/>
        </w:rPr>
        <w:t>has served as a member of our board of directors since our IPO. Mr. Vidal has served as our Chief Strategy Officer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he previously served 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Timothy L. Christen </w:t>
      </w:r>
      <w:r>
        <w:rPr>
          <w:rFonts w:ascii="Arial" w:cs="Arial" w:eastAsia="Arial" w:hAnsi="Arial"/>
          <w:sz w:val="18"/>
          <w:szCs w:val="18"/>
          <w:color w:val="auto"/>
        </w:rPr>
        <w:t>has served on our board of directors since the effectiveness of our IPO registration statement. Mr. Christen has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Ying (Vivian) Liu </w:t>
      </w:r>
      <w:r>
        <w:rPr>
          <w:rFonts w:ascii="Arial" w:cs="Arial" w:eastAsia="Arial" w:hAnsi="Arial"/>
          <w:sz w:val="18"/>
          <w:szCs w:val="18"/>
          <w:color w:val="auto"/>
        </w:rPr>
        <w:t>has served on our board of directors since our IPO. Ms. Liu serves as Chief Financial Officer of ContextLogic, Inc. (d/b/a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Wish), a mobile ecommerce platform since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Ellen Pao </w:t>
      </w:r>
      <w:r>
        <w:rPr>
          <w:rFonts w:ascii="Arial" w:cs="Arial" w:eastAsia="Arial" w:hAnsi="Arial"/>
          <w:sz w:val="18"/>
          <w:szCs w:val="18"/>
          <w:color w:val="auto"/>
        </w:rPr>
        <w:t>has served on our board of directors since our IPO. Ms. Pao cofounded and has lead Project Include, a nonprofit advocating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 equity and inclusion in technology companies, since December 2015. Ms. Pao has served as Chief Executive Officer and board member of Project Include since January 2017. Prior to Project Include, Ms. Pao served as Interim Chief Executive Officer and Executive Vice President of Business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Voting Trust controls more than 50% of the voting power of our outstanding common stock, we are considered a “controlled company” within the meaning of the corporate governance standards of the Nasdaq. As a “controlled company”, we are permitted to and elect not to comply with certain corporate governance requirements of the Nasdaq, including the requirements that (i) a majority of our Board of Directors consist of independent directors, (ii) we either establish a nominating and corporate governance committee composed entirely of independent directors or ensure that nominees for director are determined or recommended to the Board of Directors by a majority of the independent members of the Board of Directors and (iii) we establish a compensation committee composed entirely of independent directors. For an indeterminate period, we intend to utilize these exemptions. As a result, although our Audit Committee is fully independent as required by Nasdaq listing standards, we do not have a nominating and corporate governance committee, and the members of our Compensation Committee are not independent directors. Additionally, a majority of our directors are not currently independent and we do not expect in the immediate future that the majority of our directors will be independent. Accordingly, although we may transition to a Board with a majority of independent directors prior to the time we cease to be a “controlled company,” for such period of time our stockholders will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Executive Committee on behalf of our Board of Directors undertook a review of the Board of Directors’ composition, the composition of its committees and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our Executive Committee on behalf of our Board of Directors has affirmatively determined that Mr. Christen, Ms. Liu and Ms. Pao are each an “independent director,” as defined under the Securities Exchange Act of 1934, as amended (the “Exchange Act”), and the rules of Nasdaq.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Executive Committee, on behalf of the Board of Directors, is responsible for identifying, evaluating and nominating candidates to serve on the Board of Directors and its committees. In evaluating director candidates, the Executive Committee considers the criteria set forth in our Corporate Governance Guidelines, as well as any other factors that they deem to be relevant, including:</w:t>
      </w:r>
    </w:p>
    <w:p>
      <w:pPr>
        <w:spacing w:after="0" w:line="1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candidate’s executive and directorial experience;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candidate’s professional and academic experience relevant to the Company’s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candidate’s leadership skills;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candidate’s experience in finance and accounting and/or executive compensation practices;</w:t>
      </w:r>
    </w:p>
    <w:p>
      <w:pPr>
        <w:spacing w:after="0" w:line="1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candidate has the time required for preparation, participation, and attendance at meetings of the Board of Directors and committee meetings, if applicable;</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candidate’s geographic background, gender, age and ethnicity; and</w:t>
      </w:r>
    </w:p>
    <w:p>
      <w:pPr>
        <w:spacing w:after="0" w:line="15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candidate’s experience at the Company, in the case of director candidates intended to sit on the Executive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Generally, the Executive Committee will consider candidates who have a high level of personal and professional integrity, strong ethics and the ability to make mature business judgments. The Executive Committee and the Board monitor the mix of specific experience, qualifications and skills of its directors in order to assure that the Board, as a whole, has the necessary tools to perform its oversight function effectively in light of the Company’s business and structure. Although the Executive Committee may consider whether nominees assist in achieving a mix of board members that represents a diversity of background and experience, which is not only limited to race, gender or national origin, we have no formal policy regarding board diversity.</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Committee will consider a candidate nominated by a stockholder in a manner consistent with its evaluation of potential nominees. Any recommendation submitted to the Company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and must otherwise comply with the requirements under our amended and restated bylaws for stockholders to recommend director nominees.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 nominees should be submitted to the Company’s Secretary at the Company’s principal executive offices. All recommendations for director nominations received by the Secretary that satisfy requirements set forth in our amended and restated bylaws relating to such nominations will be presented to the Executive Committee for its consideration. Stockholders must also satisfy the notification, timeliness, consent and information requirements set forth in our amended and restated bylaws. These timing requirements are also described under the caption “Stockholder Proposals.”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BOARD OF DIRECTORS AND ATTENDANCE</w:t>
      </w:r>
    </w:p>
    <w:p>
      <w:pPr>
        <w:spacing w:after="0" w:line="14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fiscal 2021, our Board of Directors held one meeting and our Audit Committee held one meeting. During fiscal 2021, each director attended at least 75% of the total number of meetings of the Board of Directors and committees on which the director served. Members of our Board of Directors are encouraged to attend annual meetings of stockholders, however we do not have a formal policy regarding attendance of directors at our annual meeting of stockholders.</w:t>
      </w:r>
    </w:p>
    <w:p>
      <w:pPr>
        <w:spacing w:after="0" w:line="1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chair of the Audit Committee, or in his or her absence a director designated by the chair of the Audit Committee, presides over executive sessions of the independent directors which are held on a regularly scheduled basis, not less than once per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4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Secretary at Expensify, Inc., 401 SW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 Portland, OR 97204. Communications should contain instructions specifying for which member or members of the Board of Directors the communication is intended. Such communications generally will be forwarded to the intended recipients. However, our Secretary may, in his sole discretion, decline to forward any communications that are inappropriate.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 MATRIX</w:t>
      </w:r>
    </w:p>
    <w:p>
      <w:pPr>
        <w:spacing w:after="0" w:line="15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table below provides certain highlights of the composition of our Board members and nominees as of April 29, 2022. Each of the categories listed in the table below has the meaning as it is used in Nasdaq Rule 5605(f).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Size: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tcPr>
          <w:p>
            <w:pPr>
              <w:ind w:left="260"/>
              <w:spacing w:after="0"/>
              <w:rPr>
                <w:sz w:val="20"/>
                <w:szCs w:val="20"/>
                <w:color w:val="auto"/>
              </w:rPr>
            </w:pPr>
            <w:r>
              <w:rPr>
                <w:rFonts w:ascii="Arial" w:cs="Arial" w:eastAsia="Arial" w:hAnsi="Arial"/>
                <w:sz w:val="18"/>
                <w:szCs w:val="18"/>
                <w:color w:val="auto"/>
              </w:rPr>
              <w:t>Total Number of Directors</w:t>
            </w: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color w:val="auto"/>
              </w:rPr>
              <w:t>8</w:t>
            </w:r>
          </w:p>
        </w:tc>
        <w:tc>
          <w:tcPr>
            <w:tcW w:w="2320" w:type="dxa"/>
            <w:vAlign w:val="bottom"/>
          </w:tcPr>
          <w:p>
            <w:pPr>
              <w:spacing w:after="0"/>
              <w:rPr>
                <w:sz w:val="18"/>
                <w:szCs w:val="18"/>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Gender:</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Male</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Female</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Non-Binary</w:t>
            </w:r>
          </w:p>
        </w:tc>
        <w:tc>
          <w:tcPr>
            <w:tcW w:w="23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Gender Undisclosed</w:t>
            </w:r>
          </w:p>
        </w:tc>
      </w:tr>
      <w:tr>
        <w:trPr>
          <w:trHeight w:val="223"/>
        </w:trPr>
        <w:tc>
          <w:tcPr>
            <w:tcW w:w="55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African American or Black</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Alaskan Native or American Indian</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Asian</w:t>
            </w:r>
          </w:p>
        </w:tc>
        <w:tc>
          <w:tcPr>
            <w:tcW w:w="8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Hispanic or Latinx</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Native Hawaiian or Pacific Islander</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29"/>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White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9"/>
        </w:trPr>
        <w:tc>
          <w:tcPr>
            <w:tcW w:w="5580" w:type="dxa"/>
            <w:vAlign w:val="bottom"/>
          </w:tcPr>
          <w:p>
            <w:pPr>
              <w:ind w:left="260"/>
              <w:spacing w:after="0"/>
              <w:rPr>
                <w:sz w:val="20"/>
                <w:szCs w:val="20"/>
                <w:color w:val="auto"/>
              </w:rPr>
            </w:pPr>
            <w:r>
              <w:rPr>
                <w:rFonts w:ascii="Arial" w:cs="Arial" w:eastAsia="Arial" w:hAnsi="Arial"/>
                <w:sz w:val="18"/>
                <w:szCs w:val="18"/>
                <w:color w:val="auto"/>
              </w:rPr>
              <w:t>Two or More Races or Ethnicities</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LGBTQ+</w:t>
            </w:r>
          </w:p>
        </w:tc>
        <w:tc>
          <w:tcPr>
            <w:tcW w:w="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9"/>
        </w:trPr>
        <w:tc>
          <w:tcPr>
            <w:tcW w:w="5580" w:type="dxa"/>
            <w:vAlign w:val="bottom"/>
          </w:tcPr>
          <w:p>
            <w:pPr>
              <w:ind w:left="260"/>
              <w:spacing w:after="0"/>
              <w:rPr>
                <w:sz w:val="20"/>
                <w:szCs w:val="20"/>
                <w:color w:val="auto"/>
              </w:rPr>
            </w:pPr>
            <w:r>
              <w:rPr>
                <w:rFonts w:ascii="Arial" w:cs="Arial" w:eastAsia="Arial" w:hAnsi="Arial"/>
                <w:sz w:val="18"/>
                <w:szCs w:val="18"/>
                <w:color w:val="auto"/>
              </w:rPr>
              <w:t>Undisclosed</w:t>
            </w: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We established a Compensation Committee in March 2022. As a “controlled company” under Nasdaq’s rules and corporate governance standards, we are not required to have a Nominating and Corporate Governance Committee. In addition, from time to time, other committees may be established by the Board of Directors when necessary.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56"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Our amended and restated certificate of incorporation provides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w:t>
      </w:r>
    </w:p>
    <w:p>
      <w:pPr>
        <w:spacing w:after="0" w:line="1" w:lineRule="exact"/>
        <w:rPr>
          <w:sz w:val="20"/>
          <w:szCs w:val="20"/>
          <w:color w:val="auto"/>
        </w:rPr>
      </w:pPr>
    </w:p>
    <w:p>
      <w:pPr>
        <w:jc w:val="both"/>
        <w:ind w:right="20" w:firstLine="8"/>
        <w:spacing w:after="0" w:line="255"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Our Executive Committee consists of Messrs. Barrett, Schaffer, Mills and Vidal and Ms. Muralidharan.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its independence from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5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 Committee consists of Mr. Christen, Ms. Liu and Ms. Pao, with Mr. Christen serving as chair. Rule 10A-3 of the Exchange Act and Nasdaq rules require that our Audit Committee be composed entirely of independent members. Our Executive Committee on behalf of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Nasdaq listing standards. In addition, our Executive Committee on behalf of our Board of Directors has determined that Mr. Christen qualifies as an “audit committee financial expert,” as such term is defined in Item 407(d)(5) of Regulation S-K. Our Audit Committee operates under a written charter which satisfies the applicable listing standards of Nasdaq and which is available on our website at investors.expensify.com.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was formed in March 2022. The Compensation Committee’s responsibilities include:</w:t>
      </w:r>
    </w:p>
    <w:p>
      <w:pPr>
        <w:spacing w:after="0" w:line="158" w:lineRule="exact"/>
        <w:rPr>
          <w:sz w:val="20"/>
          <w:szCs w:val="20"/>
          <w:color w:val="auto"/>
        </w:rPr>
      </w:pPr>
    </w:p>
    <w:p>
      <w:pPr>
        <w:ind w:left="660" w:right="6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our compensation algorithm used to determine the compensation of all employees, including the Chief Executive Officer and all other executive officers. To the extent the compensation of any executive officer, including the Chief Executive Officer, is addressed outside of the algorithm, the Compensation Committee, excluding the applicable officer, reviews and approves such compensation;</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our Executive Committee, or, if required, our Board of Directors the compensation of our directors;</w:t>
      </w:r>
    </w:p>
    <w:p>
      <w:pPr>
        <w:spacing w:after="0" w:line="15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advisors and assessing whether there are any conflicts of interest with any of the Compensation Committee’s compensation consultants or advisors; and</w:t>
      </w:r>
    </w:p>
    <w:p>
      <w:pPr>
        <w:spacing w:after="0" w:line="85"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Executive Committee, or, if required, our Board of Directors approve, incentive compensation and equity plans.</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Committee currently consists of Messrs. Barrett, Schaffer, Mills and Vidal and Ms. Muralidharan with Mr. Barrett serving as chair. Mr. Barrett, Mr. Schaffer and Ms. Muralidharan, each an executive officer, participate in the deliberations of the Compensation Committee in determining executive officer and director compensation, except as otherwise determined by the Compensation Committee. As a controlled company, we rely upon the exemption from the requirement that we have a Compensation Committee composed entirely of independent directors. The Compensation Committee may delegate any or all of its responsibilities to a subcommittee of the committee. In March 2022, the Compensation Committee engaged Semler Brossy to serve as its compensation consultant to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and assess the compensation of our executive officers and other officers. Our compensation committee operates under a written charter which satisfies the applicable listing standards of Nasdaq and which is available on our website at investors.expensify.com.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2021, our Board of Directors did not have a compensation committee. The full Board of Directors, including at such time our executive officers Mr. Barrett and Mr. Schaffer, participated in deliberations regarding the algorithm used to determine the compensation of all employees, including all executive officers. To the extent compensation of one of our executive officers was addressed outside of the algorithm, the applicable executive officer did not participate in such deliberations. Except as described below in the section titled “Related Person Transactions,” none of our Board members for fiscal 2021 had or have any relationships with the company during the last completed fiscal year that are required to be disclosed under Item 404 of Regulation S-K. None of our executive officers currently serve, or have served during the last completed fiscal year, on the compensation committee or board of directors of any other entity that has one or more executive officers serving as a member of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4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Corporate Governance Guidelines provide our independent directors the flexibility to elect a lead director if the chairperson of the Board of Directors is a member of management or does not otherwise qualify as independent. Our Board of Directors currently does not have a chairperson (or a lead director), and currently believes that our existing leadership structure is effective. Our Board of Directors will continue to periodically review our leadership structure and may make such changes in the future as it deems appropriate.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our material environmental, social and governance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CONDUCT</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adopted a written code of ethics and conduct that applies to our directors, officers and employees, including our principal executive officer, principal financial officer, principal accounting officer or controller, or persons performing similar functions. A copy of the code is available on our investor relations website at investors.expensify.com. In addition, we intend to post on our investor relations website all disclosures that are required by law or the listing standards concerning any amendments to, or waivers from, any provision of the code. The information on or accessed through our website is deemed not to be incorporated in or part of this Proxy Statement or any other document filed with or furnished to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4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Board of Directors has adopted an Insider Trading Policy, which applies to all of our directors, officers and employees. The policy prohibits our directors, officers and employees from engaging transactions intended to hedge or offset the market value of Expensify stock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Environmental, Social, and Governance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ESG PRINCIPLES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can be no sustainable, profitable growth without a market that is fair, inclusive and universal. Defending, improving and expanding this market is a core responsibility of any business that intends to last as long as we do.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may expand disclosures in these areas in the future - consistent with our commitment to developing a long-term sustainable business.</w:t>
      </w:r>
    </w:p>
    <w:p>
      <w:pPr>
        <w:spacing w:after="0" w:line="115" w:lineRule="exact"/>
        <w:rPr>
          <w:sz w:val="20"/>
          <w:szCs w:val="20"/>
          <w:color w:val="auto"/>
        </w:rPr>
      </w:pPr>
    </w:p>
    <w:p>
      <w:pPr>
        <w:ind w:left="340" w:right="60" w:hanging="332"/>
        <w:spacing w:after="0" w:line="25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Managing systemic risks from technology disruptions</w:t>
      </w:r>
      <w:r>
        <w:rPr>
          <w:rFonts w:ascii="Arial" w:cs="Arial" w:eastAsia="Arial" w:hAnsi="Arial"/>
          <w:sz w:val="18"/>
          <w:szCs w:val="18"/>
          <w:color w:val="auto"/>
        </w:rPr>
        <w:t>. Expensify is an always-on, business-critical service, committed to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reliability. Maintaining operational continuity is a 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 issues, and conduct pre-scheduled maintenance without service interruptions. From January 1, 2021, to December 31, 2021, our average service uptime was over 99.9%, exceeding our target of three nines.</w:t>
      </w:r>
    </w:p>
    <w:p>
      <w:pPr>
        <w:spacing w:after="0" w:line="101"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Ethics and conduct related to financial services products</w:t>
      </w:r>
      <w:r>
        <w:rPr>
          <w:rFonts w:ascii="Arial" w:cs="Arial" w:eastAsia="Arial" w:hAnsi="Arial"/>
          <w:sz w:val="18"/>
          <w:szCs w:val="18"/>
          <w:color w:val="auto"/>
        </w:rPr>
        <w:t>. At Expensify, we prioritize trust, and the safety and security of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products. Maintaining trust with our members is crucial for our brand reputation. We have robust internal controls to go over and above regulatory compliance and protect stockholder and customer value.</w:t>
      </w:r>
    </w:p>
    <w:p>
      <w:pPr>
        <w:spacing w:after="0" w:line="103" w:lineRule="exact"/>
        <w:rPr>
          <w:rFonts w:ascii="Arial" w:cs="Arial" w:eastAsia="Arial" w:hAnsi="Arial"/>
          <w:sz w:val="18"/>
          <w:szCs w:val="18"/>
          <w:color w:val="auto"/>
        </w:rPr>
      </w:pPr>
    </w:p>
    <w:p>
      <w:pPr>
        <w:ind w:left="340" w:hanging="332"/>
        <w:spacing w:after="0" w:line="25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Recruiting &amp; managing a global, diverse &amp; skilled workforce</w:t>
      </w:r>
      <w:r>
        <w:rPr>
          <w:rFonts w:ascii="Arial" w:cs="Arial" w:eastAsia="Arial" w:hAnsi="Arial"/>
          <w:sz w:val="18"/>
          <w:szCs w:val="18"/>
          <w:color w:val="auto"/>
        </w:rPr>
        <w:t>. Attracting and retaining a diverse and global workforce, with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different races, ethnicities, nationalities, 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114"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r>
        <w:rPr>
          <w:rFonts w:ascii="Arial" w:cs="Arial" w:eastAsia="Arial" w:hAnsi="Arial"/>
          <w:sz w:val="18"/>
          <w:szCs w:val="18"/>
          <w:color w:val="auto"/>
        </w:rPr>
        <w:t>. Customer privacy and maintaining customer trust is fundamental to Expensify’s success. We prioritize strong data privacy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practices, procedures, policies and programs 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60" w:hanging="332"/>
        <w:spacing w:after="0" w:line="262"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Data security</w:t>
      </w:r>
      <w:r>
        <w:rPr>
          <w:rFonts w:ascii="Arial" w:cs="Arial" w:eastAsia="Arial" w:hAnsi="Arial"/>
          <w:sz w:val="18"/>
          <w:szCs w:val="18"/>
          <w:color w:val="auto"/>
        </w:rPr>
        <w:t>. Data security is essential to maintaining our members' trust, because we process and store sensitive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personally identifiable information. The control environment at Expensify reflects our commitment to data security. Our policies and procedures detail operational requirements that support system specifications, security commitments, and compliance with relevant laws and regulations.</w:t>
      </w:r>
    </w:p>
    <w:p>
      <w:pPr>
        <w:spacing w:after="0" w:line="95" w:lineRule="exact"/>
        <w:rPr>
          <w:rFonts w:ascii="Arial" w:cs="Arial" w:eastAsia="Arial" w:hAnsi="Arial"/>
          <w:sz w:val="18"/>
          <w:szCs w:val="18"/>
          <w:color w:val="auto"/>
        </w:rPr>
      </w:pPr>
    </w:p>
    <w:p>
      <w:pPr>
        <w:ind w:left="340" w:hanging="332"/>
        <w:spacing w:after="0" w:line="220" w:lineRule="exact"/>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footprint of hardware infrastructure and emissions</w:t>
      </w:r>
      <w:r>
        <w:rPr>
          <w:rFonts w:ascii="Arial" w:cs="Arial" w:eastAsia="Arial" w:hAnsi="Arial"/>
          <w:sz w:val="18"/>
          <w:szCs w:val="18"/>
          <w:color w:val="auto"/>
        </w:rPr>
        <w:t>. We recognize the environmental impacts of our business,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impacts to our business of potential risks related 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In September 2021, we estimated our annual GHG emissions would be 4,736 tCO</w:t>
      </w:r>
      <w:r>
        <w:rPr>
          <w:rFonts w:ascii="MS PGothic" w:cs="MS PGothic" w:eastAsia="MS PGothic" w:hAnsi="MS PGothic"/>
          <w:sz w:val="18"/>
          <w:szCs w:val="18"/>
          <w:color w:val="auto"/>
        </w:rPr>
        <w:t>₂</w:t>
      </w:r>
      <w:r>
        <w:rPr>
          <w:rFonts w:ascii="Arial" w:cs="Arial" w:eastAsia="Arial" w:hAnsi="Arial"/>
          <w:sz w:val="18"/>
          <w:szCs w:val="18"/>
          <w:color w:val="auto"/>
        </w:rPr>
        <w:t>e for the year ended December 31, 2021, and as of September 2021, we successfully offset our projected annual carbon footprint based on that estimate with the goal of being carbon neutral for the year.</w:t>
      </w:r>
    </w:p>
    <w:p>
      <w:pPr>
        <w:spacing w:after="0" w:line="130"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Climate risks</w:t>
      </w:r>
      <w:r>
        <w:rPr>
          <w:rFonts w:ascii="Arial" w:cs="Arial" w:eastAsia="Arial" w:hAnsi="Arial"/>
          <w:sz w:val="18"/>
          <w:szCs w:val="18"/>
          <w:color w:val="auto"/>
        </w:rPr>
        <w:t>. We recognize the risks posed by climate change to our operations and revenue, including risks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to a low-carbon economy and the physical impacts of climate change. Our efforts to become carbon neutral are one part of our commitment to addressing climate change.</w:t>
      </w:r>
    </w:p>
    <w:p>
      <w:pPr>
        <w:spacing w:after="0" w:line="103" w:lineRule="exact"/>
        <w:rPr>
          <w:rFonts w:ascii="Arial" w:cs="Arial" w:eastAsia="Arial" w:hAnsi="Arial"/>
          <w:sz w:val="18"/>
          <w:szCs w:val="18"/>
          <w:color w:val="auto"/>
        </w:rPr>
      </w:pPr>
    </w:p>
    <w:p>
      <w:pPr>
        <w:jc w:val="both"/>
        <w:ind w:left="340" w:right="60" w:hanging="332"/>
        <w:spacing w:after="0" w:line="268"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 to long term thinking</w:t>
      </w:r>
      <w:r>
        <w:rPr>
          <w:rFonts w:ascii="Arial" w:cs="Arial" w:eastAsia="Arial" w:hAnsi="Arial"/>
          <w:sz w:val="18"/>
          <w:szCs w:val="18"/>
          <w:color w:val="auto"/>
        </w:rPr>
        <w:t>. We believe that our environment, society, shareholders, and overall company will be best served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remain focused on the long-term impacts of the decisions we make as a business. We aim to align all stakeholders around long-term thinking.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2: Approval of Independent Registered Public Accounting Firm</w:t>
      </w:r>
    </w:p>
    <w:p>
      <w:pPr>
        <w:spacing w:after="0" w:line="3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independent external audit firm retained to audit the Company’s financial statements. Our Audit Committee has selected EY to serve as our independent registered public accounting firm to audit the consolidated financial statements of the Company for the fiscal year ending December 31, 2022. EY has served as our independent registered public accounting firm since 2020.</w:t>
      </w:r>
    </w:p>
    <w:p>
      <w:pPr>
        <w:spacing w:after="0" w:line="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Stockholders are not required to ratify the appointment of EY as our independent registered public accounting firm. However, as a matter of good corporate governance, we are asking our stockholders to ratify the selection of EY as our independent registered public accounting firm for the fiscal year ending December 31, 2022. If stockholders fail to ratify the appointment, the Audit Committee will consider whether or not to retain EY. Even if the appointment is ratified, the Audit Committee, in its discretion, may direct the appointment of a different independent registered public accounting firm at any time during the year if it determines that such a change would be in the best interests of the Company and our stockholders.</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Representatives of EY will be present at the Annual Meeting, will have the opportunity to make a statement if they desire to do so and will be available to respond to appropriate questions.</w:t>
      </w:r>
    </w:p>
    <w:p>
      <w:pPr>
        <w:spacing w:after="0" w:line="85"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auto"/>
        </w:rPr>
        <w:t>Our Executive Committee on behalf of our Board of Directors unanimously recommends that you vote “FOR” the ratification of EY as our independent registered public accounting firm for the fiscal year ending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sets forth the aggregate fees billed by EY to the Company for the fiscal years ended December 31, 2021 and December 31,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r>
      <w:tr>
        <w:trPr>
          <w:trHeight w:val="223"/>
        </w:trPr>
        <w:tc>
          <w:tcPr>
            <w:tcW w:w="6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3,311,790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2,275,574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3,313,790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2,275,574</w:t>
            </w:r>
          </w:p>
        </w:tc>
      </w:tr>
    </w:tbl>
    <w:p>
      <w:pPr>
        <w:spacing w:after="0" w:line="4" w:lineRule="exact"/>
        <w:rPr>
          <w:sz w:val="20"/>
          <w:szCs w:val="20"/>
          <w:color w:val="auto"/>
        </w:rPr>
      </w:pPr>
    </w:p>
    <w:p>
      <w:pPr>
        <w:ind w:left="20" w:right="60" w:firstLine="6"/>
        <w:spacing w:after="0" w:line="225"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fiscal 2020, Audit Fees consists of fees billed for audit services primarily related to the audit of our 2019 and 2020 annual consolidated financial statements. For fiscal 2021, Audit Fees consist of fees billed for audit services related to the audit of our 2021 annual consolidated financial statements, review of our quarterly consolidated financial statements; review of Form S-1s, comfort letters, consents and assistance with and review of other documents filed with the SEC; audit services provided in connection with other statutory and regulatory filings; and other accounting and financial reporting consultation and research work billed as audit fees or necessary to comply with the standards of the Public Company Accounting Oversight Board.</w:t>
      </w:r>
    </w:p>
    <w:p>
      <w:pPr>
        <w:spacing w:after="0" w:line="14" w:lineRule="exact"/>
        <w:rPr>
          <w:rFonts w:ascii="Arial" w:cs="Arial" w:eastAsia="Arial" w:hAnsi="Arial"/>
          <w:sz w:val="14"/>
          <w:szCs w:val="14"/>
          <w:color w:val="auto"/>
        </w:rPr>
      </w:pPr>
    </w:p>
    <w:p>
      <w:pPr>
        <w:ind w:left="240" w:hanging="214"/>
        <w:spacing w:after="0"/>
        <w:tabs>
          <w:tab w:leader="none" w:pos="2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Other Fees consists of fees billed for permitted products and services not included in the first three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-584200</wp:posOffset>
            </wp:positionV>
            <wp:extent cx="2905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Consistent with the requirements of the SEC and the Public Company Accounting Oversight Board regarding auditor independence, our audit committee is responsible for appointing, setting compensation for, and overseeing the work of our independent registered public accounting firm. In recognition of this responsibility, our Audit Committee pre-approves all audit and permissible non-audit services provided by the independent registered public accounting firm. These services may include audit services, audit-related services, tax services and other services. All services performed by EY for the Company and its subsidiaries pursuant to engagements entered into since our IPO have been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Report of the Audit Committee</w:t>
      </w:r>
    </w:p>
    <w:p>
      <w:pPr>
        <w:spacing w:after="0" w:line="32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The material in this report is being furnished and shall not be deemed “filed” with the SEC for purposes of Section 18 of the Exchange Act of 1934, or otherwise subject to the liability of that section, nor shall the material in this section be deemed to be “soliciting material” or incorporated by reference in any registration statement or other document filed with the SEC under the Securities Act of 1933, as amended, or the Exchange Act, except as otherwise expressly stated in such filing.</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purpose of the Audit Committee is to assist the Board of Directors in its general oversight of our accounting practices, system of internal controls, audit processes and financial reporting processes and is governed by its charter. The Audit Committee is responsible for appointing and retaining our independent auditor and approving the audit and non-audit services to be provided by the independent auditor.</w:t>
      </w:r>
    </w:p>
    <w:p>
      <w:pPr>
        <w:spacing w:after="0" w:line="1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Management is responsible for preparing the financial statements and ensuring they are complete and accurate and prepared in accordance with generally accepted accounting principles. Ernst &amp; Young LLP (“EY”),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Audit Committee has reviewed and discussed with our management and EY our audited consolidated financial statements for the year ended December 31, 2021. Our Audit Committee has also discussed with EY the matters required to be discussed by the applicable requirements of the Public Company Accounting Oversight Board and the SEC.</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has received and reviewed the written disclosures and the letter from EY required by applicable requirements of the Public Company Accounting Oversight Board regarding EY’s communications with our Audit Committee concerning independence, and has discussed with EY its independence from us.</w:t>
      </w:r>
    </w:p>
    <w:p>
      <w:pPr>
        <w:spacing w:after="0" w:line="10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Based on the above-mentioned review and discussions, the Audit Committee recommended to our Board of Directors that the audited consolidated financial statements be included in our Annual Report on Form 10-K for the year ended December 31, 2021 for filing with the SEC.</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Audit Committee</w:t>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Tim Christen (Chairperson)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Ellen Pao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Vivian Liu</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w:t>
      </w:r>
    </w:p>
    <w:p>
      <w:pPr>
        <w:spacing w:after="0" w:line="30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following section discusses the material components of the executive compensation program for our executive officers who are named in the “Summary Compensation Table” below or NEOs.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Our NEOs for fiscal year 2021 were as follows:</w:t>
      </w:r>
    </w:p>
    <w:p>
      <w:pPr>
        <w:spacing w:after="0" w:line="158"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David Barrett, our Chief Executive Officer;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Ryan Schaffer, our Chief Financial Officer;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Anu Muralidharan, our Chief Operating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4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sets forth certain information with respect to the compensation for the years ended December 31, 2020 and December 31, 2021 earned by, awarded to, or paid to our Named Executive Officers.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8"/>
              <w:spacing w:after="0" w:line="18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Barrett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1,056,728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2,285,152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3,341,880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Executive Officer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1,059,923</w:t>
            </w:r>
          </w:p>
        </w:tc>
        <w:tc>
          <w:tcPr>
            <w:tcW w:w="0" w:type="dxa"/>
            <w:vAlign w:val="bottom"/>
          </w:tcPr>
          <w:p>
            <w:pPr>
              <w:spacing w:after="0"/>
              <w:rPr>
                <w:sz w:val="1"/>
                <w:szCs w:val="1"/>
                <w:color w:val="auto"/>
              </w:rPr>
            </w:pPr>
          </w:p>
        </w:tc>
      </w:tr>
      <w:tr>
        <w:trPr>
          <w:trHeight w:val="194"/>
        </w:trPr>
        <w:tc>
          <w:tcPr>
            <w:tcW w:w="3280" w:type="dxa"/>
            <w:vAlign w:val="bottom"/>
          </w:tcPr>
          <w:p>
            <w:pPr>
              <w:ind w:left="20"/>
              <w:spacing w:after="0"/>
              <w:rPr>
                <w:sz w:val="20"/>
                <w:szCs w:val="20"/>
                <w:color w:val="auto"/>
              </w:rPr>
            </w:pPr>
            <w:r>
              <w:rPr>
                <w:rFonts w:ascii="Arial" w:cs="Arial" w:eastAsia="Arial" w:hAnsi="Arial"/>
                <w:sz w:val="14"/>
                <w:szCs w:val="14"/>
                <w:color w:val="auto"/>
              </w:rPr>
              <w:t>Ryan Schaffer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725,294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566,516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697,190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2,949,797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4,938,797</w:t>
            </w:r>
          </w:p>
        </w:tc>
        <w:tc>
          <w:tcPr>
            <w:tcW w:w="0" w:type="dxa"/>
            <w:vAlign w:val="bottom"/>
          </w:tcPr>
          <w:p>
            <w:pPr>
              <w:spacing w:after="0"/>
              <w:rPr>
                <w:sz w:val="1"/>
                <w:szCs w:val="1"/>
                <w:color w:val="auto"/>
              </w:rPr>
            </w:pPr>
          </w:p>
        </w:tc>
      </w:tr>
      <w:tr>
        <w:trPr>
          <w:trHeight w:val="207"/>
        </w:trPr>
        <w:tc>
          <w:tcPr>
            <w:tcW w:w="3280" w:type="dxa"/>
            <w:vAlign w:val="bottom"/>
          </w:tcPr>
          <w:p>
            <w:pPr>
              <w:ind w:left="260"/>
              <w:spacing w:after="0"/>
              <w:rPr>
                <w:sz w:val="20"/>
                <w:szCs w:val="20"/>
                <w:color w:val="auto"/>
              </w:rPr>
            </w:pPr>
            <w:r>
              <w:rPr>
                <w:rFonts w:ascii="Arial" w:cs="Arial" w:eastAsia="Arial" w:hAnsi="Arial"/>
                <w:sz w:val="14"/>
                <w:szCs w:val="14"/>
                <w:i w:val="1"/>
                <w:iCs w:val="1"/>
                <w:color w:val="auto"/>
              </w:rPr>
              <w:t>Chief Financial Officer</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677,006</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109,751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35,930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37,461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860,148</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Anu Muralidharan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163,732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545,845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1,912,139</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Operating Officer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166,275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407,918</w:t>
            </w:r>
          </w:p>
        </w:tc>
        <w:tc>
          <w:tcPr>
            <w:tcW w:w="0" w:type="dxa"/>
            <w:vAlign w:val="bottom"/>
          </w:tcPr>
          <w:p>
            <w:pPr>
              <w:spacing w:after="0"/>
              <w:rPr>
                <w:sz w:val="1"/>
                <w:szCs w:val="1"/>
                <w:color w:val="auto"/>
              </w:rPr>
            </w:pPr>
          </w:p>
        </w:tc>
      </w:tr>
      <w:tr>
        <w:trPr>
          <w:trHeight w:val="54"/>
        </w:trPr>
        <w:tc>
          <w:tcPr>
            <w:tcW w:w="3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280" w:hanging="332"/>
        <w:spacing w:after="0" w:line="269" w:lineRule="auto"/>
        <w:tabs>
          <w:tab w:leader="none" w:pos="356"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reported represent discretionary bonuses paid to Mr. Schaffer and Ms. Muralidharan, the value of which was calculated as 45% of the aggregate exercise prices of stock options held by each NEO.</w:t>
      </w:r>
    </w:p>
    <w:p>
      <w:pPr>
        <w:jc w:val="both"/>
        <w:ind w:left="340" w:right="60" w:hanging="332"/>
        <w:spacing w:after="0" w:line="260" w:lineRule="auto"/>
        <w:tabs>
          <w:tab w:leader="none" w:pos="343"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reported represent the grant date fair value of options granted during fiscal years 2021 and 2020 and the incremental fair value of options repriced during fiscal year 2020, in each case, as calculated in accordance with ASC Topic 718. See Note 9 of the audited consolidated financial statements for the fiscal year ended December 31, 2021 included in our Annual Report on Form 10-K filed with the SEC on March 31, 2022.</w:t>
      </w: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reported constitute gross ups for taxes incurred on stock options exercised by and discretionary bonuses paid to Mr. Schaffer and Ms. Muralidharan during fiscal year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Compensation and Base Salaries</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setting the base salary and stock option eligibility of our NEOs for fiscal year 2021, our board of directors first established a target total compensation amount for each NEO based on its assessment of the executive’s skill set, experience, role and responsibilities. Our board of directors then took input from each NEO on his or her preference as to which portion of his or her total compensation he or she would like to receive in the form of cash and in the form of stock options.</w:t>
      </w:r>
    </w:p>
    <w:p>
      <w:pPr>
        <w:spacing w:after="0" w:line="1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Executive compensation is reassessed twice a year in conjunction with the Company’s compensation review process for all employees. In March 2021, our board of directors increased the total compensation target of Mr. Schaffer and Ms. Muralidharan to $1,221,150 and $836,064, respectively. In September 2021, our board of directors increased the total compensation target of Mr. Schaffer and Ms. Muralidharan to $1,280,002 and $965,843, respectively. Mr. Barrett’s total compensation remained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same as fiscal year 2020 at $4,461,099. Based on each NEO’s input, our board of directors set the portion of total compensation to be delivered in fiscal year 2021 in the form of base salary at 21%, 61% and 25% for Mr. Barret, Mr. Schaffer and Ms. Muralidharan, respectively. The actual amount of base salary paid to each NEO during fiscal year 2021 is set forth above in the Summary Compensation Table.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executive committee may adjust base salaries from time to time in their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2021, our board of directors awarded each of our NEOs other than Mr. Barrett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the NEOs to exercise their options, none of the NEOs was required to exercise his or her options in order to be paid the bonus. Mr. Barrett, Mr. Schaffer and Ms. Muralidharan were paid $0, $566,516 and $634,414, respectively, of his or her bonus in June 2021 and an additional $0, $2,949,797 and $568,148, respectively, as a tax gross up in December 2021.</w:t>
      </w:r>
    </w:p>
    <w:p>
      <w:pPr>
        <w:spacing w:after="0" w:line="10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board of directors and compensation committee may provide additional discretionary bonuses to our NEOs whenever it determines it is necessary or appropriate to incentivize them or reward them for past performance.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September 2021, we granted Mr. Schaffer and Ms. Muralidharan an option to purchase 6,880 shares of our common stock, in each case, in accordance with the stated preference the NEO expressed for the portion of his or her total compensation to be taken in the form of stock options and determined using a formula determined appropriate by our board of directors. Each option had an exercise price equal to $12.97 per share, which our board of directors determined equaled fair market value on the date of grant, and vests and becomes exercisable as to 1/48th of the shares on each monthly anniversary of September 16, 2021 over a four-year period, subject to the applicable NEO’s continued service through the applicable vesting date.</w:t>
      </w:r>
    </w:p>
    <w:p>
      <w:pPr>
        <w:spacing w:after="0" w:line="10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November 2021, our board of directors granted awards of 925,640, 251,040 and 202,780 restricted stock units to Mr. Barrett, Mr. Schaffer and Ms. Muralidharan, respectively. Each restricted stock unit entitles the holder to receive half a share of our LT50 common stock and half a share of our Class A common stock. Each award vests as to 12.5% of the restricted stock units subject to the award on September 15, 2022 and in 28 equal quarterly installments thereafter, in each case, subject to continued employment with us.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4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0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of our full-time employees, including our, are eligible to participate in our health and welfare plans, including medical, dental and vision benefits; medical and dependent care flexible spending accounts; short-term and long-term disability insurance; and life and AD&amp;D insurance.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4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We provide our NEOs perquisites and other personal benefits when we determine that the perquisites or personal benefits will act to incentivize our NEOs. As described above under “Bonuses,”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fiscal year 2021, we provided a gross up on the taxes incurred by Mr. Schaffer and Ms. Muralidharan in connection with the payment of bonuses and the exercise of stock options,.</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compensation committee from time to time may provide additional perquisites and personal benefits to our NEOs when it determines that it is necessary or advisable to fairly compensate or incentivize our NEOs.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AT 2021 FISCAL YEAR END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560"/>
              <w:spacing w:after="0"/>
              <w:rPr>
                <w:sz w:val="20"/>
                <w:szCs w:val="20"/>
                <w:color w:val="auto"/>
              </w:rPr>
            </w:pPr>
            <w:r>
              <w:rPr>
                <w:rFonts w:ascii="Arial" w:cs="Arial" w:eastAsia="Arial" w:hAnsi="Arial"/>
                <w:sz w:val="13"/>
                <w:szCs w:val="13"/>
                <w:b w:val="1"/>
                <w:bCs w:val="1"/>
                <w:color w:val="auto"/>
                <w:w w:val="99"/>
              </w:rPr>
              <w:t>Option awards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26"/>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value of</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left="297"/>
              <w:spacing w:after="0"/>
              <w:rPr>
                <w:sz w:val="20"/>
                <w:szCs w:val="20"/>
                <w:color w:val="auto"/>
              </w:rPr>
            </w:pPr>
            <w:r>
              <w:rPr>
                <w:rFonts w:ascii="Arial" w:cs="Arial" w:eastAsia="Arial" w:hAnsi="Arial"/>
                <w:sz w:val="13"/>
                <w:szCs w:val="13"/>
                <w:b w:val="1"/>
                <w:bCs w:val="1"/>
                <w:color w:val="auto"/>
                <w:w w:val="97"/>
              </w:rPr>
              <w:t>Number</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1"/>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of units</w:t>
            </w:r>
          </w:p>
        </w:tc>
        <w:tc>
          <w:tcPr>
            <w:tcW w:w="0" w:type="dxa"/>
            <w:vAlign w:val="bottom"/>
          </w:tcPr>
          <w:p>
            <w:pPr>
              <w:spacing w:after="0"/>
              <w:rPr>
                <w:sz w:val="1"/>
                <w:szCs w:val="1"/>
                <w:color w:val="auto"/>
              </w:rPr>
            </w:pPr>
          </w:p>
        </w:tc>
      </w:tr>
      <w:tr>
        <w:trPr>
          <w:trHeight w:val="126"/>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97"/>
              <w:spacing w:after="0" w:line="126" w:lineRule="exact"/>
              <w:rPr>
                <w:sz w:val="20"/>
                <w:szCs w:val="20"/>
                <w:color w:val="auto"/>
              </w:rPr>
            </w:pPr>
            <w:r>
              <w:rPr>
                <w:rFonts w:ascii="Arial" w:cs="Arial" w:eastAsia="Arial" w:hAnsi="Arial"/>
                <w:sz w:val="13"/>
                <w:szCs w:val="13"/>
                <w:b w:val="1"/>
                <w:bCs w:val="1"/>
                <w:color w:val="auto"/>
                <w:w w:val="96"/>
              </w:rPr>
              <w:t>of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stock</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securities</w:t>
            </w:r>
          </w:p>
        </w:tc>
        <w:tc>
          <w:tcPr>
            <w:tcW w:w="1480" w:type="dxa"/>
            <w:vAlign w:val="bottom"/>
            <w:gridSpan w:val="3"/>
            <w:vMerge w:val="continue"/>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Option</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77"/>
              <w:spacing w:after="0" w:line="122" w:lineRule="exact"/>
              <w:rPr>
                <w:sz w:val="20"/>
                <w:szCs w:val="20"/>
                <w:color w:val="auto"/>
              </w:rPr>
            </w:pPr>
            <w:r>
              <w:rPr>
                <w:rFonts w:ascii="Arial" w:cs="Arial" w:eastAsia="Arial" w:hAnsi="Arial"/>
                <w:sz w:val="13"/>
                <w:szCs w:val="13"/>
                <w:b w:val="1"/>
                <w:bCs w:val="1"/>
                <w:color w:val="auto"/>
                <w:w w:val="96"/>
              </w:rPr>
              <w:t>or units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underlying</w:t>
            </w:r>
          </w:p>
        </w:tc>
        <w:tc>
          <w:tcPr>
            <w:tcW w:w="148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5"/>
              </w:rPr>
              <w:t>securities</w:t>
            </w:r>
          </w:p>
        </w:tc>
        <w:tc>
          <w:tcPr>
            <w:tcW w:w="78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297"/>
              <w:spacing w:after="0" w:line="122" w:lineRule="exact"/>
              <w:rPr>
                <w:sz w:val="20"/>
                <w:szCs w:val="20"/>
                <w:color w:val="auto"/>
              </w:rPr>
            </w:pPr>
            <w:r>
              <w:rPr>
                <w:rFonts w:ascii="Arial" w:cs="Arial" w:eastAsia="Arial" w:hAnsi="Arial"/>
                <w:sz w:val="13"/>
                <w:szCs w:val="13"/>
                <w:b w:val="1"/>
                <w:bCs w:val="1"/>
                <w:color w:val="auto"/>
                <w:w w:val="96"/>
              </w:rPr>
              <w:t>of stock</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have</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Vesting</w:t>
            </w:r>
          </w:p>
        </w:tc>
        <w:tc>
          <w:tcPr>
            <w:tcW w:w="8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48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underlying</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exercise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100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4"/>
              </w:rPr>
              <w:t>that have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not</w:t>
            </w:r>
          </w:p>
        </w:tc>
        <w:tc>
          <w:tcPr>
            <w:tcW w:w="0" w:type="dxa"/>
            <w:vAlign w:val="bottom"/>
          </w:tcPr>
          <w:p>
            <w:pPr>
              <w:spacing w:after="0"/>
              <w:rPr>
                <w:sz w:val="1"/>
                <w:szCs w:val="1"/>
                <w:color w:val="auto"/>
              </w:rPr>
            </w:pPr>
          </w:p>
        </w:tc>
      </w:tr>
      <w:tr>
        <w:trPr>
          <w:trHeight w:val="122"/>
        </w:trPr>
        <w:tc>
          <w:tcPr>
            <w:tcW w:w="2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options exercisable</w:t>
            </w:r>
          </w:p>
        </w:tc>
        <w:tc>
          <w:tcPr>
            <w:tcW w:w="148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price</w:t>
            </w:r>
          </w:p>
        </w:tc>
        <w:tc>
          <w:tcPr>
            <w:tcW w:w="1160" w:type="dxa"/>
            <w:vAlign w:val="bottom"/>
            <w:gridSpan w:val="2"/>
            <w:vMerge w:val="continue"/>
          </w:tcPr>
          <w:p>
            <w:pPr>
              <w:spacing w:after="0"/>
              <w:rPr>
                <w:sz w:val="10"/>
                <w:szCs w:val="10"/>
                <w:color w:val="auto"/>
              </w:rPr>
            </w:pPr>
          </w:p>
        </w:tc>
        <w:tc>
          <w:tcPr>
            <w:tcW w:w="1000" w:type="dxa"/>
            <w:vAlign w:val="bottom"/>
          </w:tcPr>
          <w:p>
            <w:pPr>
              <w:jc w:val="center"/>
              <w:ind w:left="297"/>
              <w:spacing w:after="0" w:line="122" w:lineRule="exact"/>
              <w:rPr>
                <w:sz w:val="20"/>
                <w:szCs w:val="20"/>
                <w:color w:val="auto"/>
              </w:rPr>
            </w:pPr>
            <w:r>
              <w:rPr>
                <w:rFonts w:ascii="Arial" w:cs="Arial" w:eastAsia="Arial" w:hAnsi="Arial"/>
                <w:sz w:val="13"/>
                <w:szCs w:val="13"/>
                <w:b w:val="1"/>
                <w:bCs w:val="1"/>
                <w:color w:val="auto"/>
                <w:w w:val="98"/>
              </w:rPr>
              <w:t>not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vested</w:t>
            </w: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94"/>
              </w:rPr>
              <w:t xml:space="preserve">commencement date </w:t>
            </w:r>
            <w:r>
              <w:rPr>
                <w:rFonts w:ascii="Arial" w:cs="Arial" w:eastAsia="Arial" w:hAnsi="Arial"/>
                <w:sz w:val="16"/>
                <w:szCs w:val="16"/>
                <w:b w:val="1"/>
                <w:bCs w:val="1"/>
                <w:color w:val="auto"/>
                <w:w w:val="94"/>
                <w:vertAlign w:val="superscript"/>
              </w:rPr>
              <w:t>(1)</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unexercisable (#)</w:t>
            </w:r>
          </w:p>
        </w:tc>
        <w:tc>
          <w:tcPr>
            <w:tcW w:w="68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expiration date</w:t>
            </w: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vested (#)</w:t>
            </w:r>
          </w:p>
        </w:tc>
        <w:tc>
          <w:tcPr>
            <w:tcW w:w="1880" w:type="dxa"/>
            <w:vAlign w:val="bottom"/>
            <w:gridSpan w:val="3"/>
          </w:tcPr>
          <w:p>
            <w:pPr>
              <w:jc w:val="center"/>
              <w:ind w:left="397"/>
              <w:spacing w:after="0" w:line="175"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(2)</w:t>
            </w:r>
          </w:p>
        </w:tc>
        <w:tc>
          <w:tcPr>
            <w:tcW w:w="0" w:type="dxa"/>
            <w:vAlign w:val="bottom"/>
          </w:tcPr>
          <w:p>
            <w:pPr>
              <w:spacing w:after="0"/>
              <w:rPr>
                <w:sz w:val="1"/>
                <w:szCs w:val="1"/>
                <w:color w:val="auto"/>
              </w:rPr>
            </w:pPr>
          </w:p>
        </w:tc>
      </w:tr>
      <w:tr>
        <w:trPr>
          <w:trHeight w:val="159"/>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David Barrett</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10/30/2014</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1,585,640</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right="57"/>
              <w:spacing w:after="0"/>
              <w:rPr>
                <w:sz w:val="20"/>
                <w:szCs w:val="20"/>
                <w:color w:val="auto"/>
              </w:rPr>
            </w:pPr>
            <w:r>
              <w:rPr>
                <w:rFonts w:ascii="Arial" w:cs="Arial" w:eastAsia="Arial" w:hAnsi="Arial"/>
                <w:sz w:val="13"/>
                <w:szCs w:val="13"/>
                <w:color w:val="auto"/>
                <w:w w:val="94"/>
              </w:rPr>
              <w:t>0.21</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11/24/2024</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5"/>
        </w:trPr>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 xml:space="preserve">4/12/2019 </w:t>
            </w:r>
            <w:r>
              <w:rPr>
                <w:rFonts w:ascii="Arial" w:cs="Arial" w:eastAsia="Arial" w:hAnsi="Arial"/>
                <w:sz w:val="16"/>
                <w:szCs w:val="16"/>
                <w:color w:val="auto"/>
                <w:w w:val="93"/>
                <w:vertAlign w:val="superscript"/>
              </w:rPr>
              <w:t>(3)</w:t>
            </w:r>
          </w:p>
        </w:tc>
        <w:tc>
          <w:tcPr>
            <w:tcW w:w="130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96"/>
              </w:rPr>
              <w:t>1,302,720</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1.07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4/12/2025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5" w:lineRule="exact"/>
              <w:rPr>
                <w:sz w:val="20"/>
                <w:szCs w:val="20"/>
                <w:color w:val="auto"/>
              </w:rPr>
            </w:pPr>
            <w:r>
              <w:rPr>
                <w:rFonts w:ascii="Arial" w:cs="Arial" w:eastAsia="Arial" w:hAnsi="Arial"/>
                <w:sz w:val="13"/>
                <w:szCs w:val="13"/>
                <w:color w:val="auto"/>
                <w:w w:val="92"/>
              </w:rPr>
              <w:t xml:space="preserve">3/1/2020 </w:t>
            </w:r>
            <w:r>
              <w:rPr>
                <w:rFonts w:ascii="Arial" w:cs="Arial" w:eastAsia="Arial" w:hAnsi="Arial"/>
                <w:sz w:val="16"/>
                <w:szCs w:val="16"/>
                <w:color w:val="auto"/>
                <w:w w:val="92"/>
                <w:vertAlign w:val="superscript"/>
              </w:rPr>
              <w:t>(4)</w:t>
            </w:r>
          </w:p>
        </w:tc>
        <w:tc>
          <w:tcPr>
            <w:tcW w:w="130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w w:val="95"/>
              </w:rPr>
              <w:t>41,550</w:t>
            </w:r>
          </w:p>
        </w:tc>
        <w:tc>
          <w:tcPr>
            <w:tcW w:w="1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1.60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6/21/2030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5" w:lineRule="exact"/>
              <w:rPr>
                <w:sz w:val="20"/>
                <w:szCs w:val="20"/>
                <w:color w:val="auto"/>
              </w:rPr>
            </w:pPr>
            <w:r>
              <w:rPr>
                <w:rFonts w:ascii="Arial" w:cs="Arial" w:eastAsia="Arial" w:hAnsi="Arial"/>
                <w:sz w:val="13"/>
                <w:szCs w:val="13"/>
                <w:color w:val="auto"/>
                <w:w w:val="91"/>
              </w:rPr>
              <w:t xml:space="preserve">9/15/2021 </w:t>
            </w:r>
            <w:r>
              <w:rPr>
                <w:rFonts w:ascii="Arial" w:cs="Arial" w:eastAsia="Arial" w:hAnsi="Arial"/>
                <w:sz w:val="16"/>
                <w:szCs w:val="16"/>
                <w:color w:val="auto"/>
                <w:w w:val="91"/>
                <w:vertAlign w:val="superscript"/>
              </w:rPr>
              <w:t>(5)</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w w:val="97"/>
              </w:rPr>
              <w:t>925,640</w:t>
            </w:r>
          </w:p>
        </w:tc>
        <w:tc>
          <w:tcPr>
            <w:tcW w:w="1880" w:type="dxa"/>
            <w:vAlign w:val="bottom"/>
            <w:gridSpan w:val="3"/>
            <w:shd w:val="clear" w:color="auto" w:fill="CCEEFF"/>
          </w:tcPr>
          <w:p>
            <w:pPr>
              <w:jc w:val="center"/>
              <w:ind w:left="377"/>
              <w:spacing w:after="0"/>
              <w:rPr>
                <w:sz w:val="20"/>
                <w:szCs w:val="20"/>
                <w:color w:val="auto"/>
              </w:rPr>
            </w:pPr>
            <w:r>
              <w:rPr>
                <w:rFonts w:ascii="Arial" w:cs="Arial" w:eastAsia="Arial" w:hAnsi="Arial"/>
                <w:sz w:val="13"/>
                <w:szCs w:val="13"/>
                <w:color w:val="auto"/>
                <w:w w:val="98"/>
              </w:rPr>
              <w:t>40,728,160</w:t>
            </w: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color w:val="auto"/>
              </w:rPr>
              <w:t>Ryan Schaffer</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1/1/2016</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1,610</w:t>
            </w:r>
          </w:p>
        </w:tc>
        <w:tc>
          <w:tcPr>
            <w:tcW w:w="100" w:type="dxa"/>
            <w:vAlign w:val="bottom"/>
          </w:tcPr>
          <w:p>
            <w:pPr>
              <w:spacing w:after="0"/>
              <w:rPr>
                <w:sz w:val="14"/>
                <w:szCs w:val="1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0.53</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3/31/2026</w:t>
            </w:r>
          </w:p>
        </w:tc>
        <w:tc>
          <w:tcPr>
            <w:tcW w:w="100" w:type="dxa"/>
            <w:vAlign w:val="bottom"/>
          </w:tcPr>
          <w:p>
            <w:pPr>
              <w:spacing w:after="0"/>
              <w:rPr>
                <w:sz w:val="14"/>
                <w:szCs w:val="14"/>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540" w:type="dxa"/>
            <w:vAlign w:val="bottom"/>
            <w:gridSpan w:val="2"/>
          </w:tcPr>
          <w:p>
            <w:pPr>
              <w:jc w:val="center"/>
              <w:ind w:left="37"/>
              <w:spacing w:after="0" w:line="181" w:lineRule="exact"/>
              <w:rPr>
                <w:sz w:val="20"/>
                <w:szCs w:val="20"/>
                <w:color w:val="auto"/>
              </w:rPr>
            </w:pPr>
            <w:r>
              <w:rPr>
                <w:rFonts w:ascii="Arial" w:cs="Arial" w:eastAsia="Arial" w:hAnsi="Arial"/>
                <w:sz w:val="13"/>
                <w:szCs w:val="13"/>
                <w:color w:val="auto"/>
                <w:w w:val="92"/>
              </w:rPr>
              <w:t xml:space="preserve">10/30/2018 </w:t>
            </w:r>
            <w:r>
              <w:rPr>
                <w:rFonts w:ascii="Arial" w:cs="Arial" w:eastAsia="Arial" w:hAnsi="Arial"/>
                <w:sz w:val="16"/>
                <w:szCs w:val="16"/>
                <w:color w:val="auto"/>
                <w:w w:val="92"/>
                <w:vertAlign w:val="superscript"/>
              </w:rPr>
              <w:t>(4)</w:t>
            </w:r>
          </w:p>
        </w:tc>
        <w:tc>
          <w:tcPr>
            <w:tcW w:w="130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10,320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0.97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1/10/2029</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2/1/2019 </w:t>
            </w:r>
            <w:r>
              <w:rPr>
                <w:rFonts w:ascii="Arial" w:cs="Arial" w:eastAsia="Arial" w:hAnsi="Arial"/>
                <w:sz w:val="16"/>
                <w:szCs w:val="16"/>
                <w:color w:val="auto"/>
                <w:w w:val="92"/>
                <w:vertAlign w:val="superscript"/>
              </w:rPr>
              <w:t>(4)</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4,930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0.97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4/12/2029</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3/1/2019 </w:t>
            </w:r>
            <w:r>
              <w:rPr>
                <w:rFonts w:ascii="Arial" w:cs="Arial" w:eastAsia="Arial" w:hAnsi="Arial"/>
                <w:sz w:val="16"/>
                <w:szCs w:val="16"/>
                <w:color w:val="auto"/>
                <w:w w:val="92"/>
                <w:vertAlign w:val="superscript"/>
              </w:rPr>
              <w:t>(4)</w:t>
            </w:r>
          </w:p>
        </w:tc>
        <w:tc>
          <w:tcPr>
            <w:tcW w:w="130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15,910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0.97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4/12/2029</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3"/>
              </w:rPr>
              <w:t xml:space="preserve">4/12/2019 </w:t>
            </w:r>
            <w:r>
              <w:rPr>
                <w:rFonts w:ascii="Arial" w:cs="Arial" w:eastAsia="Arial" w:hAnsi="Arial"/>
                <w:sz w:val="16"/>
                <w:szCs w:val="16"/>
                <w:color w:val="auto"/>
                <w:w w:val="93"/>
                <w:vertAlign w:val="superscript"/>
              </w:rPr>
              <w:t>(3)</w:t>
            </w:r>
          </w:p>
        </w:tc>
        <w:tc>
          <w:tcPr>
            <w:tcW w:w="1300" w:type="dxa"/>
            <w:vAlign w:val="bottom"/>
            <w:gridSpan w:val="2"/>
          </w:tcPr>
          <w:p>
            <w:pPr>
              <w:jc w:val="center"/>
              <w:ind w:left="17"/>
              <w:spacing w:after="0"/>
              <w:rPr>
                <w:sz w:val="20"/>
                <w:szCs w:val="20"/>
                <w:color w:val="auto"/>
              </w:rPr>
            </w:pPr>
            <w:r>
              <w:rPr>
                <w:rFonts w:ascii="Arial" w:cs="Arial" w:eastAsia="Arial" w:hAnsi="Arial"/>
                <w:sz w:val="13"/>
                <w:szCs w:val="13"/>
                <w:color w:val="auto"/>
                <w:w w:val="97"/>
              </w:rPr>
              <w:t>421,050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0.97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4/12/2029</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9/1/2019 </w:t>
            </w:r>
            <w:r>
              <w:rPr>
                <w:rFonts w:ascii="Arial" w:cs="Arial" w:eastAsia="Arial" w:hAnsi="Arial"/>
                <w:sz w:val="16"/>
                <w:szCs w:val="16"/>
                <w:color w:val="auto"/>
                <w:w w:val="92"/>
                <w:vertAlign w:val="superscript"/>
              </w:rPr>
              <w:t>(4)</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3,820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1.60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6/21/2030</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3/1/2020 </w:t>
            </w:r>
            <w:r>
              <w:rPr>
                <w:rFonts w:ascii="Arial" w:cs="Arial" w:eastAsia="Arial" w:hAnsi="Arial"/>
                <w:sz w:val="16"/>
                <w:szCs w:val="16"/>
                <w:color w:val="auto"/>
                <w:w w:val="92"/>
                <w:vertAlign w:val="superscript"/>
              </w:rPr>
              <w:t>(4)</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4,540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1.60</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6/21/2030</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1/1/2021 </w:t>
            </w:r>
            <w:r>
              <w:rPr>
                <w:rFonts w:ascii="Arial" w:cs="Arial" w:eastAsia="Arial" w:hAnsi="Arial"/>
                <w:sz w:val="16"/>
                <w:szCs w:val="16"/>
                <w:color w:val="auto"/>
                <w:w w:val="92"/>
                <w:vertAlign w:val="superscript"/>
              </w:rPr>
              <w:t>(4)</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1,230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7.21</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3/15/2031</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2"/>
              </w:rPr>
              <w:t xml:space="preserve">3/1/2021 </w:t>
            </w:r>
            <w:r>
              <w:rPr>
                <w:rFonts w:ascii="Arial" w:cs="Arial" w:eastAsia="Arial" w:hAnsi="Arial"/>
                <w:sz w:val="16"/>
                <w:szCs w:val="16"/>
                <w:color w:val="auto"/>
                <w:w w:val="92"/>
                <w:vertAlign w:val="superscript"/>
              </w:rPr>
              <w:t>(4)</w:t>
            </w:r>
          </w:p>
        </w:tc>
        <w:tc>
          <w:tcPr>
            <w:tcW w:w="1300" w:type="dxa"/>
            <w:vAlign w:val="bottom"/>
            <w:gridSpan w:val="2"/>
          </w:tcPr>
          <w:p>
            <w:pPr>
              <w:jc w:val="center"/>
              <w:ind w:left="17"/>
              <w:spacing w:after="0"/>
              <w:rPr>
                <w:sz w:val="20"/>
                <w:szCs w:val="20"/>
                <w:color w:val="auto"/>
              </w:rPr>
            </w:pPr>
            <w:r>
              <w:rPr>
                <w:rFonts w:ascii="Arial" w:cs="Arial" w:eastAsia="Arial" w:hAnsi="Arial"/>
                <w:sz w:val="13"/>
                <w:szCs w:val="13"/>
                <w:color w:val="auto"/>
                <w:w w:val="95"/>
              </w:rPr>
              <w:t>16,520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4"/>
              </w:rPr>
              <w:t>7.21</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3/15/2031</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540" w:type="dxa"/>
            <w:vAlign w:val="bottom"/>
            <w:gridSpan w:val="2"/>
          </w:tcPr>
          <w:p>
            <w:pPr>
              <w:jc w:val="center"/>
              <w:ind w:left="17"/>
              <w:spacing w:after="0" w:line="175" w:lineRule="exact"/>
              <w:rPr>
                <w:sz w:val="20"/>
                <w:szCs w:val="20"/>
                <w:color w:val="auto"/>
              </w:rPr>
            </w:pPr>
            <w:r>
              <w:rPr>
                <w:rFonts w:ascii="Arial" w:cs="Arial" w:eastAsia="Arial" w:hAnsi="Arial"/>
                <w:sz w:val="13"/>
                <w:szCs w:val="13"/>
                <w:color w:val="auto"/>
                <w:w w:val="93"/>
              </w:rPr>
              <w:t xml:space="preserve">9/16/2021 </w:t>
            </w:r>
            <w:r>
              <w:rPr>
                <w:rFonts w:ascii="Arial" w:cs="Arial" w:eastAsia="Arial" w:hAnsi="Arial"/>
                <w:sz w:val="16"/>
                <w:szCs w:val="16"/>
                <w:color w:val="auto"/>
                <w:w w:val="93"/>
                <w:vertAlign w:val="superscript"/>
              </w:rPr>
              <w:t>(4)</w:t>
            </w:r>
          </w:p>
        </w:tc>
        <w:tc>
          <w:tcPr>
            <w:tcW w:w="1300" w:type="dxa"/>
            <w:vAlign w:val="bottom"/>
            <w:gridSpan w:val="2"/>
          </w:tcPr>
          <w:p>
            <w:pPr>
              <w:jc w:val="center"/>
              <w:ind w:left="37"/>
              <w:spacing w:after="0"/>
              <w:rPr>
                <w:sz w:val="20"/>
                <w:szCs w:val="20"/>
                <w:color w:val="auto"/>
              </w:rPr>
            </w:pPr>
            <w:r>
              <w:rPr>
                <w:rFonts w:ascii="Arial" w:cs="Arial" w:eastAsia="Arial" w:hAnsi="Arial"/>
                <w:sz w:val="13"/>
                <w:szCs w:val="13"/>
                <w:color w:val="auto"/>
                <w:w w:val="98"/>
              </w:rPr>
              <w:t>6,880</w:t>
            </w:r>
          </w:p>
        </w:tc>
        <w:tc>
          <w:tcPr>
            <w:tcW w:w="10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57"/>
              <w:spacing w:after="0"/>
              <w:rPr>
                <w:sz w:val="20"/>
                <w:szCs w:val="20"/>
                <w:color w:val="auto"/>
              </w:rPr>
            </w:pPr>
            <w:r>
              <w:rPr>
                <w:rFonts w:ascii="Arial" w:cs="Arial" w:eastAsia="Arial" w:hAnsi="Arial"/>
                <w:sz w:val="13"/>
                <w:szCs w:val="13"/>
                <w:color w:val="auto"/>
                <w:w w:val="98"/>
              </w:rPr>
              <w:t>12.97</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5"/>
              </w:rPr>
              <w:t>10/12/2031</w:t>
            </w:r>
          </w:p>
        </w:tc>
        <w:tc>
          <w:tcPr>
            <w:tcW w:w="100" w:type="dxa"/>
            <w:vAlign w:val="bottom"/>
          </w:tcPr>
          <w:p>
            <w:pPr>
              <w:spacing w:after="0"/>
              <w:rPr>
                <w:sz w:val="15"/>
                <w:szCs w:val="15"/>
                <w:color w:val="auto"/>
              </w:rPr>
            </w:pPr>
          </w:p>
        </w:tc>
        <w:tc>
          <w:tcPr>
            <w:tcW w:w="1000" w:type="dxa"/>
            <w:vAlign w:val="bottom"/>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1540" w:type="dxa"/>
            <w:vAlign w:val="bottom"/>
            <w:gridSpan w:val="2"/>
          </w:tcPr>
          <w:p>
            <w:pPr>
              <w:jc w:val="center"/>
              <w:ind w:left="37"/>
              <w:spacing w:after="0" w:line="180" w:lineRule="exact"/>
              <w:rPr>
                <w:sz w:val="20"/>
                <w:szCs w:val="20"/>
                <w:color w:val="auto"/>
              </w:rPr>
            </w:pPr>
            <w:r>
              <w:rPr>
                <w:rFonts w:ascii="Arial" w:cs="Arial" w:eastAsia="Arial" w:hAnsi="Arial"/>
                <w:sz w:val="13"/>
                <w:szCs w:val="13"/>
                <w:color w:val="auto"/>
                <w:w w:val="91"/>
              </w:rPr>
              <w:t xml:space="preserve">9/15/2021 </w:t>
            </w:r>
            <w:r>
              <w:rPr>
                <w:rFonts w:ascii="Arial" w:cs="Arial" w:eastAsia="Arial" w:hAnsi="Arial"/>
                <w:sz w:val="16"/>
                <w:szCs w:val="16"/>
                <w:color w:val="auto"/>
                <w:w w:val="91"/>
                <w:vertAlign w:val="superscript"/>
              </w:rPr>
              <w:t>(5)</w:t>
            </w:r>
          </w:p>
        </w:tc>
        <w:tc>
          <w:tcPr>
            <w:tcW w:w="80" w:type="dxa"/>
            <w:vAlign w:val="bottom"/>
          </w:tcPr>
          <w:p>
            <w:pPr>
              <w:spacing w:after="0"/>
              <w:rPr>
                <w:sz w:val="15"/>
                <w:szCs w:val="15"/>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center"/>
              <w:ind w:left="277"/>
              <w:spacing w:after="0"/>
              <w:rPr>
                <w:sz w:val="20"/>
                <w:szCs w:val="20"/>
                <w:color w:val="auto"/>
              </w:rPr>
            </w:pPr>
            <w:r>
              <w:rPr>
                <w:rFonts w:ascii="Arial" w:cs="Arial" w:eastAsia="Arial" w:hAnsi="Arial"/>
                <w:sz w:val="13"/>
                <w:szCs w:val="13"/>
                <w:color w:val="auto"/>
                <w:w w:val="97"/>
              </w:rPr>
              <w:t>251,040</w:t>
            </w:r>
          </w:p>
        </w:tc>
        <w:tc>
          <w:tcPr>
            <w:tcW w:w="1880" w:type="dxa"/>
            <w:vAlign w:val="bottom"/>
            <w:gridSpan w:val="3"/>
          </w:tcPr>
          <w:p>
            <w:pPr>
              <w:jc w:val="center"/>
              <w:ind w:left="397"/>
              <w:spacing w:after="0"/>
              <w:rPr>
                <w:sz w:val="20"/>
                <w:szCs w:val="20"/>
                <w:color w:val="auto"/>
              </w:rPr>
            </w:pPr>
            <w:r>
              <w:rPr>
                <w:rFonts w:ascii="Arial" w:cs="Arial" w:eastAsia="Arial" w:hAnsi="Arial"/>
                <w:sz w:val="13"/>
                <w:szCs w:val="13"/>
                <w:color w:val="auto"/>
                <w:w w:val="95"/>
              </w:rPr>
              <w:t>11,045,760</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Anu Muralidharan</w:t>
            </w:r>
          </w:p>
        </w:tc>
        <w:tc>
          <w:tcPr>
            <w:tcW w:w="1540" w:type="dxa"/>
            <w:vAlign w:val="bottom"/>
            <w:gridSpan w:val="2"/>
            <w:shd w:val="clear" w:color="auto" w:fill="CCEEFF"/>
          </w:tcPr>
          <w:p>
            <w:pPr>
              <w:jc w:val="center"/>
              <w:ind w:left="17"/>
              <w:spacing w:after="0" w:line="175" w:lineRule="exact"/>
              <w:rPr>
                <w:sz w:val="20"/>
                <w:szCs w:val="20"/>
                <w:color w:val="auto"/>
              </w:rPr>
            </w:pPr>
            <w:r>
              <w:rPr>
                <w:rFonts w:ascii="Arial" w:cs="Arial" w:eastAsia="Arial" w:hAnsi="Arial"/>
                <w:sz w:val="13"/>
                <w:szCs w:val="13"/>
                <w:color w:val="auto"/>
                <w:w w:val="92"/>
              </w:rPr>
              <w:t xml:space="preserve">3/1/2021 </w:t>
            </w:r>
            <w:r>
              <w:rPr>
                <w:rFonts w:ascii="Arial" w:cs="Arial" w:eastAsia="Arial" w:hAnsi="Arial"/>
                <w:sz w:val="16"/>
                <w:szCs w:val="16"/>
                <w:color w:val="auto"/>
                <w:w w:val="92"/>
                <w:vertAlign w:val="superscript"/>
              </w:rPr>
              <w:t>(4)</w:t>
            </w:r>
          </w:p>
        </w:tc>
        <w:tc>
          <w:tcPr>
            <w:tcW w:w="130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w w:val="95"/>
              </w:rPr>
              <w:t>30,800</w:t>
            </w:r>
          </w:p>
        </w:tc>
        <w:tc>
          <w:tcPr>
            <w:tcW w:w="1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4"/>
              </w:rPr>
              <w:t>7.21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3/15/2031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5" w:lineRule="exact"/>
              <w:rPr>
                <w:sz w:val="20"/>
                <w:szCs w:val="20"/>
                <w:color w:val="auto"/>
              </w:rPr>
            </w:pPr>
            <w:r>
              <w:rPr>
                <w:rFonts w:ascii="Arial" w:cs="Arial" w:eastAsia="Arial" w:hAnsi="Arial"/>
                <w:sz w:val="13"/>
                <w:szCs w:val="13"/>
                <w:color w:val="auto"/>
                <w:w w:val="93"/>
              </w:rPr>
              <w:t xml:space="preserve">9/16/2021 </w:t>
            </w:r>
            <w:r>
              <w:rPr>
                <w:rFonts w:ascii="Arial" w:cs="Arial" w:eastAsia="Arial" w:hAnsi="Arial"/>
                <w:sz w:val="16"/>
                <w:szCs w:val="16"/>
                <w:color w:val="auto"/>
                <w:w w:val="93"/>
                <w:vertAlign w:val="superscript"/>
              </w:rPr>
              <w:t>(4)</w:t>
            </w:r>
          </w:p>
        </w:tc>
        <w:tc>
          <w:tcPr>
            <w:tcW w:w="130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98"/>
              </w:rPr>
              <w:t>5,500</w:t>
            </w:r>
          </w:p>
        </w:tc>
        <w:tc>
          <w:tcPr>
            <w:tcW w:w="1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8"/>
              </w:rPr>
              <w:t>12.97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10/12/2031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5" w:lineRule="exact"/>
              <w:rPr>
                <w:sz w:val="20"/>
                <w:szCs w:val="20"/>
                <w:color w:val="auto"/>
              </w:rPr>
            </w:pPr>
            <w:r>
              <w:rPr>
                <w:rFonts w:ascii="Arial" w:cs="Arial" w:eastAsia="Arial" w:hAnsi="Arial"/>
                <w:sz w:val="13"/>
                <w:szCs w:val="13"/>
                <w:color w:val="auto"/>
                <w:w w:val="91"/>
              </w:rPr>
              <w:t xml:space="preserve">9/15/2021 </w:t>
            </w:r>
            <w:r>
              <w:rPr>
                <w:rFonts w:ascii="Arial" w:cs="Arial" w:eastAsia="Arial" w:hAnsi="Arial"/>
                <w:sz w:val="16"/>
                <w:szCs w:val="16"/>
                <w:color w:val="auto"/>
                <w:w w:val="91"/>
                <w:vertAlign w:val="superscript"/>
              </w:rPr>
              <w:t>(5)</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1"/>
              </w:rPr>
              <w:t>—</w:t>
            </w:r>
          </w:p>
        </w:tc>
        <w:tc>
          <w:tcPr>
            <w:tcW w:w="1480" w:type="dxa"/>
            <w:vAlign w:val="bottom"/>
            <w:gridSpan w:val="3"/>
            <w:shd w:val="clear" w:color="auto" w:fill="CCEEFF"/>
          </w:tcPr>
          <w:p>
            <w:pPr>
              <w:jc w:val="center"/>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1"/>
              </w:rPr>
              <w:t>—</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center"/>
              <w:ind w:left="277"/>
              <w:spacing w:after="0"/>
              <w:rPr>
                <w:sz w:val="20"/>
                <w:szCs w:val="20"/>
                <w:color w:val="auto"/>
              </w:rPr>
            </w:pPr>
            <w:r>
              <w:rPr>
                <w:rFonts w:ascii="Arial" w:cs="Arial" w:eastAsia="Arial" w:hAnsi="Arial"/>
                <w:sz w:val="13"/>
                <w:szCs w:val="13"/>
                <w:color w:val="auto"/>
                <w:w w:val="97"/>
              </w:rPr>
              <w:t>202,780</w:t>
            </w:r>
          </w:p>
        </w:tc>
        <w:tc>
          <w:tcPr>
            <w:tcW w:w="1880" w:type="dxa"/>
            <w:vAlign w:val="bottom"/>
            <w:gridSpan w:val="3"/>
            <w:shd w:val="clear" w:color="auto" w:fill="CCEEFF"/>
          </w:tcPr>
          <w:p>
            <w:pPr>
              <w:jc w:val="center"/>
              <w:ind w:left="377"/>
              <w:spacing w:after="0"/>
              <w:rPr>
                <w:sz w:val="20"/>
                <w:szCs w:val="20"/>
                <w:color w:val="auto"/>
              </w:rPr>
            </w:pPr>
            <w:r>
              <w:rPr>
                <w:rFonts w:ascii="Arial" w:cs="Arial" w:eastAsia="Arial" w:hAnsi="Arial"/>
                <w:sz w:val="13"/>
                <w:szCs w:val="13"/>
                <w:color w:val="auto"/>
                <w:w w:val="96"/>
              </w:rPr>
              <w:t>8,922,320</w:t>
            </w:r>
          </w:p>
        </w:tc>
        <w:tc>
          <w:tcPr>
            <w:tcW w:w="0" w:type="dxa"/>
            <w:vAlign w:val="bottom"/>
          </w:tcPr>
          <w:p>
            <w:pPr>
              <w:spacing w:after="0"/>
              <w:rPr>
                <w:sz w:val="1"/>
                <w:szCs w:val="1"/>
                <w:color w:val="auto"/>
              </w:rPr>
            </w:pPr>
          </w:p>
        </w:tc>
      </w:tr>
      <w:tr>
        <w:trPr>
          <w:trHeight w:val="54"/>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40" w:hanging="332"/>
        <w:spacing w:after="0" w:line="266" w:lineRule="auto"/>
        <w:tabs>
          <w:tab w:leader="none" w:pos="356"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40" w:hanging="332"/>
        <w:spacing w:after="0" w:line="260"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Amounts reported were calculated by multiplying the number of restricted stock units outstanding as of December 31, 2021 by $44.00, the closing price of our Class A Common Stock on December 31, 2021.</w:t>
      </w:r>
    </w:p>
    <w:p>
      <w:pPr>
        <w:ind w:left="340" w:right="340" w:hanging="332"/>
        <w:spacing w:after="0" w:line="260"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340" w:hanging="332"/>
        <w:spacing w:after="0" w:line="260"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340" w:right="200" w:hanging="332"/>
        <w:spacing w:after="0" w:line="271" w:lineRule="auto"/>
        <w:tabs>
          <w:tab w:leader="none" w:pos="343" w:val="left"/>
        </w:tabs>
        <w:numPr>
          <w:ilvl w:val="0"/>
          <w:numId w:val="19"/>
        </w:numPr>
        <w:rPr>
          <w:rFonts w:ascii="Arial" w:cs="Arial" w:eastAsia="Arial" w:hAnsi="Arial"/>
          <w:sz w:val="13"/>
          <w:szCs w:val="13"/>
          <w:color w:val="auto"/>
        </w:rPr>
      </w:pPr>
      <w:r>
        <w:rPr>
          <w:rFonts w:ascii="Arial" w:cs="Arial" w:eastAsia="Arial" w:hAnsi="Arial"/>
          <w:sz w:val="13"/>
          <w:szCs w:val="13"/>
          <w:color w:val="auto"/>
        </w:rPr>
        <w:t>Each restricted stock unit (“RSU”) constitutes the right to receive one-half of one share of the Company’s Class A Common Stock and one-half of one share of the Company’s LT50 Common Stock upon vesting. 12.5% of the RSUs vest on the first anniversary of the vesting commencement date and 1/32nd of the total number of RSUs vest on each quarterly anniversary of the vesting commencement date thereafter, subject to the holder continuing to provide services to the Company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AGREEMENTS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maintain a Non-Employee Director Compensation Program which is applicable for our directors who are not serving as our employees (each a “Non-Employee Director”). Directors who are employed by us did not receive additional compensation for their services as directors in fiscal 2021.</w:t>
      </w:r>
    </w:p>
    <w:p>
      <w:pPr>
        <w:spacing w:after="0" w:line="1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Each director is reimbursed for their travel expenses incurred in connection with his or her attendance at full board of directors or committee meetings.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Non-Employee Director receives an annual cash retainer for his or her services equal to $30,000 plus any committee specific retainers (together the “Annual Retainer”), payable quarterly in arrears, and pro-rated to reflect any partial year served. Audit Committee members are paid an additional $10,000 while the chair is paid an additional $20,000. Non-Employee Director may elect to take 0 - 100% of their retainer in RSUs, each of which constitutes the right to receive a single share of our Class A Common Stock, instead of cash. The number of RSUs is calculated by taking the amount of the annual retainer that would have otherwise been paid to such Non-Employee Director on the applicable grant date by (ii) the average per share closing trading price of the Common Stock over the 30 consecutive trading days ending on the trading day immediately preceding the grant date. Each Retainer RSU Award automatically will be granted on the fifth day of the month immediately following the end of the quarter for which the corresponding portion of the annual retainer was earned. Each Retainer RSU Award will be fully vested on the grant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Non-Employee Director Compensation Program, each Non-Employee Director who was initially elected or appointed to serve on our Board on or after our IPO was granted an award of RSUs equal to $ 250,000 (ii) the average per share closing trading price of our Class A common stock over the 30 consecutive trading days ending on the trading day immediately preceding the grant date or, solely for Non-Employee Directors who commence service on the date of the IPO, the offering price to the public in the IPO (the “Initial RSU Award”). The Initial RSU Award will be automatically granted on the date on which such Non-Employee Director commences service on the Board. The Initial RSU Award will vest as to one-twelfth of the shares on each quarterly anniversary of the applicable grant date such that the shares subject to the Initial RSU Award are fully vested on the third anniversary of the grant date, subject to the Non-Employee Director continuing in service on the Board through each such vesting date.</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each Non-Employee Director who (i) has been serving on the Board for at least four months as of each meeting of the Company’s stockholders after the IPO (each, an “Annual Meeting”) and (ii) will continue to serve as a Non-Employee Director immediately following such meeting, shall be granted an award of RSUs covering a number of shares of Class A common stock calculated by dividing (i) $125,000 by (ii) the average per share closing trading price of the Common Stock over the 30 consecutive trading days ending on the trading day immediately preceding the grant date (the “Annual RSU Award”). 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detail regarding the fiscal 2021 compensation of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2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Fees Paid in Cash ($)</w:t>
            </w:r>
          </w:p>
        </w:tc>
        <w:tc>
          <w:tcPr>
            <w:tcW w:w="4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Stock Awards ($)</w:t>
            </w:r>
          </w:p>
        </w:tc>
        <w:tc>
          <w:tcPr>
            <w:tcW w:w="62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Tim Christen</w:t>
            </w:r>
            <w:r>
              <w:rPr>
                <w:rFonts w:ascii="Arial" w:cs="Arial" w:eastAsia="Arial" w:hAnsi="Arial"/>
                <w:sz w:val="23"/>
                <w:szCs w:val="23"/>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440,961</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446,976</w:t>
            </w:r>
          </w:p>
        </w:tc>
      </w:tr>
      <w:tr>
        <w:trPr>
          <w:trHeight w:val="229"/>
        </w:trPr>
        <w:tc>
          <w:tcPr>
            <w:tcW w:w="28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Vivian Liu</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440,961</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445,234</w:t>
            </w: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Ellen Pao</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440,961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445,401</w:t>
            </w:r>
          </w:p>
        </w:tc>
      </w:tr>
      <w:tr>
        <w:trPr>
          <w:trHeight w:val="54"/>
        </w:trPr>
        <w:tc>
          <w:tcPr>
            <w:tcW w:w="2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220"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Annual Retainer was pro-rated for a partial service period.</w:t>
      </w:r>
    </w:p>
    <w:p>
      <w:pPr>
        <w:spacing w:after="0" w:line="149" w:lineRule="exact"/>
        <w:rPr>
          <w:rFonts w:ascii="Arial" w:cs="Arial" w:eastAsia="Arial" w:hAnsi="Arial"/>
          <w:sz w:val="14"/>
          <w:szCs w:val="14"/>
          <w:color w:val="auto"/>
        </w:rPr>
      </w:pPr>
    </w:p>
    <w:p>
      <w:pPr>
        <w:jc w:val="both"/>
        <w:ind w:firstLine="8"/>
        <w:spacing w:after="0" w:line="283" w:lineRule="auto"/>
        <w:tabs>
          <w:tab w:leader="none" w:pos="2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reported represent the grant date fair value of restricted stock units granted during fiscal year 2021, as calculated in accordance with ASC Topic 718. See Note 9 of the audited consolidated financial statements for the fiscal year ended December 31, 2021 included in our Annual Report on Form 10-K filed with the SEC on March 31, 2022 As of December 31, 2021, Mr. Christen, Ms. Liu and Ms. Pao each held 9,260 RSUs. None of our Non-Employee Directors held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Security Ownership of Certain Beneficial Owners and Management</w:t>
      </w:r>
    </w:p>
    <w:p>
      <w:pPr>
        <w:spacing w:after="0" w:line="3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sets forth information with respect to beneficial ownership of our common stock as of April 25, 2022 for (i) each of our directors, (ii) each person known to us to be the beneficial owner of more than five percent of any class of our voting securities, (iii) each of our Named Executive Officers, and (iv) all of our current executive officers and directors as a group.</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April 25, 2022, subject to community property laws where applicable. We have deemed shares of our common stock subject to stock options that are currently exercisable or will be exercisable within 60 days of April 25, 2022 or net issuable pursuant to RSUs which are subject to vesting and settlement conditions expected to occur within 60 days of April 25, 2022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 The percentage of shares beneficially owned is based on 68,032,660 shares of Class A Common Stock, 7,331,970 shares of LT10 Common Stock and 6,224,160 shares of LT50 Common Stock outstanding as of April 25, 2022.</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Class A</w:t>
            </w:r>
          </w:p>
        </w:tc>
        <w:tc>
          <w:tcPr>
            <w:tcW w:w="7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LT10</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LT50</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580" w:type="dxa"/>
            <w:vAlign w:val="bottom"/>
            <w:vMerge w:val="restart"/>
          </w:tcPr>
          <w:p>
            <w:pPr>
              <w:ind w:left="20"/>
              <w:spacing w:after="0"/>
              <w:rPr>
                <w:sz w:val="20"/>
                <w:szCs w:val="20"/>
                <w:color w:val="auto"/>
              </w:rPr>
            </w:pPr>
            <w:r>
              <w:rPr>
                <w:rFonts w:ascii="Arial" w:cs="Arial" w:eastAsia="Arial" w:hAnsi="Arial"/>
                <w:sz w:val="14"/>
                <w:szCs w:val="14"/>
                <w:color w:val="auto"/>
              </w:rPr>
              <w:t>Name of Beneficial Owner</w:t>
            </w:r>
          </w:p>
        </w:tc>
        <w:tc>
          <w:tcPr>
            <w:tcW w:w="80" w:type="dxa"/>
            <w:vAlign w:val="bottom"/>
            <w:vMerge w:val="restart"/>
          </w:tcPr>
          <w:p>
            <w:pPr>
              <w:spacing w:after="0"/>
              <w:rPr>
                <w:sz w:val="11"/>
                <w:szCs w:val="11"/>
                <w:color w:val="auto"/>
              </w:rPr>
            </w:pPr>
          </w:p>
        </w:tc>
        <w:tc>
          <w:tcPr>
            <w:tcW w:w="1200" w:type="dxa"/>
            <w:vAlign w:val="bottom"/>
            <w:vMerge w:val="restart"/>
          </w:tcPr>
          <w:p>
            <w:pPr>
              <w:ind w:left="380"/>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rPr>
              <w:t>% of voting</w:t>
            </w:r>
          </w:p>
        </w:tc>
        <w:tc>
          <w:tcPr>
            <w:tcW w:w="0" w:type="dxa"/>
            <w:vAlign w:val="bottom"/>
          </w:tcPr>
          <w:p>
            <w:pPr>
              <w:spacing w:after="0"/>
              <w:rPr>
                <w:sz w:val="1"/>
                <w:szCs w:val="1"/>
                <w:color w:val="auto"/>
              </w:rPr>
            </w:pPr>
          </w:p>
        </w:tc>
      </w:tr>
      <w:tr>
        <w:trPr>
          <w:trHeight w:val="185"/>
        </w:trPr>
        <w:tc>
          <w:tcPr>
            <w:tcW w:w="3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power</w:t>
            </w:r>
          </w:p>
        </w:tc>
        <w:tc>
          <w:tcPr>
            <w:tcW w:w="0" w:type="dxa"/>
            <w:vAlign w:val="bottom"/>
          </w:tcPr>
          <w:p>
            <w:pPr>
              <w:spacing w:after="0"/>
              <w:rPr>
                <w:sz w:val="1"/>
                <w:szCs w:val="1"/>
                <w:color w:val="auto"/>
              </w:rPr>
            </w:pPr>
          </w:p>
        </w:tc>
      </w:tr>
      <w:tr>
        <w:trPr>
          <w:trHeight w:val="146"/>
        </w:trPr>
        <w:tc>
          <w:tcPr>
            <w:tcW w:w="366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Named Executive Officers, Directors and Director</w:t>
            </w: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Nominees: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David Barrett</w:t>
            </w:r>
            <w:r>
              <w:rPr>
                <w:rFonts w:ascii="Arial" w:cs="Arial" w:eastAsia="Arial" w:hAnsi="Arial"/>
                <w:sz w:val="9"/>
                <w:szCs w:val="9"/>
                <w:color w:val="auto"/>
              </w:rPr>
              <w:t>(1)</w:t>
            </w:r>
          </w:p>
        </w:tc>
        <w:tc>
          <w:tcPr>
            <w:tcW w:w="1200" w:type="dxa"/>
            <w:vAlign w:val="bottom"/>
          </w:tcPr>
          <w:p>
            <w:pPr>
              <w:jc w:val="center"/>
              <w:spacing w:after="0"/>
              <w:rPr>
                <w:sz w:val="20"/>
                <w:szCs w:val="20"/>
                <w:color w:val="auto"/>
              </w:rPr>
            </w:pPr>
            <w:r>
              <w:rPr>
                <w:rFonts w:ascii="Arial" w:cs="Arial" w:eastAsia="Arial" w:hAnsi="Arial"/>
                <w:sz w:val="14"/>
                <w:szCs w:val="14"/>
                <w:color w:val="auto"/>
              </w:rPr>
              <w:t>6,518,550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3,588,640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3,588,630</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Ryan Schaffer</w:t>
            </w:r>
            <w:r>
              <w:rPr>
                <w:rFonts w:ascii="Arial" w:cs="Arial" w:eastAsia="Arial" w:hAnsi="Arial"/>
                <w:sz w:val="9"/>
                <w:szCs w:val="9"/>
                <w:color w:val="auto"/>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495,674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489,090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Anu Muralidharan</w:t>
            </w:r>
            <w:r>
              <w:rPr>
                <w:rFonts w:ascii="Arial" w:cs="Arial" w:eastAsia="Arial" w:hAnsi="Arial"/>
                <w:sz w:val="9"/>
                <w:szCs w:val="9"/>
                <w:color w:val="auto"/>
              </w:rPr>
              <w:t>(3)</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115,050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102,140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89,850</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Mills</w:t>
            </w:r>
            <w:r>
              <w:rPr>
                <w:rFonts w:ascii="Arial" w:cs="Arial" w:eastAsia="Arial" w:hAnsi="Arial"/>
                <w:sz w:val="9"/>
                <w:szCs w:val="9"/>
                <w:color w:val="auto"/>
              </w:rPr>
              <w:t>(4)</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633,020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576,720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519,640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Daniel Vidal</w:t>
            </w:r>
            <w:r>
              <w:rPr>
                <w:rFonts w:ascii="Arial" w:cs="Arial" w:eastAsia="Arial" w:hAnsi="Arial"/>
                <w:sz w:val="9"/>
                <w:szCs w:val="9"/>
                <w:color w:val="auto"/>
              </w:rPr>
              <w:t>(5)</w:t>
            </w:r>
          </w:p>
        </w:tc>
        <w:tc>
          <w:tcPr>
            <w:tcW w:w="1200" w:type="dxa"/>
            <w:vAlign w:val="bottom"/>
          </w:tcPr>
          <w:p>
            <w:pPr>
              <w:jc w:val="center"/>
              <w:spacing w:after="0"/>
              <w:rPr>
                <w:sz w:val="20"/>
                <w:szCs w:val="20"/>
                <w:color w:val="auto"/>
              </w:rPr>
            </w:pPr>
            <w:r>
              <w:rPr>
                <w:rFonts w:ascii="Arial" w:cs="Arial" w:eastAsia="Arial" w:hAnsi="Arial"/>
                <w:sz w:val="14"/>
                <w:szCs w:val="14"/>
                <w:color w:val="auto"/>
              </w:rPr>
              <w:t>284,070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8"/>
              </w:rPr>
              <w:t>112,650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112,640</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L. Christen</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10,092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Ying (Vivian) Liu</w:t>
            </w:r>
          </w:p>
        </w:tc>
        <w:tc>
          <w:tcPr>
            <w:tcW w:w="1200" w:type="dxa"/>
            <w:vAlign w:val="bottom"/>
          </w:tcPr>
          <w:p>
            <w:pPr>
              <w:jc w:val="center"/>
              <w:spacing w:after="0"/>
              <w:rPr>
                <w:sz w:val="20"/>
                <w:szCs w:val="20"/>
                <w:color w:val="auto"/>
              </w:rPr>
            </w:pPr>
            <w:r>
              <w:rPr>
                <w:rFonts w:ascii="Arial" w:cs="Arial" w:eastAsia="Arial" w:hAnsi="Arial"/>
                <w:sz w:val="14"/>
                <w:szCs w:val="14"/>
                <w:color w:val="auto"/>
              </w:rPr>
              <w:t>9,909</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Ellen Pao</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9,779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6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All current executive officers, directors and director</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8,046,364</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4,878,240</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4,310,760</w:t>
            </w:r>
          </w:p>
        </w:tc>
        <w:tc>
          <w:tcPr>
            <w:tcW w:w="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1"/>
        </w:trPr>
        <w:tc>
          <w:tcPr>
            <w:tcW w:w="3660" w:type="dxa"/>
            <w:vAlign w:val="bottom"/>
            <w:gridSpan w:val="2"/>
          </w:tcPr>
          <w:p>
            <w:pPr>
              <w:ind w:left="20"/>
              <w:spacing w:after="0" w:line="201" w:lineRule="exact"/>
              <w:rPr>
                <w:sz w:val="20"/>
                <w:szCs w:val="20"/>
                <w:color w:val="auto"/>
              </w:rPr>
            </w:pPr>
            <w:r>
              <w:rPr>
                <w:rFonts w:ascii="Arial" w:cs="Arial" w:eastAsia="Arial" w:hAnsi="Arial"/>
                <w:sz w:val="14"/>
                <w:szCs w:val="14"/>
                <w:color w:val="auto"/>
              </w:rPr>
              <w:t>nominees as a group (8 persons)</w:t>
            </w:r>
            <w:r>
              <w:rPr>
                <w:rFonts w:ascii="Arial" w:cs="Arial" w:eastAsia="Arial" w:hAnsi="Arial"/>
                <w:sz w:val="18"/>
                <w:szCs w:val="18"/>
                <w:color w:val="auto"/>
                <w:vertAlign w:val="superscript"/>
              </w:rPr>
              <w:t>(6)</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5%</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Expensify Voting Trust</w:t>
            </w:r>
            <w:r>
              <w:rPr>
                <w:rFonts w:ascii="Arial" w:cs="Arial" w:eastAsia="Arial" w:hAnsi="Arial"/>
                <w:sz w:val="9"/>
                <w:szCs w:val="9"/>
                <w:color w:val="auto"/>
              </w:rPr>
              <w:t>(7)</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7,331,970</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6,224,160</w:t>
            </w:r>
          </w:p>
        </w:tc>
        <w:tc>
          <w:tcPr>
            <w:tcW w:w="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Hillsven LLC</w:t>
            </w:r>
            <w:r>
              <w:rPr>
                <w:rFonts w:ascii="Arial" w:cs="Arial" w:eastAsia="Arial" w:hAnsi="Arial"/>
                <w:sz w:val="9"/>
                <w:szCs w:val="9"/>
                <w:color w:val="auto"/>
              </w:rPr>
              <w:t>(8)</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9,046,150</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7"/>
        </w:trPr>
        <w:tc>
          <w:tcPr>
            <w:tcW w:w="3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OpenView Venture Partners</w:t>
            </w:r>
            <w:r>
              <w:rPr>
                <w:rFonts w:ascii="Arial" w:cs="Arial" w:eastAsia="Arial" w:hAnsi="Arial"/>
                <w:sz w:val="9"/>
                <w:szCs w:val="9"/>
                <w:color w:val="auto"/>
              </w:rPr>
              <w:t>(9)</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10,044,250</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8"/>
                <w:szCs w:val="18"/>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PJC</w:t>
            </w:r>
            <w:r>
              <w:rPr>
                <w:rFonts w:ascii="Arial" w:cs="Arial" w:eastAsia="Arial" w:hAnsi="Arial"/>
                <w:sz w:val="9"/>
                <w:szCs w:val="9"/>
                <w:color w:val="auto"/>
              </w:rPr>
              <w:t>(10)</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7,144,840</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7"/>
        </w:trPr>
        <w:tc>
          <w:tcPr>
            <w:tcW w:w="3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Octopus Head Inc.</w:t>
            </w:r>
            <w:r>
              <w:rPr>
                <w:rFonts w:ascii="Arial" w:cs="Arial" w:eastAsia="Arial" w:hAnsi="Arial"/>
                <w:sz w:val="9"/>
                <w:szCs w:val="9"/>
                <w:color w:val="auto"/>
              </w:rPr>
              <w:t>(11)</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6,516,640</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8"/>
                <w:szCs w:val="18"/>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gridSpan w:val="2"/>
            <w:vMerge w:val="continue"/>
          </w:tcPr>
          <w:p>
            <w:pPr>
              <w:spacing w:after="0"/>
              <w:rPr>
                <w:sz w:val="16"/>
                <w:szCs w:val="16"/>
                <w:color w:val="auto"/>
              </w:rPr>
            </w:pPr>
          </w:p>
        </w:tc>
        <w:tc>
          <w:tcPr>
            <w:tcW w:w="84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gridSpan w:val="2"/>
            <w:vMerge w:val="continue"/>
          </w:tcPr>
          <w:p>
            <w:pPr>
              <w:spacing w:after="0"/>
              <w:rPr>
                <w:sz w:val="16"/>
                <w:szCs w:val="16"/>
                <w:color w:val="auto"/>
              </w:rPr>
            </w:pPr>
          </w:p>
        </w:tc>
        <w:tc>
          <w:tcPr>
            <w:tcW w:w="840" w:type="dxa"/>
            <w:vAlign w:val="bottom"/>
            <w:tcBorders>
              <w:bottom w:val="single" w:sz="8" w:color="CCEEFF"/>
            </w:tcBorders>
            <w:gridSpan w:val="2"/>
            <w:vMerge w:val="continue"/>
          </w:tcPr>
          <w:p>
            <w:pPr>
              <w:spacing w:after="0"/>
              <w:rPr>
                <w:sz w:val="16"/>
                <w:szCs w:val="16"/>
                <w:color w:val="auto"/>
              </w:rPr>
            </w:pPr>
          </w:p>
        </w:tc>
        <w:tc>
          <w:tcPr>
            <w:tcW w:w="10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Represents less than 1%.</w:t>
      </w:r>
    </w:p>
    <w:p>
      <w:pPr>
        <w:spacing w:after="0" w:line="25" w:lineRule="exact"/>
        <w:rPr>
          <w:sz w:val="20"/>
          <w:szCs w:val="20"/>
          <w:color w:val="auto"/>
        </w:rPr>
      </w:pPr>
    </w:p>
    <w:p>
      <w:pPr>
        <w:jc w:val="both"/>
        <w:ind w:left="340" w:right="280" w:hanging="332"/>
        <w:spacing w:after="0" w:line="260" w:lineRule="auto"/>
        <w:tabs>
          <w:tab w:leader="none" w:pos="3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(i) 2,929,910 shares of Class A common stock that may be acquired pursuant to the exercise of stock options within 60 days of April 25, 2022, (ii) 3,588,640 shares of Class A common stock, 3,588,640 shares of LT10 common stock and 3,588,630 shares of LT50 common stock held directly by Barrett Trust LLC. Barrett Trust LLC is a manager-managed limited liability company. The investment and voting decisions of Barrett Trust LLC are made by its manager, Mr. Barrett, and its controlling member is the Barrett Family Trust, for which Mr. Barrett serves as trustee. In such capacities, Mr. Barrett may be deemed to beneficially own such shares beneficially owned by Barrett Trust LLC.</w:t>
      </w: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435,640 shares of Class A common stock that may be acquired pursuant to the exercise of stock options within 60 days of April 25, 2022.</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36,300 shares of Class A common stock that may be acquired pursuant to the exercise of stock options within 60 days of April 25, 2022.</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10,130 shares of Class A common stock that may be acquired pursuant to the exercise of stock options within 60 days of April 25, 2022.</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222,480 shares of Class A common stock that may be acquired pursuant to the exercise of stock options within 60 days of April 25, 2022.</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3,634,460 shares of Class A common stock that may be acquired pursuant to the exercise of stock options within 60 days of April 25, 2022.</w:t>
      </w:r>
    </w:p>
    <w:p>
      <w:pPr>
        <w:spacing w:after="0" w:line="12" w:lineRule="exact"/>
        <w:rPr>
          <w:rFonts w:ascii="Arial" w:cs="Arial" w:eastAsia="Arial" w:hAnsi="Arial"/>
          <w:sz w:val="13"/>
          <w:szCs w:val="13"/>
          <w:color w:val="auto"/>
        </w:rPr>
      </w:pPr>
    </w:p>
    <w:p>
      <w:pPr>
        <w:ind w:left="340" w:hanging="332"/>
        <w:spacing w:after="0" w:line="260" w:lineRule="auto"/>
        <w:tabs>
          <w:tab w:leader="none" w:pos="3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shares of LT10 and LT50 common stock held indirectly by the Trust Beneficiaries through a voting trust of which David Barrett, Ryan Schaffer and Jason Mills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ind w:left="340" w:right="40" w:hanging="332"/>
        <w:spacing w:after="0" w:line="260" w:lineRule="auto"/>
        <w:tabs>
          <w:tab w:leader="none" w:pos="3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soley on information contained in a Schedule 13G/A filed with the SEC on April 14, 2022. Consists of 9,046,150 shares of Class A common stock held directly by Hillsven LLC. FBHR Associates, LLC is the manager of Hillsven, LLC, and in such capacity may be deemed to share voting and investment power over such shares. Jim DeMartini, as trustee of Unameit Trust, is the manager of FBHR Associates, LLC, and in such capacity may be deemed to share voting and investment power over such shares. The address of each of these entities is Three Lagoon Dr., Suite 400, Redwood City, CA 94065.</w:t>
      </w:r>
    </w:p>
    <w:p>
      <w:pPr>
        <w:ind w:left="340" w:hanging="332"/>
        <w:spacing w:after="0" w:line="267" w:lineRule="auto"/>
        <w:tabs>
          <w:tab w:leader="none" w:pos="3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soley on information contained in a Schedule 13G filed with the SEC on February 9, 2022. Consists of (i) 9,726,290 shares of Class A common stock held by OpenView Venture Partners IV, L.P. and (ii) 317,960 shares of Class A common stock held by OpenView Affiliates Fund IV, L.P. OpenView General Partner IV, L.P. is the general partner of each of OpenView Venture Partners IV, L.P. and OpenView Affiliates Fund IV, L.P. and in such capacity may be deemed to share voting and investment power over the shares held by these entities.OpenView Management, LLC is the general partner of OpenView General Partner IV, L.P. and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capacity may be deemed to share voting and investment power over such shares. The address of each of these entities is 303 Congress Street, 7th Floor, Boston, MA 02210.</w:t>
      </w:r>
    </w:p>
    <w:p>
      <w:pPr>
        <w:spacing w:after="0" w:line="25" w:lineRule="exact"/>
        <w:rPr>
          <w:sz w:val="20"/>
          <w:szCs w:val="20"/>
          <w:color w:val="auto"/>
        </w:rPr>
      </w:pPr>
    </w:p>
    <w:p>
      <w:pPr>
        <w:ind w:left="340" w:hanging="332"/>
        <w:spacing w:after="0" w:line="260" w:lineRule="auto"/>
        <w:tabs>
          <w:tab w:leader="none" w:pos="351"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information known to us. Consists of (i) 2,345,190 shares of Class A common stock held by PJC-DV LLC, (ii) 230,140 shares of Class A common stock held by PJC-DV II LLC, (iii) 255,270 shares of Class A common stock held by Point Judith Venture Fund III, L.P., (iv) 3,281,880 shares of Class A common stock held by Point Judith Venture Fund III (QP), L.P., (v) 922,000 shares of Class A common stock held by Point Judith Venture Fund IV, L.P., and (v) 110,360shares of Class A common stock held by MKC Holdings Group LLC. Point Judith Capital Partners III LLC is the general partner of each of Point Judith Venture Fund III, L.P. and Point Judith Venture Fund III (QP), L.P. Point Judith Capital Partners IV LLC is the general partner of Point Judith Venture Fund IV, L.P. DMM SPV Management LLC is the manager of PJC-DV LLC. David Martirano is the Manager of PJC-DVII LLC, Point Judith Capital Partners III LLC, Point Judith Capital Partners IV LLC, DMM SPV Management LLC and MKC Holdings Group, LLC, and in such capacity may be deemed to beneficially own all such shares. The address for each of these entities and for Mr. Martirano is 15 Humboldt Ave, Providence, RI 02906.</w:t>
      </w:r>
    </w:p>
    <w:p>
      <w:pPr>
        <w:ind w:left="340" w:hanging="332"/>
        <w:spacing w:after="0" w:line="267" w:lineRule="auto"/>
        <w:tabs>
          <w:tab w:leader="none" w:pos="367"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soley on information contained in a Schedule 13G filed with the SEC on February 4, 2022. Consists of 6,516,640 shares of Class A common stock held beneficially owned by Octopus Head, Inc. ("Octopus Head"). 415 Foundation is the sole stockholder of Octopus Head and in such capacity may be deemed to share voting and dispositive power over such shares. Witold Stankiewicz is the sole director of Octopus Head and the controlling person of 415 Foundation, and in such capacity may be deemed to share voting and dispositive power over such shares. The address for Octopus Head, 415 Foundation and Mr. Stankiewicz is 275 New N Road, Suite 3082, London, N1 7AA,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w:t>
      </w:r>
    </w:p>
    <w:p>
      <w:pPr>
        <w:spacing w:after="0" w:line="14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From January 1, 2021 through March 31, 2022, William Barrett, the brother of Mr. Barrett, has received an aggregate of $ 1,760,726 cash compensation and $144,449 stock based compensation in connection with his employment with us as a Success Coach. William Barrett’s compensation is commensurate with other employees with his title and tenure. Mr. Barrett plays no personal role in determining his brother’s compensation or reviewing his brother’s performance.</w:t>
      </w:r>
    </w:p>
    <w:p>
      <w:pPr>
        <w:spacing w:after="0" w:line="1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From January 1, 2021 through March 31, 2022, Mr. Mills has received an aggregate of $7,291,472 cash compensation and $1,314,129 stock based compensation in connection with his employment with us as Chief Product Officer.</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From January 1, 2021 through March 31, 2022, Mr. Vidal has received an aggregate of $1,916,773 cash compensation and $843,828 stock based compensation in connection with his employment with us as a Chief Strategy Officer.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November 9, 2021, we completed an exchange offer (the “Exchange Offer”), pursuant to which each then-current employee and other service provider holding our common stock, including Messrs. Barrett, Schaffer, Mills and Vidal and Ms. Muralidharan, were 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upon issuance in the Voting Trust, described below. Messrs. Barrett, Schaffer, Mills and Vidal and Ms. Muralidharan elected to exchange shares of common stock for shares of LT10 and/or LT50 common stock, on a one-for-one basis, in the Exchange Offer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LT10</w:t>
            </w:r>
          </w:p>
        </w:tc>
        <w:tc>
          <w:tcPr>
            <w:tcW w:w="15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LT50</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Barrett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3,588,640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3,588,630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Mr. Schaffer</w:t>
            </w:r>
          </w:p>
        </w:tc>
        <w:tc>
          <w:tcPr>
            <w:tcW w:w="1560" w:type="dxa"/>
            <w:vAlign w:val="bottom"/>
          </w:tcPr>
          <w:p>
            <w:pPr>
              <w:jc w:val="right"/>
              <w:spacing w:after="0"/>
              <w:rPr>
                <w:sz w:val="20"/>
                <w:szCs w:val="20"/>
                <w:color w:val="auto"/>
              </w:rPr>
            </w:pPr>
            <w:r>
              <w:rPr>
                <w:rFonts w:ascii="Arial" w:cs="Arial" w:eastAsia="Arial" w:hAnsi="Arial"/>
                <w:sz w:val="18"/>
                <w:szCs w:val="18"/>
                <w:color w:val="auto"/>
              </w:rPr>
              <w:t>498,090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 Muralidharan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Mr. Mills</w:t>
            </w:r>
          </w:p>
        </w:tc>
        <w:tc>
          <w:tcPr>
            <w:tcW w:w="1560" w:type="dxa"/>
            <w:vAlign w:val="bottom"/>
          </w:tcPr>
          <w:p>
            <w:pPr>
              <w:jc w:val="right"/>
              <w:spacing w:after="0"/>
              <w:rPr>
                <w:sz w:val="20"/>
                <w:szCs w:val="20"/>
                <w:color w:val="auto"/>
              </w:rPr>
            </w:pPr>
            <w:r>
              <w:rPr>
                <w:rFonts w:ascii="Arial" w:cs="Arial" w:eastAsia="Arial" w:hAnsi="Arial"/>
                <w:sz w:val="18"/>
                <w:szCs w:val="18"/>
                <w:color w:val="auto"/>
              </w:rPr>
              <w:t>576,720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519,640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Vidal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112,640</w:t>
            </w:r>
          </w:p>
        </w:tc>
      </w:tr>
      <w:tr>
        <w:trPr>
          <w:trHeight w:val="54"/>
        </w:trPr>
        <w:tc>
          <w:tcPr>
            <w:tcW w:w="80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VOTING TRUST AND VOTING TRUST AGREEMENT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Exchange Offer, we entered into the Voting Trust Agreement, dated as of November 9, 2021, with all LT Holders and the Trustees.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All of the outstanding shares of our LT10 and LT50 common stock are held by the Voting Trust, and will be for the foreseeable future pursuant to the terms of the Voting Trust Agreement and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Shares of Class A common stock held by the Voting Trust may be withdrawn by their beneficial holder in certain circumstances.</w:t>
      </w:r>
    </w:p>
    <w:p>
      <w:pPr>
        <w:spacing w:after="0" w:line="10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current Trustees of the Voting Trust are David Barrett, our director and CEO, Ryan Schaffer, our director and CFO, and Jason Mills, our director and an officer of the Company, each of whom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Trustee since the formation of the Voting Trust. If at any time a Trustee (i) is unable or unwilling to serve as a Trustee by reason of death, incapacity or otherwise, (ii) ceases to be an Expensify employee or other service provider to Expensify, or (iii) is, after November 9, 2022,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is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is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(as defined in our amended and restated certificate of incorporation)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11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Voting Trust Agreement, the Trustees make all decisions with respect to the voting (but not the disposition) of the shares of common stock contributed to the Voting Trust, together with any future voting securities received in respect of such common stock by way of a stock dividend, distribution, conversion or exchange,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precludes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As of April 25, 2022 the Voting Trust controlled approximately 85.0% of the total voting power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LOAN</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September 2018, we loaned $600,000 to Mr. Barrett, our founder, Chief Executive Officer and a member of our board of directors. The loan was made pursuant to a secured promissory note with interest at a rate of 6% per annum. Unless the loan was accelerated in accordance with its terms, the loan would mature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 In connection with the secured promissory note, Mr. Barrett and entities affiliated with Mr. Barrett pledged and assigned to us a security interest in all shares of our common stock held by him or such affiliated entities. Mr. Barrett repaid the loan in full on June 24,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EXPENSIFY.ORG</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party to an Amended and Restated Investors’ Rights Agreement, dated as of January 22, 2015, with certain holders of our capital stock, including entities affiliated with OpenView Venture Partners (“OpenView”) and entities affiliated with Point Judith Capital Partners, each beneficial owners of more than 5% of our Class A common stock. Blake Bartlett, a member of our Board of Directors until immediately prior to the consummation of our IPO in November 2021, is an affiliate of OpenView. This agreement provides, among other things, that certain holders of our capital stock have the right to request that we file a registration statement and/or request that their shares be covered by a registration statement that we are otherwise filing, subject to certain exceptions.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entered into indemnification agreements with each of our current directors and officers. Our amended and restated certificate of incorporation and our amended and restated bylaws provide that we will indemnify our directors and officers to the fullest extent permitted by applicable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has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Stockholder Proposals</w:t>
      </w:r>
    </w:p>
    <w:p>
      <w:pPr>
        <w:spacing w:after="0" w:line="3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Stockholders may present proposals for action at a future meeting only if they comply with the requirements of the proxy rules established by the SEC and our amended and restated bylaws.</w:t>
      </w:r>
    </w:p>
    <w:p>
      <w:pPr>
        <w:spacing w:after="0" w:line="7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Pursuant to Rule 14a-8 under the Exchange Act, stockholder proposals that are intended to be presented at our 2023 Annual Meeting and included in the proxy statement, form of proxy and other proxy solicitation materials related to that meeting must be received by us no later than December 30, 2022.</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Stockholders intending to present a proposal at our 2023 Annual Meeting, but not include the proposal in our proxy statement, or to nominate a person for election as a director must comply with the requirements set forth in our amended and restated bylaws, including requirements with respect to advance notice of stockholder proposals and director nominations. Under our amended and restated bylaws, the deadline for submitting such a stockholder proposal or a nomination for a director that you intend to present at our 2023 Annual Meeting is no later than the close of business on March 24, 2023, nor earlier than February 22, 2023</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 proposals must comply with all requirements and applicable rules of the SEC, be in writing and be addressed to our Secretary, at our principal executive offices at 401 SW 5th Ave, Portland, OR 97204. It is recommended that stockholders submitting proposals utilize certified mail, return receipt requested, in order to provide proof of timely receipt. The Chairman of the 2023 Annual Meeting reserves the right to reject, rule out of order or take other appropriate action with respect to any proposal that does not comply with these and other applicable requirements, including conditions set forth in our amended and restated bylaws and requirements established by the SEC.</w:t>
      </w:r>
    </w:p>
    <w:p>
      <w:pPr>
        <w:spacing w:after="0" w:line="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satisfying the requirements under our amended and restated bylaws, to comply with the universal proxy rules (once they become effective), stockholders who intend to solicit proxies in support of director nominees other than our nominees must provide notice that sets forth the information required by Rule 14a-19 under the Exchange Act no later than April 23, 2023.</w:t>
      </w:r>
    </w:p>
    <w:p>
      <w:pPr>
        <w:spacing w:after="0" w:line="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Delinquent Section 16(a) Reports</w:t>
      </w:r>
    </w:p>
    <w:p>
      <w:pPr>
        <w:spacing w:after="0" w:line="31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Section 16(a) of the Exchange Act requires our directors, executive officers and any persons who own more than 10% of our common stock to file initial reports of ownership and reports of changes in ownership with the SEC. Such persons are required by SEC regulation to furnish us with copies of all Section 16(a) forms that they file. To our knowledge, based solely on our review of the copies of such forms furnished to us and written representations from our directors and executive officers, we believe that all Section 16(a) filing requirements were timely met in the year ended December 31, 2021, except for one Form 4 representing one transaction for Mr. Christen, one Form 4 representing one transaction for Ms. Pao and one Form 4 representing one transaction for Ms. Liu.</w:t>
      </w:r>
    </w:p>
    <w:p>
      <w:pPr>
        <w:spacing w:after="0" w:line="1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Other Matters</w:t>
      </w:r>
    </w:p>
    <w:p>
      <w:pPr>
        <w:spacing w:after="0" w:line="3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do not know of any business, other than as described in this Proxy Statement, that should be considered at the Annual Meeting. If any other matters should properly come before the Annual Meeting, it is the intention of the persons named in the accompanying form of proxy to vote the proxies held by them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804545</wp:posOffset>
            </wp:positionV>
            <wp:extent cx="5246370" cy="6789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139"/>
          </w:cols>
          <w:pgMar w:left="320" w:top="12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804545</wp:posOffset>
            </wp:positionV>
            <wp:extent cx="5246370" cy="6789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32</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1"/>
    </w:lvl>
    <w:lvl w:ilvl="1">
      <w:lvlJc w:val="left"/>
      <w:lvlText w:val="%2."/>
      <w:numFmt w:val="lowerRoman"/>
      <w:start w:val="1"/>
    </w:lvl>
  </w:abstractNum>
  <w:abstractNum w:abstractNumId="6">
    <w:nsid w:val="7FDCC233"/>
    <w:multiLevelType w:val="hybridMultilevel"/>
    <w:lvl w:ilvl="0">
      <w:lvlJc w:val="left"/>
      <w:lvlText w:val="%1"/>
      <w:numFmt w:val="lowerLetter"/>
      <w:start w:val="1"/>
    </w:lvl>
    <w:lvl w:ilvl="1">
      <w:lvlJc w:val="left"/>
      <w:lvlText w:val="%2."/>
      <w:numFmt w:val="lowerLetter"/>
      <w:start w:val="61"/>
    </w:lvl>
  </w:abstractNum>
  <w:abstractNum w:abstractNumId="7">
    <w:nsid w:val="1BEFD79F"/>
    <w:multiLevelType w:val="hybridMultilevel"/>
    <w:lvl w:ilvl="0">
      <w:lvlJc w:val="left"/>
      <w:lvlText w:val="%1."/>
      <w:numFmt w:val="lowerLetter"/>
      <w:start w:val="2"/>
    </w:lvl>
    <w:lvl w:ilvl="1">
      <w:lvlJc w:val="left"/>
      <w:lvlText w:val="%2"/>
      <w:numFmt w:val="lowerLetter"/>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2022-04-29T06:54:06Z</dcterms:created>
  <dcterms:modified xsi:type="dcterms:W3CDTF">2022-04-29T06:54:06Z</dcterms:modified>
</cp:coreProperties>
</file>