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Washington, D.C. 20549 </w:t>
      </w:r>
    </w:p>
    <w:p>
      <w:pPr>
        <w:pStyle w:val="TextBody"/>
        <w:bidi w:val="0"/>
        <w:spacing w:lineRule="auto" w:line="288" w:before="0" w:after="12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CURRENT REPORT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13 OR 15(d)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August 8, 2023</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Expensify,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001-41043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27-0239450</w:t>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lineRule="auto" w:line="288" w:before="0" w:after="0"/>
        <w:jc w:val="center"/>
        <w:rPr/>
      </w:pPr>
      <w:r>
        <w:rPr>
          <w:rFonts w:ascii="Times New Roman;sans-serif" w:hAnsi="Times New Roman;sans-serif"/>
          <w:b/>
          <w:color w:val="000000"/>
          <w:sz w:val="20"/>
        </w:rPr>
        <w:t>401 SW 5</w:t>
      </w:r>
      <w:r>
        <w:rPr>
          <w:rFonts w:ascii="Times New Roman;sans-serif" w:hAnsi="Times New Roman;sans-serif"/>
          <w:b/>
          <w:color w:val="000000"/>
          <w:sz w:val="13"/>
        </w:rPr>
        <w:t>th</w:t>
      </w:r>
      <w:r>
        <w:rPr>
          <w:color w:val="000000"/>
        </w:rPr>
        <w:t xml:space="preserve"> </w:t>
      </w:r>
      <w:r>
        <w:rPr>
          <w:rFonts w:ascii="Times New Roman;sans-serif" w:hAnsi="Times New Roman;sans-serif"/>
          <w:b/>
          <w:color w:val="000000"/>
          <w:sz w:val="20"/>
        </w:rPr>
        <w:t>Ave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Portland, Oregon 97204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(971) 365-3939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 applicable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 xml:space="preserve">(Former Name or Former Address, if Changed Since Last Report)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w:t>
      </w:r>
    </w:p>
    <w:tbl>
      <w:tblPr>
        <w:tblW w:w="989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811" w:type="dxa"/>
        <w:jc w:val="center"/>
        <w:tblInd w:w="0" w:type="dxa"/>
        <w:tblLayout w:type="fixed"/>
        <w:tblCellMar>
          <w:top w:w="28" w:type="dxa"/>
          <w:left w:w="28" w:type="dxa"/>
          <w:bottom w:w="28" w:type="dxa"/>
          <w:right w:w="28" w:type="dxa"/>
        </w:tblCellMar>
      </w:tblPr>
      <w:tblGrid>
        <w:gridCol w:w="1643"/>
        <w:gridCol w:w="1441"/>
        <w:gridCol w:w="1460"/>
        <w:gridCol w:w="109"/>
        <w:gridCol w:w="109"/>
        <w:gridCol w:w="109"/>
        <w:gridCol w:w="274"/>
        <w:gridCol w:w="274"/>
        <w:gridCol w:w="276"/>
        <w:gridCol w:w="109"/>
        <w:gridCol w:w="109"/>
        <w:gridCol w:w="109"/>
        <w:gridCol w:w="816"/>
        <w:gridCol w:w="816"/>
        <w:gridCol w:w="1157"/>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EXFY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lineRule="auto" w:line="288" w:before="0" w:after="12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360" w:after="16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8, 2023, Expensify, Inc. (“Expensify” or the “Company”) issued a press release announcing its financial results for the quarter ended June 30, 2023. A copy of this press release is furnished as Exhibit 99.1 to this current report on Form 8-K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8, 2023, the Company posted an investor presentation to its website at https://ir.expensify.com (the “Investor Presentation”). A copy of the Investor Presentation is furnished as Exhibit 99.2 to this current report on Form 8-K and is incorporated herein by reference. The Company expects to use the Investor Presentation, in whole or in part, and possibly with modifications, in connection with presentations to investors, analysts and others.</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Investor Presentation speaks only as of the date of this current report on Form 8-K. The Company undertakes no duty or obligation to publicly update or revise the information included in the Investor Presentation, although it may do so from time to time. Any such updating may be made through the filing of other reports or documents with the SEC, through press releases or other public disclosure. In addition, the exhibit furnished herewith contains statements intended as “forward-looking statements” that are subject to the cautionary statements about forward-looking statements set forth in such exhibit. By furnishing the information contained in the Investor Presentation, the Company makes no admission as to the materiality of any information in the Investor Presentation that is required to be disclosed solely by reason of Regulation FD.</w:t>
      </w:r>
    </w:p>
    <w:p>
      <w:pPr>
        <w:pStyle w:val="TextBody"/>
        <w:bidi w:val="0"/>
        <w:spacing w:before="0" w:after="0"/>
        <w:jc w:val="left"/>
        <w:rPr/>
      </w:pPr>
      <w:r>
        <w:rPr/>
      </w:r>
    </w:p>
    <w:p>
      <w:pPr>
        <w:pStyle w:val="TextBody"/>
        <w:bidi w:val="0"/>
        <w:spacing w:lineRule="auto" w:line="276"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Item 2.02 and this Item 7.01, including Exhibits 99.1 and 99.2, is being furnished and shall not be deemed “filed” for purposes of Section 18 of the Securities and Exchange Act of 1934, as amended (the “Exchange Act”), or otherwise subject to the liabilities of that section, nor shall it be deemed incorporated by reference in any filing made by Expensify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9.01 Financial Statements and Exhibits. </w:t>
      </w:r>
    </w:p>
    <w:p>
      <w:pPr>
        <w:pStyle w:val="TextBody"/>
        <w:bidi w:val="0"/>
        <w:spacing w:lineRule="auto" w:line="276" w:before="0" w:after="160"/>
        <w:jc w:val="left"/>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Exhibits</w:t>
      </w:r>
      <w:r>
        <w:rPr>
          <w:rFonts w:ascii="Times New Roman;sans-serif" w:hAnsi="Times New Roman;sans-serif"/>
          <w:b w:val="false"/>
          <w:color w:val="000000"/>
          <w:sz w:val="20"/>
        </w:rPr>
        <w:t xml:space="preserve">. </w:t>
      </w:r>
    </w:p>
    <w:tbl>
      <w:tblPr>
        <w:tblW w:w="7916"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39"/>
        <w:gridCol w:w="1939"/>
        <w:gridCol w:w="276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991-8xkq223earnings.htm">
              <w:r>
                <w:rPr>
                  <w:rStyle w:val="InternetLink"/>
                  <w:rFonts w:ascii="Times New Roman;sans-serif" w:hAnsi="Times New Roman;sans-serif"/>
                  <w:b w:val="false"/>
                  <w:color w:val="0000FF"/>
                  <w:sz w:val="20"/>
                  <w:u w:val="single"/>
                </w:rPr>
                <w:t>Press Release issued by Expensify, Inc., dated August 8, 2023.</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992-8xkq223investor.htm">
              <w:r>
                <w:rPr>
                  <w:rStyle w:val="InternetLink"/>
                  <w:rFonts w:ascii="Times New Roman;sans-serif" w:hAnsi="Times New Roman;sans-serif"/>
                  <w:b w:val="false"/>
                  <w:color w:val="0000FF"/>
                  <w:sz w:val="20"/>
                  <w:u w:val="single"/>
                </w:rPr>
                <w:t>Investor Presentation, dated August 8, 2023.</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SIGNATURE </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3086" w:type="dxa"/>
        <w:jc w:val="right"/>
        <w:tblInd w:w="0" w:type="dxa"/>
        <w:tblLayout w:type="fixed"/>
        <w:tblCellMar>
          <w:top w:w="28" w:type="dxa"/>
          <w:left w:w="28" w:type="dxa"/>
          <w:bottom w:w="28" w:type="dxa"/>
          <w:right w:w="28" w:type="dxa"/>
        </w:tblCellMar>
      </w:tblPr>
      <w:tblGrid>
        <w:gridCol w:w="255"/>
        <w:gridCol w:w="194"/>
        <w:gridCol w:w="196"/>
        <w:gridCol w:w="144"/>
        <w:gridCol w:w="144"/>
        <w:gridCol w:w="144"/>
        <w:gridCol w:w="587"/>
        <w:gridCol w:w="587"/>
        <w:gridCol w:w="835"/>
      </w:tblGrid>
      <w:tr>
        <w:trPr/>
        <w:tc>
          <w:tcPr>
            <w:tcW w:w="2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086"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Expensify,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Times New Roman;sans-serif" w:hAnsi="Times New Roman;sans-serif"/>
          <w:b/>
          <w:color w:val="000000"/>
          <w:sz w:val="20"/>
        </w:rPr>
      </w:pPr>
      <w:r>
        <w:rPr>
          <w:rFonts w:ascii="Times New Roman;sans-serif" w:hAnsi="Times New Roman;sans-serif"/>
          <w:b/>
          <w:color w:val="000000"/>
          <w:sz w:val="20"/>
        </w:rPr>
        <w:t>EXPENSIFY ANNOUNCES Q2 2023 RESULTS</w:t>
      </w:r>
    </w:p>
    <w:p>
      <w:pPr>
        <w:pStyle w:val="TextBody"/>
        <w:bidi w:val="0"/>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Expensify Card interchange increased by 56% as compared to the previous period last year. Company repurchased $3.9 million in common shares (including $0.9 million of net share settlement on equity awards), decreased outstanding debt by $8.2 million.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PORTLAND, Ore.--(BUSINESS WIRE)--August 8, 2023-- Expensify, Inc. (Nasdaq: EXFY), a payments superapp that helps individuals and businesses around the world simplify the way they manage money across expenses, corporate cards and bills, today released a letter to shareholders from Founder and CEO David Barrett alongside results for its quarter ended June 30, 2023.</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0"/>
          <w:u w:val="single"/>
        </w:rPr>
      </w:pPr>
      <w:r>
        <w:rPr>
          <w:rFonts w:ascii="Times New Roman;sans-serif" w:hAnsi="Times New Roman;sans-serif"/>
          <w:b/>
          <w:color w:val="000000"/>
          <w:sz w:val="20"/>
          <w:u w:val="single"/>
        </w:rPr>
        <w:t>A Message From Our Founder</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This is an exciting time for the expense management industry. As long predicted, our major competitors have abandoned their interchange-only business models and announced a transition to Expensify-style subscription pricing plans. This welcome change signals the beginning of the end of this strange, distorted period where free options were being dumped into the industry at a perpetual loss. We knew it couldn't last forever, and we're thankful that reality is starting to sink in, because Expensify's ultimate strength is its amazing unit economics.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With twelve consecutive quarters of profitability (on an Adjusted EBITDA basis), we have spent our entire history gearing up for a long and grueling battle in the trenches, and we relish the fight. While weathering the combined fire of our competition in the current, tiny, heavily contested corner of the market, we believe we are the only ones genuinely preparing for the next order of magnitude, targeting the 100MM+ businesses in the world that have never heard of any of us. And those preparations are going great:</w:t>
      </w:r>
    </w:p>
    <w:p>
      <w:pPr>
        <w:pStyle w:val="TextBody"/>
        <w:bidi w:val="0"/>
        <w:spacing w:before="0" w:after="2"/>
        <w:jc w:val="left"/>
        <w:rPr/>
      </w:pPr>
      <w:r>
        <w:rPr/>
      </w:r>
    </w:p>
    <w:p>
      <w:pPr>
        <w:pStyle w:val="TextBody"/>
        <w:bidi w:val="0"/>
        <w:spacing w:lineRule="auto" w:line="300" w:before="0" w:after="2"/>
        <w:ind w:left="0" w:right="0" w:hanging="360"/>
        <w:jc w:val="left"/>
        <w:rPr/>
      </w:pPr>
      <w:r>
        <w:rPr>
          <w:color w:val="000000"/>
        </w:rPr>
        <w:t>•</w:t>
      </w:r>
      <w:r>
        <w:rPr>
          <w:rFonts w:ascii="Times New Roman;sans-serif" w:hAnsi="Times New Roman;sans-serif"/>
          <w:b w:val="false"/>
          <w:color w:val="000000"/>
          <w:sz w:val="20"/>
        </w:rPr>
        <w:t>We deployed our cross-platform, open-source, universal chat foundation at multiple real world conferences, acquiring 3x the leads that our booth traditionally has -- while enabling a presence at 10x the conferences at 1/10th the cost of attending physically. After all, it doesn't matter what the conference is about: if it's for business, every single attendee is likely to file an expense report after.</w:t>
      </w:r>
    </w:p>
    <w:p>
      <w:pPr>
        <w:pStyle w:val="TextBody"/>
        <w:bidi w:val="0"/>
        <w:spacing w:before="0" w:after="2"/>
        <w:jc w:val="left"/>
        <w:rPr/>
      </w:pPr>
      <w:r>
        <w:rPr/>
      </w:r>
    </w:p>
    <w:p>
      <w:pPr>
        <w:pStyle w:val="TextBody"/>
        <w:bidi w:val="0"/>
        <w:spacing w:lineRule="auto" w:line="300" w:before="0" w:after="2"/>
        <w:ind w:left="0" w:right="0" w:hanging="360"/>
        <w:jc w:val="left"/>
        <w:rPr/>
      </w:pPr>
      <w:r>
        <w:rPr>
          <w:color w:val="000000"/>
        </w:rPr>
        <w:t>•</w:t>
      </w:r>
      <w:r>
        <w:rPr>
          <w:rFonts w:ascii="Times New Roman;sans-serif" w:hAnsi="Times New Roman;sans-serif"/>
          <w:b w:val="false"/>
          <w:color w:val="000000"/>
          <w:sz w:val="20"/>
        </w:rPr>
        <w:t>We began our first real world expense reimbursements on the New Expensify platform, proving out the "universal" nature of our chat-first payment design -- and are aggressively porting over more advanced cases to begin testing with live customers.</w:t>
      </w:r>
    </w:p>
    <w:p>
      <w:pPr>
        <w:pStyle w:val="TextBody"/>
        <w:bidi w:val="0"/>
        <w:spacing w:before="0" w:after="2"/>
        <w:jc w:val="left"/>
        <w:rPr/>
      </w:pPr>
      <w:r>
        <w:rPr/>
      </w:r>
    </w:p>
    <w:p>
      <w:pPr>
        <w:pStyle w:val="TextBody"/>
        <w:bidi w:val="0"/>
        <w:spacing w:lineRule="auto" w:line="300" w:before="0" w:after="2"/>
        <w:ind w:left="0" w:right="0" w:hanging="360"/>
        <w:jc w:val="left"/>
        <w:rPr/>
      </w:pPr>
      <w:r>
        <w:rPr>
          <w:color w:val="000000"/>
        </w:rPr>
        <w:t>•</w:t>
      </w:r>
      <w:r>
        <w:rPr>
          <w:rFonts w:ascii="Times New Roman;sans-serif" w:hAnsi="Times New Roman;sans-serif"/>
          <w:b w:val="false"/>
          <w:color w:val="000000"/>
          <w:sz w:val="20"/>
        </w:rPr>
        <w:t>We activated ChatGPT for high quality, high scale, real time content moderation, and are beginning to incorporate it throughout our chat-first sales, support, and product design.</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On top of these major investments in revolutionary product design, we plan to continue making a full court press with evolutionary enhancements to our SDRs, SEO, SEM, dedicated sales, account management, and other more traditional growth tools, all of which are showing strong improvement. But the real opportunity is still in cracking open a market 10-100x larger than what we've ever seen before. Building this vision has admittedly taken longer than we estimated, giving more oxygen to our competition than we would have liked. But we remain convinced we are the only ones on the right path towards the biggest opportunity in the shortest time frame, even despite the stiffer than expected headwinds in the near term.</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-david</w: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Founder and CEO of Expensify</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left"/>
        <w:rPr>
          <w:rFonts w:ascii="Times New Roman;sans-serif" w:hAnsi="Times New Roman;sans-serif"/>
          <w:b/>
          <w:color w:val="000000"/>
          <w:sz w:val="20"/>
          <w:u w:val="single"/>
        </w:rPr>
      </w:pPr>
      <w:r>
        <w:rPr>
          <w:rFonts w:ascii="Times New Roman;sans-serif" w:hAnsi="Times New Roman;sans-serif"/>
          <w:b/>
          <w:color w:val="000000"/>
          <w:sz w:val="20"/>
          <w:u w:val="single"/>
        </w:rPr>
        <w:t>Second Quarter 2023 Highlights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 xml:space="preserve">Financial: </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Revenue was $38.9 million, a decrease of 10% compared to the same period last year.</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Utilized $0.4 million cash in operating activities and generated $1.1 million of free cash flow.</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 xml:space="preserve">Net loss was $11.3 million, compared to $8.0 million for the same period last year. </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Non-GAAP net loss was $1.0 million.</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Adjusted EBITDA was $2.2 million.</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Interchange derived from the Expensify Card grew to $2.7 million, an increase of 56% compared to the same period last year.</w:t>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Business</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Paid members</w:t>
      </w:r>
      <w:r>
        <w:rPr>
          <w:color w:val="000000"/>
        </w:rPr>
        <w:t xml:space="preserve"> </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Paid members were 742,000, a decrease of 2% from the same period last year.</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Hosted ExpensiCon 3 -</w:t>
      </w:r>
      <w:r>
        <w:rPr>
          <w:color w:val="000000"/>
        </w:rPr>
        <w:t xml:space="preserve"> </w:t>
      </w:r>
      <w:r>
        <w:rPr>
          <w:rFonts w:ascii="Times New Roman;sans-serif" w:hAnsi="Times New Roman;sans-serif"/>
          <w:b w:val="false"/>
          <w:color w:val="000000"/>
          <w:sz w:val="20"/>
        </w:rPr>
        <w:t>An invite-only conference featuring successful accountants and thought leaders from top global accounting firms.</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Preferred agreements -</w:t>
      </w:r>
      <w:r>
        <w:rPr>
          <w:color w:val="000000"/>
        </w:rPr>
        <w:t xml:space="preserve"> </w:t>
      </w:r>
      <w:r>
        <w:rPr>
          <w:rFonts w:ascii="Times New Roman;sans-serif" w:hAnsi="Times New Roman;sans-serif"/>
          <w:b w:val="false"/>
          <w:color w:val="000000"/>
          <w:sz w:val="20"/>
        </w:rPr>
        <w:t>Signed preferred partnership agreements with the California Society of Certified Public Accountants and the Texas Society of Certified Public Accountants.</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Share repurchase -</w:t>
      </w:r>
      <w:r>
        <w:rPr>
          <w:color w:val="000000"/>
        </w:rPr>
        <w:t xml:space="preserve"> </w:t>
      </w:r>
      <w:r>
        <w:rPr>
          <w:rFonts w:ascii="Times New Roman;sans-serif" w:hAnsi="Times New Roman;sans-serif"/>
          <w:b w:val="false"/>
          <w:color w:val="000000"/>
          <w:sz w:val="20"/>
        </w:rPr>
        <w:t>The Company repurchased 625,345 shares during the quarter, representing 0.8% of total outstanding common shares, at a total cost of $3.9 million (including $0.9 million of net share settlement on equity awards). Since the approval of the Company’s share repurchase program in May 2022, the Company has repurchased shares at a total cost of $15.9 million (including $6.9 million of net share settlement on equity awards).</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 xml:space="preserve">Debt reduction - </w:t>
      </w:r>
      <w:r>
        <w:rPr>
          <w:rFonts w:ascii="Times New Roman;sans-serif" w:hAnsi="Times New Roman;sans-serif"/>
          <w:b w:val="false"/>
          <w:color w:val="000000"/>
          <w:sz w:val="20"/>
        </w:rPr>
        <w:t>The Company reduced its outstanding debt balance by $8.2 million during the quarter.</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Global reimbursement -</w:t>
      </w:r>
      <w:r>
        <w:rPr>
          <w:color w:val="000000"/>
        </w:rPr>
        <w:t xml:space="preserve"> </w:t>
      </w:r>
      <w:r>
        <w:rPr>
          <w:rFonts w:ascii="Times New Roman;sans-serif" w:hAnsi="Times New Roman;sans-serif"/>
          <w:b w:val="false"/>
          <w:color w:val="000000"/>
          <w:sz w:val="20"/>
        </w:rPr>
        <w:t>The Company expanded its employee reimbursement functionality; businesses can now reimburse employees in over 154 different currencies in more than 200 countries.</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Financial Outlook</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Expensify's outlook statements are based on current estimates, expectations and assumptions and are not a guarantee of future performance. The following statements are forward-looking and actual results could differ materially depending on market conditions and the factors set forth under “Forward-Looking Statements” below. There can be no assurance that the Company will achieve the results expressed by this guidance.</w:t>
      </w:r>
    </w:p>
    <w:p>
      <w:pPr>
        <w:pStyle w:val="TextBody"/>
        <w:bidi w:val="0"/>
        <w:spacing w:before="0" w:after="2"/>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 estimate of expected stock-based compensation for the next four fiscal quarters is as follows, which is driven primarily by the pre-IPO grant of RSUs issued to all employees (which vest quarterly over eight years with approximately six years remaining).</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Est. stock-based compensation (millions)</w:t>
      </w:r>
    </w:p>
    <w:tbl>
      <w:tblPr>
        <w:tblW w:w="10873" w:type="dxa"/>
        <w:jc w:val="left"/>
        <w:tblInd w:w="0" w:type="dxa"/>
        <w:tblLayout w:type="fixed"/>
        <w:tblCellMar>
          <w:top w:w="28" w:type="dxa"/>
          <w:left w:w="28" w:type="dxa"/>
          <w:bottom w:w="28" w:type="dxa"/>
          <w:right w:w="28" w:type="dxa"/>
        </w:tblCellMar>
      </w:tblPr>
      <w:tblGrid>
        <w:gridCol w:w="812"/>
        <w:gridCol w:w="306"/>
        <w:gridCol w:w="293"/>
        <w:gridCol w:w="226"/>
        <w:gridCol w:w="586"/>
        <w:gridCol w:w="109"/>
        <w:gridCol w:w="109"/>
        <w:gridCol w:w="109"/>
        <w:gridCol w:w="109"/>
        <w:gridCol w:w="226"/>
        <w:gridCol w:w="586"/>
        <w:gridCol w:w="109"/>
        <w:gridCol w:w="109"/>
        <w:gridCol w:w="109"/>
        <w:gridCol w:w="109"/>
        <w:gridCol w:w="226"/>
        <w:gridCol w:w="586"/>
        <w:gridCol w:w="109"/>
        <w:gridCol w:w="109"/>
        <w:gridCol w:w="109"/>
        <w:gridCol w:w="109"/>
        <w:gridCol w:w="226"/>
        <w:gridCol w:w="586"/>
        <w:gridCol w:w="109"/>
        <w:gridCol w:w="109"/>
        <w:gridCol w:w="109"/>
        <w:gridCol w:w="109"/>
        <w:gridCol w:w="226"/>
        <w:gridCol w:w="466"/>
        <w:gridCol w:w="109"/>
        <w:gridCol w:w="109"/>
        <w:gridCol w:w="109"/>
        <w:gridCol w:w="109"/>
        <w:gridCol w:w="226"/>
        <w:gridCol w:w="586"/>
        <w:gridCol w:w="109"/>
        <w:gridCol w:w="109"/>
        <w:gridCol w:w="109"/>
        <w:gridCol w:w="109"/>
        <w:gridCol w:w="226"/>
        <w:gridCol w:w="466"/>
        <w:gridCol w:w="109"/>
        <w:gridCol w:w="109"/>
        <w:gridCol w:w="109"/>
        <w:gridCol w:w="109"/>
        <w:gridCol w:w="226"/>
        <w:gridCol w:w="586"/>
        <w:gridCol w:w="154"/>
      </w:tblGrid>
      <w:tr>
        <w:trPr/>
        <w:tc>
          <w:tcPr>
            <w:tcW w:w="8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4" w:type="dxa"/>
            <w:gridSpan w:val="30"/>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Q3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Q4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Q1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Q2 2024</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High</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Cost of revenue, net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Research and development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General and administrative</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Sales and marketing</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Total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8"/>
              </w:rPr>
            </w:pPr>
            <w:r>
              <w:rPr>
                <w:rFonts w:ascii="GT America Exp;sans-serif" w:hAnsi="GT America Exp;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8"/>
              </w:rPr>
            </w:pPr>
            <w:r>
              <w:rPr>
                <w:rFonts w:ascii="GT America Exp;sans-serif" w:hAnsi="GT America Exp;sans-serif"/>
                <w:b w:val="false"/>
                <w:color w:val="000000"/>
                <w:sz w:val="18"/>
              </w:rPr>
              <w:t>11.2 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Availability of Information on Expensify’s Website</w: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Investors and others should note that Expensify routinely announces material information to investors and the marketplace using SEC filings, press releases, public conference calls, webcasts and the Expensify Investor Relations website at https://ir.expensify.com. While not all of the information that the Company posts to its Investor Relations website is of a material nature, some information could be deemed to be material. Accordingly, the Company encourages investors, the media and others interested in Expensify to review the information that it shares on its Investor Relations website.</w:t>
      </w:r>
    </w:p>
    <w:p>
      <w:pPr>
        <w:pStyle w:val="TextBody"/>
        <w:bidi w:val="0"/>
        <w:spacing w:before="0" w:after="0"/>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Conference Call </w: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Expensify will host a video call to discuss the financial results and business highlights at 2:00 p.m. Pacific Time today. An investor presentation and the video call information is available on Expensify’s Investor Relations website at https://ir.expensify.com. A replay of the call will be available on the site for three months. </w:t>
      </w:r>
    </w:p>
    <w:p>
      <w:pPr>
        <w:pStyle w:val="TextBody"/>
        <w:bidi w:val="0"/>
        <w:spacing w:before="0" w:after="2"/>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Non-GAAP Financial Measures</w: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financial measures prepared in accordance with U.S. generally accepted accounting principles (“GAAP”), we provide certain non-GAAP financial measures, including adjusted EBITDA, adjusted EBITDA margin, non-GAAP net loss, and free cash flow.</w:t>
      </w:r>
    </w:p>
    <w:p>
      <w:pPr>
        <w:pStyle w:val="TextBody"/>
        <w:bidi w:val="0"/>
        <w:spacing w:before="0" w:after="0"/>
        <w:jc w:val="left"/>
        <w:rPr/>
      </w:pPr>
      <w:r>
        <w:rPr/>
      </w:r>
    </w:p>
    <w:p>
      <w:pPr>
        <w:pStyle w:val="TextBody"/>
        <w:bidi w:val="0"/>
        <w:spacing w:lineRule="auto" w:line="3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non-GAAP financial measures are useful in evaluating our business, measuring our performance, identifying trends affecting our business, formulating business plans and making strategic decisions. Accordingly, we believe that these non-GAAP financial measures provide useful information to investors and others in understanding and evaluating our results of operations in the same manner as our management team. These non-GAAP financial measures are presented for supplemental informational purposes only, should not be considered a substitute for financial information presented in accordance with GAAP, and may be different from similarly titled metrics or measures presented by other companies. 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w:t>
      </w: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 A reconciliation of each non-GAAP financial measure to the most directly comparable financial measure stated in accordance with GAAP is at the end of this press release.</w:t>
      </w:r>
    </w:p>
    <w:p>
      <w:pPr>
        <w:pStyle w:val="TextBody"/>
        <w:bidi w:val="0"/>
        <w:spacing w:before="0" w:after="0"/>
        <w:jc w:val="left"/>
        <w:rPr/>
      </w:pPr>
      <w:r>
        <w:rPr/>
      </w:r>
    </w:p>
    <w:p>
      <w:pPr>
        <w:pStyle w:val="TextBody"/>
        <w:bidi w:val="0"/>
        <w:spacing w:lineRule="auto" w:line="300" w:before="0" w:after="0"/>
        <w:jc w:val="left"/>
        <w:rPr/>
      </w:pPr>
      <w:r>
        <w:rPr>
          <w:rFonts w:ascii="Times New Roman;sans-serif" w:hAnsi="Times New Roman;sans-serif"/>
          <w:b/>
          <w:color w:val="000000"/>
          <w:sz w:val="20"/>
        </w:rPr>
        <w:t>Adjusted EBITDA.</w:t>
      </w:r>
      <w:r>
        <w:rPr>
          <w:color w:val="000000"/>
        </w:rPr>
        <w:t xml:space="preserve"> </w:t>
      </w:r>
      <w:r>
        <w:rPr>
          <w:rFonts w:ascii="Times New Roman;sans-serif" w:hAnsi="Times New Roman;sans-serif"/>
          <w:b w:val="false"/>
          <w:color w:val="000000"/>
          <w:sz w:val="20"/>
        </w:rPr>
        <w:t>We define adjusted EBITDA as net income from operations excluding provision for income taxes, interest and other expenses, net, depreciation and amortization and stock-based compensation.</w:t>
      </w:r>
    </w:p>
    <w:p>
      <w:pPr>
        <w:pStyle w:val="TextBody"/>
        <w:bidi w:val="0"/>
        <w:spacing w:before="0" w:after="0"/>
        <w:jc w:val="left"/>
        <w:rPr/>
      </w:pPr>
      <w:r>
        <w:rPr/>
      </w:r>
    </w:p>
    <w:p>
      <w:pPr>
        <w:pStyle w:val="TextBody"/>
        <w:bidi w:val="0"/>
        <w:spacing w:lineRule="auto" w:line="300" w:before="0" w:after="0"/>
        <w:jc w:val="left"/>
        <w:rPr/>
      </w:pPr>
      <w:r>
        <w:rPr>
          <w:rFonts w:ascii="Times New Roman;sans-serif" w:hAnsi="Times New Roman;sans-serif"/>
          <w:b/>
          <w:color w:val="000000"/>
          <w:sz w:val="20"/>
        </w:rPr>
        <w:t>Non-GAAP net loss.</w:t>
      </w:r>
      <w:r>
        <w:rPr>
          <w:color w:val="000000"/>
        </w:rPr>
        <w:t xml:space="preserve"> </w:t>
      </w:r>
      <w:r>
        <w:rPr>
          <w:rFonts w:ascii="Times New Roman;sans-serif" w:hAnsi="Times New Roman;sans-serif"/>
          <w:b w:val="false"/>
          <w:color w:val="000000"/>
          <w:sz w:val="20"/>
        </w:rPr>
        <w:t>We define non-GAAP net loss as net income (loss) from operations in accordance with US GAAP excluding stock-based compensation.</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color w:val="000000"/>
          <w:sz w:val="20"/>
        </w:rPr>
        <w:t>Free cash flow.</w:t>
      </w:r>
      <w:r>
        <w:rPr>
          <w:color w:val="000000"/>
        </w:rPr>
        <w:t xml:space="preserve"> </w:t>
      </w:r>
      <w:r>
        <w:rPr>
          <w:rFonts w:ascii="Times New Roman;sans-serif" w:hAnsi="Times New Roman;sans-serif"/>
          <w:b w:val="false"/>
          <w:color w:val="000000"/>
          <w:sz w:val="20"/>
        </w:rPr>
        <w:t>We define Free cash flow as net cash (used in) provided by operating activities excluding changes in settlement assets and settlement liabilities, which represent funds held for customers and customer funds in transit, respectively, reduced by the purchases of property and equipment and software development costs.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tables at the end of the Condensed Consolidated Financial Statements provide reconciliations to the most directly comparable GAAP financial measure to each of these non-GAAP financial measures.</w:t>
      </w:r>
    </w:p>
    <w:p>
      <w:pPr>
        <w:pStyle w:val="TextBody"/>
        <w:bidi w:val="0"/>
        <w:spacing w:before="0" w:after="2"/>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Forward-Looking Statements</w:t>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in this press release, or made during the earnings call, which are not historical facts, are forward-looking statements within the meaning of the Private Securities Litigation Reform Act of 1955. These statements include statements regarding our strategy, future financial condition, future operations, projected costs, prospects, plans, objectives of management and expected market growth, product developments and their potential impact, our ability to meet our long-term guidance, the amount and timing of any share repurchases and our stock-based compensation estimates and involve known and unknown risks that are difficult to predict.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 “could,” “intends,” “target,” “projects,” “contemplates,” “believes,” “estimates,” “predicts,” “potential,” “goal,” “ambition,” “objective,” “seeks,” “outlook,”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the impact on inflation on us and our members; our borrowing costs have and may continue to increase as a result of increases in interest rates;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 any other changes in the competitive landscape of our market; the amount and timing of operating expenses and capital expenditures that we may incur to maintain and expand our business and operations to remain competitive; the sufficiency of our cash, cash equivalents and investments to meet our liquidity needs; our ability to make required payments under and to comply with the various requirements of our current and future indebtedness; our cash flows, the prevailing stock prices, general economic and market conditions and other considerations that could affect the specific timing, price and size of repurchases under our stock repurchase program or our ability to fund any stock repurchases; the war in Ukraine and escalating geopolitical tensions as a result of Russia's invasion of Ukraine; our ability to effectively manage our exposure to fluctuations in foreign currency exchange rates; the increased expenses associated with being a public company; the size of our addressable markets, market share and market trends; anticipated trends, developments and challenges in our industry, business and the highly competitive markets in which we operate; our expectations regarding our income tax liabilities and the adequacy of our reserves; our ability to effectively manage 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property; </w:t>
      </w: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economic conditions in either domestic or international markets; our protections against security breaches, technical difficulties, or interruptions to our platform; our ability to maintain, protect and enhance our intellectual property; and other risks discussed in our filings with the SEC.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pStyle w:val="TextBody"/>
        <w:bidi w:val="0"/>
        <w:spacing w:before="0" w:after="2"/>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About Expensify</w: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Expensify is a payments superapp that helps individuals and businesses around the world simplify the way they manage money. More than 12 million people use Expensify's free features, which include corporate cards, expense tracking, next-day reimbursement, invoicing, bill pay, and travel booking in one app. All free. Whether you own a small business, manage a team, or close the books for your clients, Expensify makes it easy so you have more time to focus on what really matters.</w:t>
      </w:r>
    </w:p>
    <w:p>
      <w:pPr>
        <w:pStyle w:val="TextBody"/>
        <w:bidi w:val="0"/>
        <w:spacing w:before="0" w:after="2"/>
        <w:jc w:val="left"/>
        <w:rPr/>
      </w:pPr>
      <w:r>
        <w:rPr/>
      </w:r>
    </w:p>
    <w:p>
      <w:pPr>
        <w:pStyle w:val="TextBody"/>
        <w:bidi w:val="0"/>
        <w:spacing w:lineRule="auto" w:line="276" w:before="0" w:after="160"/>
        <w:jc w:val="left"/>
        <w:rPr>
          <w:rFonts w:ascii="Times New Roman;sans-serif" w:hAnsi="Times New Roman;sans-serif"/>
          <w:b/>
          <w:color w:val="000000"/>
          <w:sz w:val="20"/>
        </w:rPr>
      </w:pPr>
      <w:r>
        <w:rPr>
          <w:rFonts w:ascii="Times New Roman;sans-serif" w:hAnsi="Times New Roman;sans-serif"/>
          <w:b/>
          <w:color w:val="000000"/>
          <w:sz w:val="20"/>
        </w:rPr>
        <w:t>Investor Relations Contact</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Nick Tooker</w:t>
      </w:r>
    </w:p>
    <w:p>
      <w:pPr>
        <w:pStyle w:val="TextBody"/>
        <w:bidi w:val="0"/>
        <w:spacing w:lineRule="auto" w:line="276"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investors@expensify.com</w:t>
      </w:r>
    </w:p>
    <w:p>
      <w:pPr>
        <w:pStyle w:val="TextBody"/>
        <w:bidi w:val="0"/>
        <w:spacing w:lineRule="auto" w:line="276" w:before="0" w:after="160"/>
        <w:jc w:val="left"/>
        <w:rPr>
          <w:rFonts w:ascii="Times New Roman;sans-serif" w:hAnsi="Times New Roman;sans-serif"/>
          <w:b/>
          <w:color w:val="000000"/>
          <w:sz w:val="20"/>
        </w:rPr>
      </w:pPr>
      <w:r>
        <w:rPr>
          <w:rFonts w:ascii="Times New Roman;sans-serif" w:hAnsi="Times New Roman;sans-serif"/>
          <w:b/>
          <w:color w:val="000000"/>
          <w:sz w:val="20"/>
        </w:rPr>
        <w:t>Press Contact</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Dean</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press@expensify.com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Balance Sheets</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(unaudited, in thousands, except share data) </w:t>
      </w:r>
    </w:p>
    <w:tbl>
      <w:tblPr>
        <w:tblW w:w="10205" w:type="dxa"/>
        <w:jc w:val="center"/>
        <w:tblInd w:w="0" w:type="dxa"/>
        <w:tblLayout w:type="fixed"/>
        <w:tblCellMar>
          <w:top w:w="28" w:type="dxa"/>
          <w:left w:w="28" w:type="dxa"/>
          <w:bottom w:w="28" w:type="dxa"/>
          <w:right w:w="28" w:type="dxa"/>
        </w:tblCellMar>
      </w:tblPr>
      <w:tblGrid>
        <w:gridCol w:w="2852"/>
        <w:gridCol w:w="2280"/>
        <w:gridCol w:w="2306"/>
        <w:gridCol w:w="215"/>
        <w:gridCol w:w="845"/>
        <w:gridCol w:w="111"/>
        <w:gridCol w:w="109"/>
        <w:gridCol w:w="109"/>
        <w:gridCol w:w="109"/>
        <w:gridCol w:w="224"/>
        <w:gridCol w:w="877"/>
        <w:gridCol w:w="168"/>
      </w:tblGrid>
      <w:tr>
        <w:trPr/>
        <w:tc>
          <w:tcPr>
            <w:tcW w:w="2852"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As of December 31,</w:t>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2022</w:t>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color w:val="000000"/>
                <w:sz w:val="16"/>
              </w:rPr>
            </w:pPr>
            <w:r>
              <w:rPr>
                <w:rFonts w:ascii="GT America Exp;sans-serif" w:hAnsi="GT America Exp;sans-serif"/>
                <w:b/>
                <w:color w:val="000000"/>
                <w:sz w:val="16"/>
              </w:rPr>
              <w:t>Assets</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Cash and cash equivalents</w:t>
            </w:r>
          </w:p>
        </w:tc>
        <w:tc>
          <w:tcPr>
            <w:tcW w:w="21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97,795 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103,787 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Accounts receivable, net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14,922 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16,448 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Settlement assets, net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39,276 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35,838 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Prepaid expenses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5,050 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8,825 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Other current assets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24,606 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22,217 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Total current assets</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181,649 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187,115 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Capitalized software, net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8,617 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6,881 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Property and equipment, net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14,545 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14,492 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Lease right-of-use assets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6,417 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745 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Deferred tax assets, net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409 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344 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Other assets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749 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664 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Total assets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212,386 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210,241 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color w:val="000000"/>
                <w:sz w:val="16"/>
              </w:rPr>
            </w:pPr>
            <w:r>
              <w:rPr>
                <w:rFonts w:ascii="GT America Exp;sans-serif" w:hAnsi="GT America Exp;sans-serif"/>
                <w:b/>
                <w:color w:val="000000"/>
                <w:sz w:val="16"/>
              </w:rPr>
              <w:t>Liabilities and stockholders' equity</w:t>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Accounts payable</w:t>
            </w:r>
          </w:p>
        </w:tc>
        <w:tc>
          <w:tcPr>
            <w:tcW w:w="21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1,691 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1,059 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Accrued expenses and other liabilities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11,650 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9,070 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Borrowings under line of credit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15,000 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15,000 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Current portion of long-term debt, net of original issue discount and debt issuance costs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557 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551 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Lease liabilities, current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278 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800 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Settlement liabilities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32,500 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33,882 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Total current liabilities</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61,676 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60,362 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Lease liabilities, non-current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6,226 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Other liabilities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1,441 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1,204 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Long-term debt, net of original issue discount and debt issuance costs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43,180 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51,434 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Total liabilities</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112,523 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113,000 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Commitments and contingencies</w:t>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Stockholders' equity:</w:t>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Preferred stock, par value $0.0001; 10,000,000 shares of preferred stock authorized as of June 30, 2023 and December 31, 2022; no shares of preferred stock issued and outstanding as of June 30, 2023 and December 31, 2022</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Common stock, par value $0.0001; 1,000,000,000 shares of Class A common stock authorized as of June 30, 2023 and December 31, 2022; 68,347,794 and 68,238,245 shares of Class A common stock issued and outstanding as of June 30, 2023 and December 31, 2022, respectively; 24,996,238 and 24,997,561 shares of LT10 common stock authorized as of June 30, 2023 and December 31, 2022, respectively; 7,334,868 and 7,336,191 shares of LT10 common stock issued and outstanding as of June 30, 2023 and December 31, 2022, respectively; 24,999,020 shares of LT50 common stock authorized as of June 30, 2023 and December 31, 2022; 7,093,829 and 6,854,931 shares of LT50 common stock issued and outstanding as of June 30, 2023 and December 31, 2022, respectively</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Additional paid-in capital</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216,422 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194,807 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Accumulated deficit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(116,566)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(97,573)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Total stockholders' equity</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99,863 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97,241 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Total liabilities and stockholders' equity</w:t>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w:t>
            </w:r>
          </w:p>
        </w:tc>
        <w:tc>
          <w:tcPr>
            <w:tcW w:w="8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212,386 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w:t>
            </w:r>
          </w:p>
        </w:tc>
        <w:tc>
          <w:tcPr>
            <w:tcW w:w="8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210,241 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Operations</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(unaudited, in thousands, except share and per share data) </w:t>
      </w:r>
    </w:p>
    <w:tbl>
      <w:tblPr>
        <w:tblW w:w="10205" w:type="dxa"/>
        <w:jc w:val="center"/>
        <w:tblInd w:w="0" w:type="dxa"/>
        <w:tblLayout w:type="fixed"/>
        <w:tblCellMar>
          <w:top w:w="28" w:type="dxa"/>
          <w:left w:w="28" w:type="dxa"/>
          <w:bottom w:w="28" w:type="dxa"/>
          <w:right w:w="28" w:type="dxa"/>
        </w:tblCellMar>
      </w:tblPr>
      <w:tblGrid>
        <w:gridCol w:w="1594"/>
        <w:gridCol w:w="1076"/>
        <w:gridCol w:w="1079"/>
        <w:gridCol w:w="263"/>
        <w:gridCol w:w="983"/>
        <w:gridCol w:w="110"/>
        <w:gridCol w:w="110"/>
        <w:gridCol w:w="110"/>
        <w:gridCol w:w="110"/>
        <w:gridCol w:w="267"/>
        <w:gridCol w:w="979"/>
        <w:gridCol w:w="110"/>
        <w:gridCol w:w="109"/>
        <w:gridCol w:w="109"/>
        <w:gridCol w:w="109"/>
        <w:gridCol w:w="263"/>
        <w:gridCol w:w="983"/>
        <w:gridCol w:w="109"/>
        <w:gridCol w:w="109"/>
        <w:gridCol w:w="109"/>
        <w:gridCol w:w="109"/>
        <w:gridCol w:w="263"/>
        <w:gridCol w:w="983"/>
        <w:gridCol w:w="159"/>
      </w:tblGrid>
      <w:tr>
        <w:trPr/>
        <w:tc>
          <w:tcPr>
            <w:tcW w:w="159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Six Months Ended June 30,</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2022</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Revenue</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38,884 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43,162 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78,985 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83,532 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GT America Exp;sans-serif" w:hAnsi="GT America Exp;sans-serif"/>
                <w:b w:val="false"/>
                <w:color w:val="000000"/>
                <w:sz w:val="20"/>
              </w:rPr>
              <w:t xml:space="preserve">Cost of revenue, net </w:t>
            </w:r>
            <w:r>
              <w:rPr>
                <w:rFonts w:ascii="GT America Exp;sans-serif" w:hAnsi="GT America Exp;sans-serif"/>
                <w:b w:val="false"/>
                <w:color w:val="000000"/>
                <w:sz w:val="13"/>
              </w:rPr>
              <w:t>(1)</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16,925 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15,876 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30,010 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Gross margin</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21,959 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27,286 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46,285 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53,522 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Operating expenses:</w:t>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GT America Exp;sans-serif" w:hAnsi="GT America Exp;sans-serif"/>
                <w:b w:val="false"/>
                <w:color w:val="000000"/>
                <w:sz w:val="20"/>
              </w:rPr>
              <w:t xml:space="preserve">Research and development </w:t>
            </w:r>
            <w:r>
              <w:rPr>
                <w:rFonts w:ascii="GT America Exp;sans-serif" w:hAnsi="GT America Exp;sans-serif"/>
                <w:b w:val="false"/>
                <w:color w:val="000000"/>
                <w:sz w:val="13"/>
              </w:rPr>
              <w:t>(1)</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5,094 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3,584 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7,285 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GT America Exp;sans-serif" w:hAnsi="GT America Exp;sans-serif"/>
                <w:b w:val="false"/>
                <w:color w:val="000000"/>
                <w:sz w:val="20"/>
              </w:rPr>
              <w:t xml:space="preserve">General and administrative </w:t>
            </w:r>
            <w:r>
              <w:rPr>
                <w:rFonts w:ascii="GT America Exp;sans-serif" w:hAnsi="GT America Exp;sans-serif"/>
                <w:b w:val="false"/>
                <w:color w:val="000000"/>
                <w:sz w:val="13"/>
              </w:rPr>
              <w:t>(1)</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11,712 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15,432 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24,141 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29,438 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GT America Exp;sans-serif" w:hAnsi="GT America Exp;sans-serif"/>
                <w:b w:val="false"/>
                <w:color w:val="000000"/>
                <w:sz w:val="20"/>
              </w:rPr>
              <w:t xml:space="preserve">Sales and marketing </w:t>
            </w:r>
            <w:r>
              <w:rPr>
                <w:rFonts w:ascii="GT America Exp;sans-serif" w:hAnsi="GT America Exp;sans-serif"/>
                <w:b w:val="false"/>
                <w:color w:val="000000"/>
                <w:sz w:val="13"/>
              </w:rPr>
              <w:t>(1)</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14,714 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12,244 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23,897 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25,616 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Total operating expenses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31,520 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31,260 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58,550 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62,339 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Loss from operations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(9,561)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(3,974)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(12,265)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(8,817)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Interest and other expenses,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(1,367)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(1,955)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(2,856)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Loss before income taxes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(10,928)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(5,929)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(15,048)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(11,673)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Provision for income taxes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(376)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(2,065)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(3,697)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Net loss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(11,304)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(7,994)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(17,249)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(15,370)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Net loss per share:</w:t>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Basic and diluted</w:t>
            </w:r>
          </w:p>
        </w:tc>
        <w:tc>
          <w:tcPr>
            <w:tcW w:w="26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(0.14)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(0.10)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(0.19)</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Weighted average shares of common stock used to compute net loss per share:</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Basic and diluted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82,011,477 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80,473,097 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81,890,624 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80,311,053 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(1)Includes stock-based compensation expense as follows:</w:t>
      </w:r>
    </w:p>
    <w:tbl>
      <w:tblPr>
        <w:tblW w:w="9423" w:type="dxa"/>
        <w:jc w:val="center"/>
        <w:tblInd w:w="0" w:type="dxa"/>
        <w:tblLayout w:type="fixed"/>
        <w:tblCellMar>
          <w:top w:w="28" w:type="dxa"/>
          <w:left w:w="28" w:type="dxa"/>
          <w:bottom w:w="28" w:type="dxa"/>
          <w:right w:w="28" w:type="dxa"/>
        </w:tblCellMar>
      </w:tblPr>
      <w:tblGrid>
        <w:gridCol w:w="1297"/>
        <w:gridCol w:w="1140"/>
        <w:gridCol w:w="1148"/>
        <w:gridCol w:w="251"/>
        <w:gridCol w:w="857"/>
        <w:gridCol w:w="129"/>
        <w:gridCol w:w="129"/>
        <w:gridCol w:w="129"/>
        <w:gridCol w:w="129"/>
        <w:gridCol w:w="251"/>
        <w:gridCol w:w="857"/>
        <w:gridCol w:w="129"/>
        <w:gridCol w:w="109"/>
        <w:gridCol w:w="109"/>
        <w:gridCol w:w="109"/>
        <w:gridCol w:w="228"/>
        <w:gridCol w:w="780"/>
        <w:gridCol w:w="117"/>
        <w:gridCol w:w="117"/>
        <w:gridCol w:w="117"/>
        <w:gridCol w:w="117"/>
        <w:gridCol w:w="228"/>
        <w:gridCol w:w="780"/>
        <w:gridCol w:w="166"/>
      </w:tblGrid>
      <w:tr>
        <w:trPr/>
        <w:tc>
          <w:tcPr>
            <w:tcW w:w="129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Three Months Ended 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Six months ended June 30,</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2022</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Cost of revenue, net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3,600 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4,704 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6,906 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9,611 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Research and development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2,455 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1,877 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4,661 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4,298 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General and administrative</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2,376 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5,463 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5,020 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10,439 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Sales and marketing</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1,910 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2,004 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3,758 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4,080 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Total stock-based compensation expense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10,341 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14,048 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20,345 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6"/>
              </w:rPr>
            </w:pPr>
            <w:r>
              <w:rPr>
                <w:rFonts w:ascii="GT America Exp;sans-serif" w:hAnsi="GT America Exp;sans-serif"/>
                <w:b w:val="false"/>
                <w:color w:val="000000"/>
                <w:sz w:val="16"/>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6"/>
              </w:rPr>
            </w:pPr>
            <w:r>
              <w:rPr>
                <w:rFonts w:ascii="GT America Exp;sans-serif" w:hAnsi="GT America Exp;sans-serif"/>
                <w:b w:val="false"/>
                <w:color w:val="000000"/>
                <w:sz w:val="16"/>
              </w:rPr>
              <w:t>28,428 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Cash Flows</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2818"/>
        <w:gridCol w:w="2461"/>
        <w:gridCol w:w="2470"/>
        <w:gridCol w:w="196"/>
        <w:gridCol w:w="736"/>
        <w:gridCol w:w="109"/>
        <w:gridCol w:w="109"/>
        <w:gridCol w:w="109"/>
        <w:gridCol w:w="109"/>
        <w:gridCol w:w="196"/>
        <w:gridCol w:w="736"/>
        <w:gridCol w:w="156"/>
      </w:tblGrid>
      <w:tr>
        <w:trPr/>
        <w:tc>
          <w:tcPr>
            <w:tcW w:w="2818"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4"/>
              </w:rPr>
            </w:pPr>
            <w:r>
              <w:rPr>
                <w:rFonts w:ascii="GT America Exp;sans-serif" w:hAnsi="GT America Exp;sans-serif"/>
                <w:b/>
                <w:color w:val="000000"/>
                <w:sz w:val="14"/>
              </w:rPr>
              <w:t>Six Months Ended June 30,</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4"/>
              </w:rPr>
            </w:pPr>
            <w:r>
              <w:rPr>
                <w:rFonts w:ascii="GT America Exp;sans-serif" w:hAnsi="GT America Exp;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4"/>
              </w:rPr>
            </w:pPr>
            <w:r>
              <w:rPr>
                <w:rFonts w:ascii="GT America Exp;sans-serif" w:hAnsi="GT America Exp;sans-serif"/>
                <w:b/>
                <w:color w:val="000000"/>
                <w:sz w:val="14"/>
              </w:rPr>
              <w:t>2022</w:t>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Cash flows from operating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(17,249)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(15,370)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Adjustments to reconcile net loss to net cash provided by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2,735 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Reduction of 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358 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Loss on impairment, receivables and sale or disposal of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475 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20,345 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28,428 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Amortization of original issue discount and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Deferred tax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(319)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Changes in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(906)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Settlement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(5,244)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(8,999)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3,775 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2,006 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Related party loan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1,193 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(1,583)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Accrued expenses and 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(1,366)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(404)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Settlement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19,910 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963 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7,208 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27,158 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(267)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(2,043)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(468)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(2,522)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(735)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Principal payments of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(394)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Principal payments of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(8,300)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(297)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Repurchases of early exercised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(20)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Proceeds from common stock purchased under Matching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2,076 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1,188 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Proceeds from issuance of common stock on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519 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Payments for employee taxes withheld from stock-based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Repurchase and retirement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Net cash (used in)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(11,040)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996 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Net (decrease) increase in cash and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(6,354)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27,419 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Cash and cash equivalents and restricted cash,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147,710 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125,315 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Cash and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141,356 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152,734 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Supplemental disclosure of cash flow information:</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2,912 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1,750 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Cash paid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2,251 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606 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Noncash investing and financing items: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Stock-based compensation capitalized as software development costs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Right-of-use assets acquired through operating leases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6,402 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Accrued property and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Reconciliation of cash and cash equivalents and restricted cash to the Condensed Consolidated Balance Sheets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97,795 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105,537 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Restricted cash included in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20,986 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16,077 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Restricted cash included in settlement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22,575 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31,120 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Total cash,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141,356 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14"/>
              </w:rPr>
            </w:pPr>
            <w:r>
              <w:rPr>
                <w:rFonts w:ascii="GT America Exp;sans-serif" w:hAnsi="GT America Exp;sans-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14"/>
              </w:rPr>
            </w:pPr>
            <w:r>
              <w:rPr>
                <w:rFonts w:ascii="GT America Exp;sans-serif" w:hAnsi="GT America Exp;sans-serif"/>
                <w:b w:val="false"/>
                <w:color w:val="000000"/>
                <w:sz w:val="14"/>
              </w:rPr>
              <w:t>152,734 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Reconciliation of GAAP to Non-GAAP Financial Measures</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 except percentages)</w:t>
      </w:r>
    </w:p>
    <w:p>
      <w:pPr>
        <w:pStyle w:val="TextBody"/>
        <w:bidi w:val="0"/>
        <w:spacing w:lineRule="auto" w:line="300" w:before="0" w:after="2"/>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 and Adjusted EBITDA Margin</w:t>
      </w:r>
    </w:p>
    <w:tbl>
      <w:tblPr>
        <w:tblW w:w="6423" w:type="dxa"/>
        <w:jc w:val="left"/>
        <w:tblInd w:w="0" w:type="dxa"/>
        <w:tblLayout w:type="fixed"/>
        <w:tblCellMar>
          <w:top w:w="28" w:type="dxa"/>
          <w:left w:w="28" w:type="dxa"/>
          <w:bottom w:w="28" w:type="dxa"/>
          <w:right w:w="28" w:type="dxa"/>
        </w:tblCellMar>
      </w:tblPr>
      <w:tblGrid>
        <w:gridCol w:w="1190"/>
        <w:gridCol w:w="1042"/>
        <w:gridCol w:w="1053"/>
        <w:gridCol w:w="226"/>
        <w:gridCol w:w="916"/>
        <w:gridCol w:w="286"/>
        <w:gridCol w:w="109"/>
        <w:gridCol w:w="109"/>
        <w:gridCol w:w="109"/>
        <w:gridCol w:w="226"/>
        <w:gridCol w:w="826"/>
        <w:gridCol w:w="331"/>
      </w:tblGrid>
      <w:tr>
        <w:trPr/>
        <w:tc>
          <w:tcPr>
            <w:tcW w:w="119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Three Months Ended June 30,</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2022</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Net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(11,304)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(7,994)</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Net loss margin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(29)</w:t>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(19)</w:t>
            </w:r>
          </w:p>
        </w:tc>
        <w:tc>
          <w:tcPr>
            <w:tcW w:w="33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Add:</w:t>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Provision for income taxes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2,065 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Interest and other expenses, net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1,367 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1,955 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Depreciation and amortization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1,376 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1,582 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Stock-based compensation</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10,341 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14,048 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Adjusted EBITDA</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2,156 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11,656 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Adjusted EBITDA margin</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32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Net Loss and Non-GAAP Net Loss Margin</w:t>
      </w:r>
    </w:p>
    <w:tbl>
      <w:tblPr>
        <w:tblW w:w="5867" w:type="dxa"/>
        <w:jc w:val="left"/>
        <w:tblInd w:w="0" w:type="dxa"/>
        <w:tblLayout w:type="fixed"/>
        <w:tblCellMar>
          <w:top w:w="28" w:type="dxa"/>
          <w:left w:w="28" w:type="dxa"/>
          <w:bottom w:w="28" w:type="dxa"/>
          <w:right w:w="28" w:type="dxa"/>
        </w:tblCellMar>
      </w:tblPr>
      <w:tblGrid>
        <w:gridCol w:w="999"/>
        <w:gridCol w:w="875"/>
        <w:gridCol w:w="885"/>
        <w:gridCol w:w="226"/>
        <w:gridCol w:w="916"/>
        <w:gridCol w:w="286"/>
        <w:gridCol w:w="109"/>
        <w:gridCol w:w="109"/>
        <w:gridCol w:w="109"/>
        <w:gridCol w:w="226"/>
        <w:gridCol w:w="796"/>
        <w:gridCol w:w="331"/>
      </w:tblGrid>
      <w:tr>
        <w:trPr/>
        <w:tc>
          <w:tcPr>
            <w:tcW w:w="9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Three Months Ended June 30,</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2022</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Net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(11,304)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(7,994)</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Net loss margin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(29)</w:t>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(19)</w:t>
            </w:r>
          </w:p>
        </w:tc>
        <w:tc>
          <w:tcPr>
            <w:tcW w:w="33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Add:</w:t>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Stock-based compensation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10,341 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14,048 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Non-GAAP net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(963)</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6,054 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Non-GAAP net loss margin</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14 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w:t>
            </w:r>
          </w:p>
        </w:tc>
      </w:tr>
      <w:tr>
        <w:trPr/>
        <w:tc>
          <w:tcPr>
            <w:tcW w:w="27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Operating Cash Flow and Free Cash Flow</w:t>
      </w:r>
    </w:p>
    <w:tbl>
      <w:tblPr>
        <w:tblW w:w="8428" w:type="dxa"/>
        <w:jc w:val="left"/>
        <w:tblInd w:w="0" w:type="dxa"/>
        <w:tblLayout w:type="fixed"/>
        <w:tblCellMar>
          <w:top w:w="28" w:type="dxa"/>
          <w:left w:w="28" w:type="dxa"/>
          <w:bottom w:w="28" w:type="dxa"/>
          <w:right w:w="28" w:type="dxa"/>
        </w:tblCellMar>
      </w:tblPr>
      <w:tblGrid>
        <w:gridCol w:w="2001"/>
        <w:gridCol w:w="1754"/>
        <w:gridCol w:w="1765"/>
        <w:gridCol w:w="255"/>
        <w:gridCol w:w="798"/>
        <w:gridCol w:w="123"/>
        <w:gridCol w:w="123"/>
        <w:gridCol w:w="123"/>
        <w:gridCol w:w="123"/>
        <w:gridCol w:w="255"/>
        <w:gridCol w:w="934"/>
        <w:gridCol w:w="174"/>
      </w:tblGrid>
      <w:tr>
        <w:trPr/>
        <w:tc>
          <w:tcPr>
            <w:tcW w:w="2001"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Three Months Ended June 30,</w:t>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GT America Exp;sans-serif" w:hAnsi="GT America Exp;sans-serif"/>
                <w:b/>
                <w:color w:val="000000"/>
                <w:sz w:val="16"/>
              </w:rPr>
            </w:pPr>
            <w:r>
              <w:rPr>
                <w:rFonts w:ascii="GT America Exp;sans-serif" w:hAnsi="GT America Exp;sans-serif"/>
                <w:b/>
                <w:color w:val="000000"/>
                <w:sz w:val="16"/>
              </w:rPr>
              <w:t>2022</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Net cash (used in) provided by operating activities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(434)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15,935 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(Increase) decrease in changes in assets and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Settlement assets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(2,561)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(3,310)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Settlement liabilities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(644)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7,477 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Adjusted operating cash flow</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2,771 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11,768 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Less: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Purchases of property and equipment</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(451)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(88)</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Software development costs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(1,173)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26 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Free cash flow</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1,147 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GT America Exp;sans-serif" w:hAnsi="GT America Exp;sans-serif"/>
                <w:b w:val="false"/>
                <w:color w:val="000000"/>
                <w:sz w:val="20"/>
              </w:rPr>
            </w:pPr>
            <w:r>
              <w:rPr>
                <w:rFonts w:ascii="GT America Exp;sans-serif" w:hAnsi="GT America Exp;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GT America Exp;sans-serif" w:hAnsi="GT America Exp;sans-serif"/>
                <w:b w:val="false"/>
                <w:color w:val="000000"/>
                <w:sz w:val="20"/>
              </w:rPr>
            </w:pPr>
            <w:r>
              <w:rPr>
                <w:rFonts w:ascii="GT America Exp;sans-serif" w:hAnsi="GT America Exp;sans-serif"/>
                <w:b w:val="false"/>
                <w:color w:val="000000"/>
                <w:sz w:val="20"/>
              </w:rPr>
              <w:t>11,706 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 descr=""/>
                    <pic:cNvPicPr>
                      <a:picLocks noChangeAspect="1" noChangeArrowheads="1"/>
                    </pic:cNvPicPr>
                  </pic:nvPicPr>
                  <pic:blipFill>
                    <a:blip r:embed="rId2"/>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18"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20"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22"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24"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7" descr=""/>
                    <pic:cNvPicPr>
                      <a:picLocks noChangeAspect="1" noChangeArrowheads="1"/>
                    </pic:cNvPicPr>
                  </pic:nvPicPr>
                  <pic:blipFill>
                    <a:blip r:embed="rId8"/>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26"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9"/>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28"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9" descr=""/>
                    <pic:cNvPicPr>
                      <a:picLocks noChangeAspect="1" noChangeArrowheads="1"/>
                    </pic:cNvPicPr>
                  </pic:nvPicPr>
                  <pic:blipFill>
                    <a:blip r:embed="rId10"/>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30"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descr=""/>
                    <pic:cNvPicPr>
                      <a:picLocks noChangeAspect="1" noChangeArrowheads="1"/>
                    </pic:cNvPicPr>
                  </pic:nvPicPr>
                  <pic:blipFill>
                    <a:blip r:embed="rId11"/>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3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 descr=""/>
                    <pic:cNvPicPr>
                      <a:picLocks noChangeAspect="1" noChangeArrowheads="1"/>
                    </pic:cNvPicPr>
                  </pic:nvPicPr>
                  <pic:blipFill>
                    <a:blip r:embed="rId12"/>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3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13"/>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36"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14"/>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38"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pPr>
      <w:r>
        <w:rPr/>
        <w:drawing>
          <wp:inline distT="0" distB="0" distL="0" distR="0">
            <wp:extent cx="9144000" cy="5143500"/>
            <wp:effectExtent l="0" t="0" r="0" b="0"/>
            <wp:docPr id="3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4" descr=""/>
                    <pic:cNvPicPr>
                      <a:picLocks noChangeAspect="1" noChangeArrowheads="1"/>
                    </pic:cNvPicPr>
                  </pic:nvPicPr>
                  <pic:blipFill>
                    <a:blip r:embed="rId15"/>
                    <a:stretch>
                      <a:fillRect/>
                    </a:stretch>
                  </pic:blipFill>
                  <pic:spPr bwMode="auto">
                    <a:xfrm>
                      <a:off x="0" y="0"/>
                      <a:ext cx="9144000" cy="5143500"/>
                    </a:xfrm>
                    <a:prstGeom prst="rect">
                      <a:avLst/>
                    </a:prstGeom>
                  </pic:spPr>
                </pic:pic>
              </a:graphicData>
            </a:graphic>
          </wp:inline>
        </w:drawing>
      </w:r>
      <w:r>
        <w:rPr>
          <w:color w:val="000000"/>
        </w:rPr>
        <w:t xml:space="preserve">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0"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5" descr=""/>
                    <pic:cNvPicPr>
                      <a:picLocks noChangeAspect="1" noChangeArrowheads="1"/>
                    </pic:cNvPicPr>
                  </pic:nvPicPr>
                  <pic:blipFill>
                    <a:blip r:embed="rId16"/>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2"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6" descr=""/>
                    <pic:cNvPicPr>
                      <a:picLocks noChangeAspect="1" noChangeArrowheads="1"/>
                    </pic:cNvPicPr>
                  </pic:nvPicPr>
                  <pic:blipFill>
                    <a:blip r:embed="rId17"/>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44"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7" descr=""/>
                    <pic:cNvPicPr>
                      <a:picLocks noChangeAspect="1" noChangeArrowheads="1"/>
                    </pic:cNvPicPr>
                  </pic:nvPicPr>
                  <pic:blipFill>
                    <a:blip r:embed="rId18"/>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46"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8" descr=""/>
                    <pic:cNvPicPr>
                      <a:picLocks noChangeAspect="1" noChangeArrowheads="1"/>
                    </pic:cNvPicPr>
                  </pic:nvPicPr>
                  <pic:blipFill>
                    <a:blip r:embed="rId19"/>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48"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9" descr=""/>
                    <pic:cNvPicPr>
                      <a:picLocks noChangeAspect="1" noChangeArrowheads="1"/>
                    </pic:cNvPicPr>
                  </pic:nvPicPr>
                  <pic:blipFill>
                    <a:blip r:embed="rId20"/>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0"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0" descr=""/>
                    <pic:cNvPicPr>
                      <a:picLocks noChangeAspect="1" noChangeArrowheads="1"/>
                    </pic:cNvPicPr>
                  </pic:nvPicPr>
                  <pic:blipFill>
                    <a:blip r:embed="rId21"/>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1" descr=""/>
                    <pic:cNvPicPr>
                      <a:picLocks noChangeAspect="1" noChangeArrowheads="1"/>
                    </pic:cNvPicPr>
                  </pic:nvPicPr>
                  <pic:blipFill>
                    <a:blip r:embed="rId22"/>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2" descr=""/>
                    <pic:cNvPicPr>
                      <a:picLocks noChangeAspect="1" noChangeArrowheads="1"/>
                    </pic:cNvPicPr>
                  </pic:nvPicPr>
                  <pic:blipFill>
                    <a:blip r:embed="rId23"/>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6"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3" descr=""/>
                    <pic:cNvPicPr>
                      <a:picLocks noChangeAspect="1" noChangeArrowheads="1"/>
                    </pic:cNvPicPr>
                  </pic:nvPicPr>
                  <pic:blipFill>
                    <a:blip r:embed="rId24"/>
                    <a:stretch>
                      <a:fillRect/>
                    </a:stretch>
                  </pic:blipFill>
                  <pic:spPr bwMode="auto">
                    <a:xfrm>
                      <a:off x="0" y="0"/>
                      <a:ext cx="9144000" cy="51435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GT America Exp">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17.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4458</Words>
  <Characters>25276</Characters>
  <CharactersWithSpaces>29197</CharactersWithSpaces>
  <Paragraphs>817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