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4.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UNITED STATES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SECURITIES AND EXCHANGE COMMISSION </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 xml:space="preserve">Washington, D.C. 20549 </w:t>
      </w:r>
    </w:p>
    <w:p>
      <w:pPr>
        <w:pStyle w:val="TextBody"/>
        <w:bidi w:val="0"/>
        <w:spacing w:lineRule="auto" w:line="288" w:before="0" w:after="12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CURRENT REPORT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PURSUANT TO SECTION 13 OR 15(d) </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November 6, 2025</w:t>
      </w:r>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 xml:space="preserve">Expensify,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(Exact Name of Registrant as Specified in its Charter) </w:t>
      </w:r>
    </w:p>
    <w:tbl>
      <w:tblPr>
        <w:tblW w:w="5346" w:type="dxa"/>
        <w:jc w:val="center"/>
        <w:tblInd w:w="0" w:type="dxa"/>
        <w:tblLayout w:type="fixed"/>
        <w:tblCellMar>
          <w:top w:w="28" w:type="dxa"/>
          <w:left w:w="28" w:type="dxa"/>
          <w:bottom w:w="28" w:type="dxa"/>
          <w:right w:w="28" w:type="dxa"/>
        </w:tblCellMar>
      </w:tblPr>
      <w:tblGrid>
        <w:gridCol w:w="776"/>
        <w:gridCol w:w="680"/>
        <w:gridCol w:w="688"/>
        <w:gridCol w:w="109"/>
        <w:gridCol w:w="109"/>
        <w:gridCol w:w="109"/>
        <w:gridCol w:w="353"/>
        <w:gridCol w:w="353"/>
        <w:gridCol w:w="358"/>
        <w:gridCol w:w="109"/>
        <w:gridCol w:w="109"/>
        <w:gridCol w:w="109"/>
        <w:gridCol w:w="433"/>
        <w:gridCol w:w="433"/>
        <w:gridCol w:w="618"/>
      </w:tblGrid>
      <w:tr>
        <w:trPr/>
        <w:tc>
          <w:tcPr>
            <w:tcW w:w="776"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001-41043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27-0239450</w:t>
            </w:r>
          </w:p>
        </w:tc>
      </w:tr>
      <w:tr>
        <w:trPr/>
        <w:tc>
          <w:tcPr>
            <w:tcW w:w="214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(State or Other Jurisdiction</w:t>
            </w:r>
          </w:p>
          <w:p>
            <w:pPr>
              <w:pStyle w:val="TableContents"/>
              <w:bidi w:val="0"/>
              <w:spacing w:lineRule="auto" w:line="276" w:before="0" w:after="20"/>
              <w:jc w:val="center"/>
              <w:rPr>
                <w:rFonts w:ascii="Times New Roman;serif" w:hAnsi="Times New Roman;serif"/>
                <w:b/>
                <w:color w:val="000000"/>
                <w:sz w:val="16"/>
              </w:rPr>
            </w:pPr>
            <w:r>
              <w:rPr>
                <w:rFonts w:ascii="Times New Roman;serif" w:hAnsi="Times New Roman;serif"/>
                <w:b/>
                <w:color w:val="000000"/>
                <w:sz w:val="16"/>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(Commission</w:t>
            </w:r>
          </w:p>
          <w:p>
            <w:pPr>
              <w:pStyle w:val="TableContents"/>
              <w:bidi w:val="0"/>
              <w:spacing w:lineRule="auto" w:line="276" w:before="0" w:after="20"/>
              <w:jc w:val="center"/>
              <w:rPr>
                <w:rFonts w:ascii="Times New Roman;serif" w:hAnsi="Times New Roman;serif"/>
                <w:b/>
                <w:color w:val="000000"/>
                <w:sz w:val="16"/>
              </w:rPr>
            </w:pPr>
            <w:r>
              <w:rPr>
                <w:rFonts w:ascii="Times New Roman;serif" w:hAnsi="Times New Roman;serif"/>
                <w:b/>
                <w:color w:val="000000"/>
                <w:sz w:val="16"/>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76" w:before="0" w:after="20"/>
              <w:jc w:val="center"/>
              <w:rPr>
                <w:rFonts w:ascii="Times New Roman;serif" w:hAnsi="Times New Roman;serif"/>
                <w:b/>
                <w:color w:val="000000"/>
                <w:sz w:val="16"/>
              </w:rPr>
            </w:pPr>
            <w:r>
              <w:rPr>
                <w:rFonts w:ascii="Times New Roman;serif" w:hAnsi="Times New Roman;serif"/>
                <w:b/>
                <w:color w:val="000000"/>
                <w:sz w:val="16"/>
              </w:rPr>
              <w:t>Identification No.)</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88 Kearny St, Ste 1600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San Francisco, California 94108 </w:t>
      </w:r>
    </w:p>
    <w:p>
      <w:pPr>
        <w:pStyle w:val="TextBody"/>
        <w:bidi w:val="0"/>
        <w:spacing w:lineRule="auto" w:line="288" w:before="0" w:after="120"/>
        <w:jc w:val="center"/>
        <w:rPr>
          <w:rFonts w:ascii="Times New Roman;serif" w:hAnsi="Times New Roman;serif"/>
          <w:b/>
          <w:color w:val="000000"/>
          <w:sz w:val="16"/>
        </w:rPr>
      </w:pPr>
      <w:r>
        <w:rPr>
          <w:rFonts w:ascii="Times New Roman;serif" w:hAnsi="Times New Roman;serif"/>
          <w:b/>
          <w:color w:val="000000"/>
          <w:sz w:val="16"/>
        </w:rPr>
        <w:t>(Address of Principal Executive Offices) (Zip Code)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(971) 365-3939 </w:t>
      </w:r>
    </w:p>
    <w:p>
      <w:pPr>
        <w:pStyle w:val="TextBody"/>
        <w:bidi w:val="0"/>
        <w:spacing w:lineRule="auto" w:line="288" w:before="0" w:after="12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401 SW 5th Ave, Portland, OR 97204</w:t>
      </w:r>
    </w:p>
    <w:p>
      <w:pPr>
        <w:pStyle w:val="TextBody"/>
        <w:bidi w:val="0"/>
        <w:spacing w:lineRule="auto" w:line="288" w:before="0" w:after="120"/>
        <w:jc w:val="center"/>
        <w:rPr>
          <w:rFonts w:ascii="Times New Roman;serif" w:hAnsi="Times New Roman;serif"/>
          <w:b/>
          <w:color w:val="000000"/>
          <w:sz w:val="16"/>
        </w:rPr>
      </w:pPr>
      <w:r>
        <w:rPr>
          <w:rFonts w:ascii="Times New Roman;serif" w:hAnsi="Times New Roman;serif"/>
          <w:b/>
          <w:color w:val="000000"/>
          <w:sz w:val="16"/>
        </w:rPr>
        <w:t xml:space="preserve">(Former Name or Former Address, if Changed Since Last Report)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below if the Form 8-K filing is intended to simultaneously satisfy the filing obligation of the registrant under any of the following provisions: </w:t>
      </w:r>
    </w:p>
    <w:tbl>
      <w:tblPr>
        <w:tblW w:w="9894"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698"/>
        <w:gridCol w:w="2698"/>
        <w:gridCol w:w="382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8" w:type="dxa"/>
            <w:tcBorders/>
            <w:vAlign w:val="center"/>
          </w:tcPr>
          <w:p>
            <w:pPr>
              <w:pStyle w:val="TableContents"/>
              <w:bidi w:val="0"/>
              <w:spacing w:before="0" w:after="283"/>
              <w:jc w:val="left"/>
              <w:rPr>
                <w:sz w:val="4"/>
                <w:szCs w:val="4"/>
              </w:rPr>
            </w:pPr>
            <w:r>
              <w:rPr>
                <w:sz w:val="4"/>
                <w:szCs w:val="4"/>
              </w:rPr>
            </w:r>
          </w:p>
        </w:tc>
        <w:tc>
          <w:tcPr>
            <w:tcW w:w="2698" w:type="dxa"/>
            <w:tcBorders/>
            <w:vAlign w:val="center"/>
          </w:tcPr>
          <w:p>
            <w:pPr>
              <w:pStyle w:val="TableContents"/>
              <w:bidi w:val="0"/>
              <w:spacing w:before="0" w:after="283"/>
              <w:jc w:val="left"/>
              <w:rPr>
                <w:sz w:val="4"/>
                <w:szCs w:val="4"/>
              </w:rPr>
            </w:pPr>
            <w:r>
              <w:rPr>
                <w:sz w:val="4"/>
                <w:szCs w:val="4"/>
              </w:rPr>
            </w:r>
          </w:p>
        </w:tc>
        <w:tc>
          <w:tcPr>
            <w:tcW w:w="382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8811" w:type="dxa"/>
        <w:jc w:val="center"/>
        <w:tblInd w:w="0" w:type="dxa"/>
        <w:tblLayout w:type="fixed"/>
        <w:tblCellMar>
          <w:top w:w="28" w:type="dxa"/>
          <w:left w:w="28" w:type="dxa"/>
          <w:bottom w:w="28" w:type="dxa"/>
          <w:right w:w="28" w:type="dxa"/>
        </w:tblCellMar>
      </w:tblPr>
      <w:tblGrid>
        <w:gridCol w:w="1643"/>
        <w:gridCol w:w="1441"/>
        <w:gridCol w:w="1460"/>
        <w:gridCol w:w="109"/>
        <w:gridCol w:w="109"/>
        <w:gridCol w:w="109"/>
        <w:gridCol w:w="274"/>
        <w:gridCol w:w="274"/>
        <w:gridCol w:w="276"/>
        <w:gridCol w:w="109"/>
        <w:gridCol w:w="109"/>
        <w:gridCol w:w="109"/>
        <w:gridCol w:w="816"/>
        <w:gridCol w:w="816"/>
        <w:gridCol w:w="1157"/>
      </w:tblGrid>
      <w:tr>
        <w:trPr/>
        <w:tc>
          <w:tcPr>
            <w:tcW w:w="1643"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Trading</w:t>
            </w:r>
          </w:p>
          <w:p>
            <w:pPr>
              <w:pStyle w:val="TableContents"/>
              <w:bidi w:val="0"/>
              <w:spacing w:lineRule="auto" w:line="276" w:before="0" w:after="20"/>
              <w:jc w:val="center"/>
              <w:rPr>
                <w:rFonts w:ascii="Times New Roman;serif" w:hAnsi="Times New Roman;serif"/>
                <w:b/>
                <w:color w:val="000000"/>
                <w:sz w:val="16"/>
              </w:rPr>
            </w:pPr>
            <w:r>
              <w:rPr>
                <w:rFonts w:ascii="Times New Roman;serif" w:hAnsi="Times New Roman;serif"/>
                <w:b/>
                <w:color w:val="000000"/>
                <w:sz w:val="16"/>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Name of each exchange</w:t>
            </w:r>
          </w:p>
          <w:p>
            <w:pPr>
              <w:pStyle w:val="TableContents"/>
              <w:bidi w:val="0"/>
              <w:spacing w:lineRule="auto" w:line="276" w:before="0" w:after="20"/>
              <w:jc w:val="center"/>
              <w:rPr>
                <w:rFonts w:ascii="Times New Roman;serif" w:hAnsi="Times New Roman;serif"/>
                <w:b/>
                <w:color w:val="000000"/>
                <w:sz w:val="16"/>
              </w:rPr>
            </w:pPr>
            <w:r>
              <w:rPr>
                <w:rFonts w:ascii="Times New Roman;serif" w:hAnsi="Times New Roman;serif"/>
                <w:b/>
                <w:color w:val="000000"/>
                <w:sz w:val="16"/>
              </w:rPr>
              <w:t>on which registered</w:t>
            </w:r>
          </w:p>
        </w:tc>
      </w:tr>
      <w:tr>
        <w:trPr/>
        <w:tc>
          <w:tcPr>
            <w:tcW w:w="4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Class A 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EXFY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The Nasdaq Stock Market LLC</w:t>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lineRule="auto" w:line="288" w:before="0" w:after="12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360" w:after="16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On November 6, 2025, Expensify, Inc. (“Expensify” or the “Company”) issued a press release announcing its financial results for the quarter ended September 30, 2025. A copy of this press release is furnished as Exhibit 99.1 to this current report on Form 8-K and is incorporated herein by reference.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On November 6, 2025, the Company posted an investor presentation to its website at https://ir.expensify.com (the “Investor Presentation”). A copy of the Investor Presentation is furnished as Exhibit 99.2 to this current report on Form 8-K and is incorporated herein by reference. The Company expects to use the Investor Presentation, in whole or in part, and possibly with modifications, in connection with presentations to investors, analysts and others.</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The information contained in the Investor Presentation is summary information that is intended to be considered in the context of the Company’s Securities and Exchange Commission (“SEC”) filings and other public announcements that the Company may make, by press release or otherwise, from time to time. The Investor Presentation speaks only as of the date of this current report on Form 8-K. The Company undertakes no duty or obligation to publicly update or revise the information included in the Investor Presentation, although it may do so from time to time. Any such updating may be made through the filing of other reports or documents with the SEC, through press releases or other public disclosure. In addition, the exhibit furnished herewith contains statements intended as “forward-looking statements” that are subject to the cautionary statements about forward-looking statements set forth in such exhibit. By furnishing the information contained in the Investor Presentation, the Company makes no admission as to the materiality of any information in the Investor Presentation that is required to be disclosed solely by reason of Regulation FD.</w:t>
      </w:r>
    </w:p>
    <w:p>
      <w:pPr>
        <w:pStyle w:val="TextBody"/>
        <w:bidi w:val="0"/>
        <w:spacing w:before="0" w:after="0"/>
        <w:jc w:val="left"/>
        <w:rPr/>
      </w:pPr>
      <w:r>
        <w:rPr/>
      </w:r>
    </w:p>
    <w:p>
      <w:pPr>
        <w:pStyle w:val="TextBody"/>
        <w:bidi w:val="0"/>
        <w:spacing w:lineRule="auto" w:line="276" w:before="0" w:after="160"/>
        <w:jc w:val="left"/>
        <w:rPr>
          <w:rFonts w:ascii="Times New Roman;serif" w:hAnsi="Times New Roman;serif"/>
          <w:b w:val="false"/>
          <w:color w:val="000000"/>
          <w:sz w:val="20"/>
        </w:rPr>
      </w:pPr>
      <w:r>
        <w:rPr>
          <w:rFonts w:ascii="Times New Roman;serif" w:hAnsi="Times New Roman;serif"/>
          <w:b w:val="false"/>
          <w:color w:val="000000"/>
          <w:sz w:val="20"/>
        </w:rPr>
        <w:t>The information contained in Item 2.02 and this Item 7.01, including Exhibits 99.1 and 99.2, is being furnished and shall not be deemed “filed” for purposes of Section 18 of the Securities Exchange Act of 1934, as amended (the “Exchange Act”), or otherwise subject to the liabilities of that section, nor shall it be deemed incorporated by reference in any filing made by Expensify under the Securities Act of 1933, as amended, or the Exchange Act, except as expressly set forth by specific reference in such a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 xml:space="preserve">Item 9.01 Financial Statements and Exhibits. </w:t>
      </w:r>
    </w:p>
    <w:p>
      <w:pPr>
        <w:pStyle w:val="TextBody"/>
        <w:bidi w:val="0"/>
        <w:spacing w:lineRule="auto" w:line="276" w:before="0" w:after="160"/>
        <w:jc w:val="left"/>
        <w:rPr/>
      </w:pPr>
      <w:r>
        <w:rPr>
          <w:rFonts w:ascii="Times New Roman;serif" w:hAnsi="Times New Roman;serif"/>
          <w:b w:val="false"/>
          <w:color w:val="000000"/>
          <w:sz w:val="20"/>
        </w:rPr>
        <w:t xml:space="preserve">(d) </w:t>
      </w:r>
      <w:r>
        <w:rPr>
          <w:rFonts w:ascii="Times New Roman;serif" w:hAnsi="Times New Roman;serif"/>
          <w:b w:val="false"/>
          <w:color w:val="000000"/>
          <w:sz w:val="20"/>
          <w:u w:val="single"/>
        </w:rPr>
        <w:t>Exhibits</w:t>
      </w:r>
      <w:r>
        <w:rPr>
          <w:rFonts w:ascii="Times New Roman;serif" w:hAnsi="Times New Roman;serif"/>
          <w:b w:val="false"/>
          <w:color w:val="000000"/>
          <w:sz w:val="20"/>
        </w:rPr>
        <w:t xml:space="preserve">. </w:t>
      </w:r>
    </w:p>
    <w:tbl>
      <w:tblPr>
        <w:tblW w:w="7916" w:type="dxa"/>
        <w:jc w:val="left"/>
        <w:tblInd w:w="0" w:type="dxa"/>
        <w:tblLayout w:type="fixed"/>
        <w:tblCellMar>
          <w:top w:w="28" w:type="dxa"/>
          <w:left w:w="28" w:type="dxa"/>
          <w:bottom w:w="28" w:type="dxa"/>
          <w:right w:w="28" w:type="dxa"/>
        </w:tblCellMar>
      </w:tblPr>
      <w:tblGrid>
        <w:gridCol w:w="342"/>
        <w:gridCol w:w="300"/>
        <w:gridCol w:w="303"/>
        <w:gridCol w:w="109"/>
        <w:gridCol w:w="109"/>
        <w:gridCol w:w="109"/>
        <w:gridCol w:w="1939"/>
        <w:gridCol w:w="1939"/>
        <w:gridCol w:w="2766"/>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9" w:type="dxa"/>
            <w:tcBorders/>
            <w:vAlign w:val="center"/>
          </w:tcPr>
          <w:p>
            <w:pPr>
              <w:pStyle w:val="TableContents"/>
              <w:bidi w:val="0"/>
              <w:spacing w:before="0" w:after="283"/>
              <w:jc w:val="left"/>
              <w:rPr>
                <w:sz w:val="4"/>
                <w:szCs w:val="4"/>
              </w:rPr>
            </w:pPr>
            <w:r>
              <w:rPr>
                <w:sz w:val="4"/>
                <w:szCs w:val="4"/>
              </w:rPr>
            </w:r>
          </w:p>
        </w:tc>
        <w:tc>
          <w:tcPr>
            <w:tcW w:w="1939" w:type="dxa"/>
            <w:tcBorders/>
            <w:vAlign w:val="center"/>
          </w:tcPr>
          <w:p>
            <w:pPr>
              <w:pStyle w:val="TableContents"/>
              <w:bidi w:val="0"/>
              <w:spacing w:before="0" w:after="283"/>
              <w:jc w:val="left"/>
              <w:rPr>
                <w:sz w:val="4"/>
                <w:szCs w:val="4"/>
              </w:rPr>
            </w:pPr>
            <w:r>
              <w:rPr>
                <w:sz w:val="4"/>
                <w:szCs w:val="4"/>
              </w:rPr>
            </w:r>
          </w:p>
        </w:tc>
        <w:tc>
          <w:tcPr>
            <w:tcW w:w="2766" w:type="dxa"/>
            <w:tcBorders/>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16"/>
              </w:rPr>
            </w:pPr>
            <w:r>
              <w:rPr>
                <w:rFonts w:ascii="Times New Roman;serif" w:hAnsi="Times New Roman;serif"/>
                <w:b/>
                <w:color w:val="000000"/>
                <w:sz w:val="16"/>
              </w:rPr>
              <w:t>Description</w:t>
            </w:r>
          </w:p>
        </w:tc>
      </w:tr>
      <w:tr>
        <w:trPr/>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exhibit991-8xkq325earnings.htm">
              <w:r>
                <w:rPr>
                  <w:rStyle w:val="InternetLink"/>
                  <w:rFonts w:ascii="Times New Roman;serif" w:hAnsi="Times New Roman;serif"/>
                  <w:b w:val="false"/>
                  <w:color w:val="000080"/>
                  <w:sz w:val="20"/>
                  <w:u w:val="single"/>
                </w:rPr>
                <w:t xml:space="preserve">Press Release issued by Expensify, Inc., dated </w:t>
              </w:r>
            </w:hyperlink>
            <w:hyperlink w:anchor="exhibit991-8xkq325earnings.htm">
              <w:r>
                <w:rPr>
                  <w:rStyle w:val="InternetLink"/>
                  <w:rFonts w:ascii="Times New Roman;serif" w:hAnsi="Times New Roman;serif"/>
                  <w:b w:val="false"/>
                  <w:color w:val="000080"/>
                  <w:sz w:val="20"/>
                  <w:u w:val="single"/>
                </w:rPr>
                <w:t>November</w:t>
              </w:r>
            </w:hyperlink>
            <w:hyperlink w:anchor="exhibit991-8xkq325earnings.htm">
              <w:r>
                <w:rPr>
                  <w:rStyle w:val="InternetLink"/>
                  <w:rFonts w:ascii="Times New Roman;serif" w:hAnsi="Times New Roman;serif"/>
                  <w:b w:val="false"/>
                  <w:color w:val="000080"/>
                  <w:sz w:val="20"/>
                  <w:u w:val="single"/>
                </w:rPr>
                <w:t xml:space="preserve"> </w:t>
              </w:r>
            </w:hyperlink>
            <w:hyperlink w:anchor="exhibit991-8xkq325earnings.htm">
              <w:r>
                <w:rPr>
                  <w:rStyle w:val="InternetLink"/>
                  <w:rFonts w:ascii="Times New Roman;serif" w:hAnsi="Times New Roman;serif"/>
                  <w:b w:val="false"/>
                  <w:color w:val="000080"/>
                  <w:sz w:val="20"/>
                  <w:u w:val="single"/>
                </w:rPr>
                <w:t>6</w:t>
              </w:r>
            </w:hyperlink>
            <w:hyperlink w:anchor="exhibit991-8xkq325earnings.htm">
              <w:r>
                <w:rPr>
                  <w:rStyle w:val="InternetLink"/>
                  <w:rFonts w:ascii="Times New Roman;serif" w:hAnsi="Times New Roman;serif"/>
                  <w:b w:val="false"/>
                  <w:color w:val="000080"/>
                  <w:sz w:val="20"/>
                  <w:u w:val="single"/>
                </w:rPr>
                <w:t>, 2025.</w:t>
              </w:r>
            </w:hyperlink>
          </w:p>
        </w:tc>
      </w:tr>
      <w:tr>
        <w:trPr/>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exhibit992-8xkq325investor.htm">
              <w:r>
                <w:rPr>
                  <w:rStyle w:val="InternetLink"/>
                  <w:rFonts w:ascii="Times New Roman;serif" w:hAnsi="Times New Roman;serif"/>
                  <w:b w:val="false"/>
                  <w:color w:val="000080"/>
                  <w:sz w:val="20"/>
                  <w:u w:val="single"/>
                </w:rPr>
                <w:t xml:space="preserve">Investor Presentation, dated </w:t>
              </w:r>
            </w:hyperlink>
            <w:hyperlink w:anchor="exhibit992-8xkq325investor.htm">
              <w:r>
                <w:rPr>
                  <w:rStyle w:val="InternetLink"/>
                  <w:rFonts w:ascii="Times New Roman;serif" w:hAnsi="Times New Roman;serif"/>
                  <w:b w:val="false"/>
                  <w:color w:val="000080"/>
                  <w:sz w:val="20"/>
                  <w:u w:val="single"/>
                </w:rPr>
                <w:t>November</w:t>
              </w:r>
            </w:hyperlink>
            <w:hyperlink w:anchor="exhibit992-8xkq325investor.htm">
              <w:r>
                <w:rPr>
                  <w:rStyle w:val="InternetLink"/>
                  <w:rFonts w:ascii="Times New Roman;serif" w:hAnsi="Times New Roman;serif"/>
                  <w:b w:val="false"/>
                  <w:color w:val="000080"/>
                  <w:sz w:val="20"/>
                  <w:u w:val="single"/>
                </w:rPr>
                <w:t xml:space="preserve"> </w:t>
              </w:r>
            </w:hyperlink>
            <w:hyperlink w:anchor="exhibit992-8xkq325investor.htm">
              <w:r>
                <w:rPr>
                  <w:rStyle w:val="InternetLink"/>
                  <w:rFonts w:ascii="Times New Roman;serif" w:hAnsi="Times New Roman;serif"/>
                  <w:b w:val="false"/>
                  <w:color w:val="000080"/>
                  <w:sz w:val="20"/>
                  <w:u w:val="single"/>
                </w:rPr>
                <w:t>6</w:t>
              </w:r>
            </w:hyperlink>
            <w:hyperlink w:anchor="exhibit992-8xkq325investor.htm">
              <w:r>
                <w:rPr>
                  <w:rStyle w:val="InternetLink"/>
                  <w:rFonts w:ascii="Times New Roman;serif" w:hAnsi="Times New Roman;serif"/>
                  <w:b w:val="false"/>
                  <w:color w:val="000080"/>
                  <w:sz w:val="20"/>
                  <w:u w:val="single"/>
                </w:rPr>
                <w:t>, 2025.</w:t>
              </w:r>
            </w:hyperlink>
          </w:p>
        </w:tc>
      </w:tr>
      <w:tr>
        <w:trPr/>
        <w:tc>
          <w:tcPr>
            <w:tcW w:w="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color w:val="000000"/>
          <w:sz w:val="20"/>
          <w:u w:val="single"/>
        </w:rPr>
      </w:pPr>
      <w:r>
        <w:rPr>
          <w:rFonts w:ascii="Times New Roman;serif" w:hAnsi="Times New Roman;serif"/>
          <w:b/>
          <w:color w:val="000000"/>
          <w:sz w:val="20"/>
          <w:u w:val="single"/>
        </w:rPr>
        <w:t xml:space="preserve">SIGNATURE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hereunto duly authorized. </w:t>
      </w:r>
    </w:p>
    <w:tbl>
      <w:tblPr>
        <w:tblW w:w="3086" w:type="dxa"/>
        <w:jc w:val="right"/>
        <w:tblInd w:w="0" w:type="dxa"/>
        <w:tblLayout w:type="fixed"/>
        <w:tblCellMar>
          <w:top w:w="28" w:type="dxa"/>
          <w:left w:w="28" w:type="dxa"/>
          <w:bottom w:w="28" w:type="dxa"/>
          <w:right w:w="28" w:type="dxa"/>
        </w:tblCellMar>
      </w:tblPr>
      <w:tblGrid>
        <w:gridCol w:w="255"/>
        <w:gridCol w:w="194"/>
        <w:gridCol w:w="196"/>
        <w:gridCol w:w="144"/>
        <w:gridCol w:w="144"/>
        <w:gridCol w:w="144"/>
        <w:gridCol w:w="587"/>
        <w:gridCol w:w="587"/>
        <w:gridCol w:w="835"/>
      </w:tblGrid>
      <w:tr>
        <w:trPr/>
        <w:tc>
          <w:tcPr>
            <w:tcW w:w="255"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r>
      <w:tr>
        <w:trPr/>
        <w:tc>
          <w:tcPr>
            <w:tcW w:w="3086" w:type="dxa"/>
            <w:gridSpan w:val="9"/>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Expensify, Inc.</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/s/ Ryan Schaffer</w:t>
            </w:r>
          </w:p>
        </w:tc>
      </w:tr>
      <w:tr>
        <w:trPr/>
        <w:tc>
          <w:tcPr>
            <w:tcW w:w="64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Ryan Schaffer</w:t>
            </w:r>
          </w:p>
        </w:tc>
      </w:tr>
      <w:tr>
        <w:trPr/>
        <w:tc>
          <w:tcPr>
            <w:tcW w:w="64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Date: November 6, 2025</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00" w:before="0" w:after="160"/>
        <w:jc w:val="center"/>
        <w:rPr>
          <w:rFonts w:ascii="Times New Roman;serif" w:hAnsi="Times New Roman;serif"/>
          <w:b/>
          <w:color w:val="000000"/>
          <w:sz w:val="20"/>
        </w:rPr>
      </w:pPr>
      <w:r>
        <w:rPr>
          <w:rFonts w:ascii="Times New Roman;serif" w:hAnsi="Times New Roman;serif"/>
          <w:b/>
          <w:color w:val="000000"/>
          <w:sz w:val="20"/>
        </w:rPr>
        <w:t>EXPENSIFY ANNOUNCES Q3 2025 RESULTS</w:t>
      </w:r>
    </w:p>
    <w:p>
      <w:pPr>
        <w:pStyle w:val="TextBody"/>
        <w:bidi w:val="0"/>
        <w:spacing w:lineRule="auto" w:line="300" w:before="0" w:after="160"/>
        <w:jc w:val="center"/>
        <w:rPr>
          <w:rFonts w:ascii="Times New Roman;serif" w:hAnsi="Times New Roman;serif"/>
          <w:b w:val="false"/>
          <w:i/>
          <w:color w:val="000000"/>
          <w:sz w:val="20"/>
        </w:rPr>
      </w:pPr>
      <w:r>
        <w:rPr>
          <w:rFonts w:ascii="Times New Roman;serif" w:hAnsi="Times New Roman;serif"/>
          <w:b w:val="false"/>
          <w:i/>
          <w:color w:val="000000"/>
          <w:sz w:val="20"/>
        </w:rPr>
        <w:t>Total interchange derived from the Expensify Card grew to $5.4 million, an increase of 18% as compared to the same period last year.</w:t>
      </w:r>
    </w:p>
    <w:p>
      <w:pPr>
        <w:pStyle w:val="TextBody"/>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SAN FRANCISCO, Cal.--(BUSINESS WIRE)--November 6, 2025-- Expensify, Inc. (Nasdaq: EXFY), the easiest way to manage expenses, corporate cards, and travel, today released a letter to shareholders from Founder and CEO David Barrett alongside results for its quarter ended September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160"/>
        <w:jc w:val="left"/>
        <w:rPr>
          <w:rFonts w:ascii="Times New Roman;serif" w:hAnsi="Times New Roman;serif"/>
          <w:b/>
          <w:color w:val="000000"/>
          <w:sz w:val="20"/>
          <w:u w:val="single"/>
        </w:rPr>
      </w:pPr>
      <w:r>
        <w:rPr>
          <w:rFonts w:ascii="Times New Roman;serif" w:hAnsi="Times New Roman;serif"/>
          <w:b/>
          <w:color w:val="000000"/>
          <w:sz w:val="20"/>
          <w:u w:val="single"/>
        </w:rPr>
        <w:t>A Message From Our Founder</w:t>
      </w:r>
    </w:p>
    <w:p>
      <w:pPr>
        <w:pStyle w:val="TextBody"/>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Expensify continues to generate free cash flow, grow interchange (up 18% y/y), and grow travel bookings (up 95% since Q1). We're standing by our FY'25 free cash flow guidance of $19.0 million to $23.0 million, and have announced that Expensify is the Official Travel and Expense partner of the Brooklyn Nets, with the long-time customer adopting Expensify Travel in Q3! We've migrated all Collect customers off Classic and fully onto New Expensify (with the vast majority of users choosing to stay on New rather than switch back to Classic), and are focused on migrating all Control customers right now. It's an exciting time, as we're seeing the results of our years of hard work building New Expensify in the hands of real customers at scale, and they love it!</w:t>
      </w:r>
    </w:p>
    <w:p>
      <w:pPr>
        <w:pStyle w:val="TextBody"/>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Additionally, I'm extremely proud to take the wraps off of our heavily upgraded Concierge AI, the world's first Hybrid Multi-Modal Contextual Expense Agent – or just "Concierge", for short. I believe this is the most capable, most flexible, most accurate financial AI on the market today, due to its innovative design that is:</w:t>
      </w:r>
    </w:p>
    <w:p>
      <w:pPr>
        <w:pStyle w:val="TextBody"/>
        <w:bidi w:val="0"/>
        <w:spacing w:lineRule="auto" w:line="300" w:before="0" w:after="160"/>
        <w:ind w:left="0" w:right="0" w:hanging="360"/>
        <w:jc w:val="left"/>
        <w:rPr/>
      </w:pPr>
      <w:r>
        <w:rPr>
          <w:color w:val="000000"/>
        </w:rPr>
        <w:t>•</w:t>
      </w:r>
      <w:r>
        <w:rPr>
          <w:rFonts w:ascii="Times New Roman;serif" w:hAnsi="Times New Roman;serif"/>
          <w:b/>
          <w:color w:val="000000"/>
          <w:sz w:val="20"/>
        </w:rPr>
        <w:t>Hybrid -</w:t>
      </w:r>
      <w:r>
        <w:rPr>
          <w:color w:val="000000"/>
        </w:rPr>
        <w:t xml:space="preserve"> </w:t>
      </w:r>
      <w:r>
        <w:rPr>
          <w:rFonts w:ascii="Times New Roman;serif" w:hAnsi="Times New Roman;serif"/>
          <w:b w:val="false"/>
          <w:color w:val="000000"/>
          <w:sz w:val="20"/>
        </w:rPr>
        <w:t>You'll never hear "I can't do that, Dave", because anything the AI can't do or answer itself will be seamlessly escalated to a human to complete in realtime, 24/7.</w:t>
      </w:r>
    </w:p>
    <w:p>
      <w:pPr>
        <w:pStyle w:val="TextBody"/>
        <w:bidi w:val="0"/>
        <w:spacing w:lineRule="auto" w:line="300" w:before="0" w:after="160"/>
        <w:ind w:left="0" w:right="0" w:hanging="360"/>
        <w:jc w:val="left"/>
        <w:rPr/>
      </w:pPr>
      <w:r>
        <w:rPr>
          <w:color w:val="000000"/>
        </w:rPr>
        <w:t>•</w:t>
      </w:r>
      <w:r>
        <w:rPr>
          <w:rFonts w:ascii="Times New Roman;serif" w:hAnsi="Times New Roman;serif"/>
          <w:b/>
          <w:color w:val="000000"/>
          <w:sz w:val="20"/>
        </w:rPr>
        <w:t xml:space="preserve">Multi-modal - </w:t>
      </w:r>
      <w:r>
        <w:rPr>
          <w:rFonts w:ascii="Times New Roman;serif" w:hAnsi="Times New Roman;serif"/>
          <w:b w:val="false"/>
          <w:color w:val="000000"/>
          <w:sz w:val="20"/>
        </w:rPr>
        <w:t>Concierge is a single AI that can wear "many hats"– answer support questions, scan receipts, create expenses, fix errors, automate approvals, the works – rather than a suite of less functional specialist AIs that you need to pick and choose between to get the right answer.</w:t>
      </w:r>
    </w:p>
    <w:p>
      <w:pPr>
        <w:pStyle w:val="TextBody"/>
        <w:bidi w:val="0"/>
        <w:spacing w:lineRule="auto" w:line="300" w:before="0" w:after="160"/>
        <w:ind w:left="0" w:right="0" w:hanging="360"/>
        <w:jc w:val="left"/>
        <w:rPr/>
      </w:pPr>
      <w:r>
        <w:rPr>
          <w:color w:val="000000"/>
        </w:rPr>
        <w:t>•</w:t>
      </w:r>
      <w:r>
        <w:rPr>
          <w:rFonts w:ascii="Times New Roman;serif" w:hAnsi="Times New Roman;serif"/>
          <w:b/>
          <w:color w:val="000000"/>
          <w:sz w:val="20"/>
        </w:rPr>
        <w:t>Contextual -</w:t>
      </w:r>
      <w:r>
        <w:rPr>
          <w:color w:val="000000"/>
        </w:rPr>
        <w:t xml:space="preserve"> </w:t>
      </w:r>
      <w:r>
        <w:rPr>
          <w:rFonts w:ascii="Times New Roman;serif" w:hAnsi="Times New Roman;serif"/>
          <w:b w:val="false"/>
          <w:color w:val="000000"/>
          <w:sz w:val="20"/>
        </w:rPr>
        <w:t xml:space="preserve">Rather than floating "above" the UI like a modern day Clippy, Concierge is built </w:t>
      </w:r>
      <w:r>
        <w:rPr>
          <w:rFonts w:ascii="Times New Roman;serif" w:hAnsi="Times New Roman;serif"/>
          <w:b w:val="false"/>
          <w:i/>
          <w:color w:val="000000"/>
          <w:sz w:val="20"/>
        </w:rPr>
        <w:t>into</w:t>
      </w:r>
      <w:r>
        <w:rPr>
          <w:color w:val="000000"/>
        </w:rPr>
        <w:t xml:space="preserve"> </w:t>
      </w:r>
      <w:r>
        <w:rPr>
          <w:rFonts w:ascii="Times New Roman;serif" w:hAnsi="Times New Roman;serif"/>
          <w:b w:val="false"/>
          <w:color w:val="000000"/>
          <w:sz w:val="20"/>
        </w:rPr>
        <w:t>the UI such that you can ask questions or request changes directly inside your expense policy, expense report, or individual expense itself.</w:t>
      </w:r>
    </w:p>
    <w:p>
      <w:pPr>
        <w:pStyle w:val="TextBody"/>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Everyone claims to have an AI, and they all start to sound the same. But we've been at that a long time and know customers want more than gimmicks and slick marketing. Chat is the UI of AI, and New Expensify was rebuilt entirely around chat specifically to enable you to chat with our Concierge AI from everywhere in the product, about anything. I don't think there is anything like it on the market, but I believe everyone is inevitably going to end up going this design direction – so check out New Expensify to see a glimpse of the future, today!</w:t>
      </w:r>
    </w:p>
    <w:p>
      <w:pPr>
        <w:pStyle w:val="TextBody"/>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-david</w:t>
      </w:r>
    </w:p>
    <w:p>
      <w:pPr>
        <w:pStyle w:val="TextBody"/>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Founder and CEO of Expensify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300" w:before="0" w:after="160"/>
        <w:jc w:val="left"/>
        <w:rPr>
          <w:rFonts w:ascii="Times New Roman;serif" w:hAnsi="Times New Roman;serif"/>
          <w:b/>
          <w:color w:val="000000"/>
          <w:sz w:val="20"/>
        </w:rPr>
      </w:pPr>
      <w:r>
        <w:rPr>
          <w:rFonts w:ascii="Times New Roman;serif" w:hAnsi="Times New Roman;serif"/>
          <w:b/>
          <w:color w:val="000000"/>
          <w:sz w:val="20"/>
        </w:rPr>
        <w:t>Third Quarter 2025 Highlights</w:t>
      </w:r>
    </w:p>
    <w:p>
      <w:pPr>
        <w:pStyle w:val="TextBody"/>
        <w:bidi w:val="0"/>
        <w:spacing w:lineRule="auto" w:line="300" w:before="0" w:after="160"/>
        <w:jc w:val="left"/>
        <w:rPr>
          <w:rFonts w:ascii="Times New Roman;serif" w:hAnsi="Times New Roman;serif"/>
          <w:b/>
          <w:color w:val="000000"/>
          <w:sz w:val="20"/>
          <w:u w:val="single"/>
        </w:rPr>
      </w:pPr>
      <w:r>
        <w:rPr>
          <w:rFonts w:ascii="Times New Roman;serif" w:hAnsi="Times New Roman;serif"/>
          <w:b/>
          <w:color w:val="000000"/>
          <w:sz w:val="20"/>
          <w:u w:val="single"/>
        </w:rPr>
        <w:t>Financial:</w:t>
      </w:r>
    </w:p>
    <w:p>
      <w:pPr>
        <w:pStyle w:val="TextBody"/>
        <w:bidi w:val="0"/>
        <w:spacing w:lineRule="auto" w:line="300" w:before="0" w:after="160"/>
        <w:ind w:left="0" w:right="0" w:hanging="360"/>
        <w:jc w:val="left"/>
        <w:rPr/>
      </w:pPr>
      <w:r>
        <w:rPr>
          <w:color w:val="000000"/>
        </w:rPr>
        <w:t>•</w:t>
      </w:r>
      <w:r>
        <w:rPr>
          <w:rFonts w:ascii="Times New Roman;serif" w:hAnsi="Times New Roman;serif"/>
          <w:b w:val="false"/>
          <w:color w:val="000000"/>
          <w:sz w:val="20"/>
        </w:rPr>
        <w:t>Revenue was $35.1 million, a decrease of 1% compared to the same period last year.</w:t>
      </w:r>
    </w:p>
    <w:p>
      <w:pPr>
        <w:pStyle w:val="TextBody"/>
        <w:bidi w:val="0"/>
        <w:spacing w:lineRule="auto" w:line="300" w:before="0" w:after="160"/>
        <w:ind w:left="0" w:right="0" w:hanging="360"/>
        <w:jc w:val="left"/>
        <w:rPr/>
      </w:pPr>
      <w:r>
        <w:rPr>
          <w:color w:val="000000"/>
        </w:rPr>
        <w:t>•</w:t>
      </w:r>
      <w:r>
        <w:rPr>
          <w:rFonts w:ascii="Times New Roman;serif" w:hAnsi="Times New Roman;serif"/>
          <w:b w:val="false"/>
          <w:color w:val="000000"/>
          <w:sz w:val="20"/>
        </w:rPr>
        <w:t xml:space="preserve">Generated $4.2 million of cash from operating activities. </w:t>
      </w:r>
    </w:p>
    <w:p>
      <w:pPr>
        <w:pStyle w:val="TextBody"/>
        <w:bidi w:val="0"/>
        <w:spacing w:lineRule="auto" w:line="300" w:before="0" w:after="160"/>
        <w:ind w:left="0" w:right="0" w:hanging="360"/>
        <w:jc w:val="left"/>
        <w:rPr/>
      </w:pPr>
      <w:r>
        <w:rPr>
          <w:color w:val="000000"/>
        </w:rPr>
        <w:t>•</w:t>
      </w:r>
      <w:r>
        <w:rPr>
          <w:rFonts w:ascii="Times New Roman;serif" w:hAnsi="Times New Roman;serif"/>
          <w:b w:val="false"/>
          <w:color w:val="000000"/>
          <w:sz w:val="20"/>
        </w:rPr>
        <w:t>Free cash flow was $1.2 million.</w:t>
      </w:r>
    </w:p>
    <w:p>
      <w:pPr>
        <w:pStyle w:val="TextBody"/>
        <w:bidi w:val="0"/>
        <w:spacing w:lineRule="auto" w:line="300" w:before="0" w:after="160"/>
        <w:ind w:left="0" w:right="0" w:hanging="360"/>
        <w:jc w:val="left"/>
        <w:rPr/>
      </w:pPr>
      <w:r>
        <w:rPr>
          <w:color w:val="000000"/>
        </w:rPr>
        <w:t>◦</w:t>
      </w:r>
      <w:r>
        <w:rPr>
          <w:rFonts w:ascii="Times New Roman;serif" w:hAnsi="Times New Roman;serif"/>
          <w:b w:val="false"/>
          <w:color w:val="000000"/>
          <w:sz w:val="20"/>
        </w:rPr>
        <w:t>This decrease is primarily due to unfavorable timing of cash payments related to working capital items in the current quarter as compared to the same period last year.</w:t>
      </w:r>
    </w:p>
    <w:p>
      <w:pPr>
        <w:pStyle w:val="TextBody"/>
        <w:bidi w:val="0"/>
        <w:spacing w:lineRule="auto" w:line="300" w:before="0" w:after="160"/>
        <w:ind w:left="0" w:right="0" w:hanging="360"/>
        <w:jc w:val="left"/>
        <w:rPr/>
      </w:pPr>
      <w:r>
        <w:rPr>
          <w:color w:val="000000"/>
        </w:rPr>
        <w:t>•</w:t>
      </w:r>
      <w:r>
        <w:rPr>
          <w:rFonts w:ascii="Times New Roman;serif" w:hAnsi="Times New Roman;serif"/>
          <w:b w:val="false"/>
          <w:color w:val="000000"/>
          <w:sz w:val="20"/>
        </w:rPr>
        <w:t xml:space="preserve">Net loss was $2.3 million, compared to $2.2 million for the same period last year. </w:t>
      </w:r>
    </w:p>
    <w:p>
      <w:pPr>
        <w:pStyle w:val="TextBody"/>
        <w:bidi w:val="0"/>
        <w:spacing w:lineRule="auto" w:line="300" w:before="0" w:after="160"/>
        <w:ind w:left="0" w:right="0" w:hanging="360"/>
        <w:jc w:val="left"/>
        <w:rPr/>
      </w:pPr>
      <w:r>
        <w:rPr>
          <w:color w:val="000000"/>
        </w:rPr>
        <w:t>•</w:t>
      </w:r>
      <w:r>
        <w:rPr>
          <w:rFonts w:ascii="Times New Roman;serif" w:hAnsi="Times New Roman;serif"/>
          <w:b w:val="false"/>
          <w:color w:val="000000"/>
          <w:sz w:val="20"/>
        </w:rPr>
        <w:t>Non-GAAP net income was $4.3 million.</w:t>
      </w:r>
    </w:p>
    <w:p>
      <w:pPr>
        <w:pStyle w:val="TextBody"/>
        <w:bidi w:val="0"/>
        <w:spacing w:lineRule="auto" w:line="300" w:before="0" w:after="160"/>
        <w:ind w:left="0" w:right="0" w:hanging="360"/>
        <w:jc w:val="left"/>
        <w:rPr/>
      </w:pPr>
      <w:r>
        <w:rPr>
          <w:color w:val="000000"/>
        </w:rPr>
        <w:t>•</w:t>
      </w:r>
      <w:r>
        <w:rPr>
          <w:rFonts w:ascii="Times New Roman;serif" w:hAnsi="Times New Roman;serif"/>
          <w:b w:val="false"/>
          <w:color w:val="000000"/>
          <w:sz w:val="20"/>
        </w:rPr>
        <w:t>Adjusted EBITDA was $6.5 million.</w:t>
      </w:r>
    </w:p>
    <w:p>
      <w:pPr>
        <w:pStyle w:val="TextBody"/>
        <w:bidi w:val="0"/>
        <w:spacing w:lineRule="auto" w:line="300" w:before="0" w:after="160"/>
        <w:ind w:left="0" w:right="0" w:hanging="360"/>
        <w:jc w:val="left"/>
        <w:rPr/>
      </w:pPr>
      <w:r>
        <w:rPr>
          <w:color w:val="000000"/>
        </w:rPr>
        <w:t>•</w:t>
      </w:r>
      <w:r>
        <w:rPr>
          <w:rFonts w:ascii="Times New Roman;serif" w:hAnsi="Times New Roman;serif"/>
          <w:b w:val="false"/>
          <w:color w:val="000000"/>
          <w:sz w:val="20"/>
        </w:rPr>
        <w:t>Interchange derived from the Expensify Card grew to $5.4 million, an increase of 18% compared to the same period last year.</w:t>
      </w:r>
    </w:p>
    <w:p>
      <w:pPr>
        <w:pStyle w:val="TextBody"/>
        <w:bidi w:val="0"/>
        <w:spacing w:lineRule="auto" w:line="300" w:before="0" w:after="160"/>
        <w:ind w:left="0" w:right="0" w:hanging="360"/>
        <w:jc w:val="left"/>
        <w:rPr/>
      </w:pPr>
      <w:r>
        <w:rPr>
          <w:color w:val="000000"/>
        </w:rPr>
        <w:t>•</w:t>
      </w:r>
      <w:r>
        <w:rPr>
          <w:rFonts w:ascii="Times New Roman;serif" w:hAnsi="Times New Roman;serif"/>
          <w:b w:val="false"/>
          <w:color w:val="000000"/>
          <w:sz w:val="20"/>
        </w:rPr>
        <w:t>See Financial Outlook section for Free Cash Flow guidance for fiscal year ending December 31, 2025.</w:t>
      </w:r>
    </w:p>
    <w:p>
      <w:pPr>
        <w:pStyle w:val="TextBody"/>
        <w:bidi w:val="0"/>
        <w:spacing w:lineRule="auto" w:line="300" w:before="0" w:after="160"/>
        <w:jc w:val="left"/>
        <w:rPr>
          <w:rFonts w:ascii="Times New Roman;serif" w:hAnsi="Times New Roman;serif"/>
          <w:b/>
          <w:color w:val="000000"/>
          <w:sz w:val="20"/>
          <w:u w:val="single"/>
        </w:rPr>
      </w:pPr>
      <w:r>
        <w:rPr>
          <w:rFonts w:ascii="Times New Roman;serif" w:hAnsi="Times New Roman;serif"/>
          <w:b/>
          <w:color w:val="000000"/>
          <w:sz w:val="20"/>
          <w:u w:val="single"/>
        </w:rPr>
        <w:t>Business:</w:t>
      </w:r>
    </w:p>
    <w:p>
      <w:pPr>
        <w:pStyle w:val="TextBody"/>
        <w:bidi w:val="0"/>
        <w:spacing w:lineRule="auto" w:line="300" w:before="0" w:after="160"/>
        <w:ind w:left="0" w:right="0" w:hanging="360"/>
        <w:jc w:val="left"/>
        <w:rPr/>
      </w:pPr>
      <w:r>
        <w:rPr>
          <w:color w:val="000000"/>
        </w:rPr>
        <w:t>•</w:t>
      </w:r>
      <w:r>
        <w:rPr>
          <w:rFonts w:ascii="Times New Roman;serif" w:hAnsi="Times New Roman;serif"/>
          <w:b/>
          <w:color w:val="000000"/>
          <w:sz w:val="20"/>
        </w:rPr>
        <w:t>Paid members</w:t>
      </w:r>
      <w:r>
        <w:rPr>
          <w:color w:val="000000"/>
        </w:rPr>
        <w:t xml:space="preserve"> </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Paid members were 642,000, a decrease of 6% compared to the same period last year.</w:t>
      </w:r>
    </w:p>
    <w:p>
      <w:pPr>
        <w:pStyle w:val="TextBody"/>
        <w:bidi w:val="0"/>
        <w:spacing w:lineRule="auto" w:line="300" w:before="0" w:after="160"/>
        <w:ind w:left="0" w:right="0" w:hanging="360"/>
        <w:jc w:val="left"/>
        <w:rPr/>
      </w:pPr>
      <w:r>
        <w:rPr>
          <w:color w:val="000000"/>
        </w:rPr>
        <w:t>•</w:t>
      </w:r>
      <w:r>
        <w:rPr>
          <w:rFonts w:ascii="Times New Roman;serif" w:hAnsi="Times New Roman;serif"/>
          <w:b/>
          <w:color w:val="000000"/>
          <w:sz w:val="20"/>
        </w:rPr>
        <w:t>Expensify Travel</w:t>
      </w:r>
      <w:r>
        <w:rPr>
          <w:color w:val="000000"/>
        </w:rPr>
        <w:t xml:space="preserve"> </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Expensify Travel saw a 36% increase in quarterly travel bookings. Travel bookings have increased by 95% since Q1 2025.</w:t>
      </w:r>
    </w:p>
    <w:p>
      <w:pPr>
        <w:pStyle w:val="TextBody"/>
        <w:bidi w:val="0"/>
        <w:spacing w:lineRule="auto" w:line="300" w:before="0" w:after="160"/>
        <w:ind w:left="0" w:right="0" w:hanging="360"/>
        <w:jc w:val="left"/>
        <w:rPr/>
      </w:pPr>
      <w:r>
        <w:rPr>
          <w:color w:val="000000"/>
        </w:rPr>
        <w:t>•</w:t>
      </w:r>
      <w:r>
        <w:rPr>
          <w:rFonts w:ascii="Times New Roman;serif" w:hAnsi="Times New Roman;serif"/>
          <w:b/>
          <w:color w:val="000000"/>
          <w:sz w:val="20"/>
        </w:rPr>
        <w:t>Share repurchase</w:t>
      </w:r>
      <w:r>
        <w:rPr>
          <w:color w:val="000000"/>
        </w:rPr>
        <w:t xml:space="preserve"> </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 xml:space="preserve">The company repurchased 1,579,763 shares of its Class A common stock, totaling approximately $3.0 million. </w:t>
      </w:r>
    </w:p>
    <w:p>
      <w:pPr>
        <w:pStyle w:val="TextBody"/>
        <w:bidi w:val="0"/>
        <w:spacing w:lineRule="auto" w:line="300" w:before="0" w:after="160"/>
        <w:ind w:left="0" w:right="0" w:hanging="360"/>
        <w:jc w:val="left"/>
        <w:rPr/>
      </w:pPr>
      <w:r>
        <w:rPr>
          <w:color w:val="000000"/>
        </w:rPr>
        <w:t>•</w:t>
      </w:r>
      <w:r>
        <w:rPr>
          <w:rFonts w:ascii="Times New Roman;serif" w:hAnsi="Times New Roman;serif"/>
          <w:b/>
          <w:color w:val="000000"/>
          <w:sz w:val="20"/>
        </w:rPr>
        <w:t xml:space="preserve">Marquee travel customer - </w:t>
      </w:r>
      <w:r>
        <w:rPr>
          <w:rFonts w:ascii="Times New Roman;serif" w:hAnsi="Times New Roman;serif"/>
          <w:b w:val="false"/>
          <w:color w:val="000000"/>
          <w:sz w:val="20"/>
        </w:rPr>
        <w:t xml:space="preserve">Expensify became the official Travel and Expense partner of the Brooklyn Nets, with the long-time customer adopting Expensify Travel in Q3.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300" w:before="0" w:after="160"/>
        <w:jc w:val="left"/>
        <w:rPr>
          <w:rFonts w:ascii="Times New Roman;serif" w:hAnsi="Times New Roman;serif"/>
          <w:b/>
          <w:color w:val="000000"/>
          <w:sz w:val="20"/>
          <w:u w:val="single"/>
        </w:rPr>
      </w:pPr>
      <w:r>
        <w:rPr>
          <w:rFonts w:ascii="Times New Roman;serif" w:hAnsi="Times New Roman;serif"/>
          <w:b/>
          <w:color w:val="000000"/>
          <w:sz w:val="20"/>
          <w:u w:val="single"/>
        </w:rPr>
        <w:t>Financial Outlook</w:t>
      </w:r>
    </w:p>
    <w:p>
      <w:pPr>
        <w:pStyle w:val="TextBody"/>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Expensify's outlook statements are based on current estimates, expectations and assumptions and are not a guarantee of future performance. The following statements are forward-looking and actual results could differ materially depending on market conditions and the factors set forth under “Forward-Looking Statements” below. There can be no assurance that the Company will achieve the results expressed by this guidance.</w:t>
      </w:r>
    </w:p>
    <w:p>
      <w:pPr>
        <w:pStyle w:val="TextBody"/>
        <w:bidi w:val="0"/>
        <w:spacing w:lineRule="auto" w:line="300" w:before="0" w:after="160"/>
        <w:jc w:val="left"/>
        <w:rPr>
          <w:rFonts w:ascii="Times New Roman;serif" w:hAnsi="Times New Roman;serif"/>
          <w:b/>
          <w:color w:val="000000"/>
          <w:sz w:val="20"/>
        </w:rPr>
      </w:pPr>
      <w:r>
        <w:rPr>
          <w:rFonts w:ascii="Times New Roman;serif" w:hAnsi="Times New Roman;serif"/>
          <w:b/>
          <w:color w:val="000000"/>
          <w:sz w:val="20"/>
        </w:rPr>
        <w:t>Free Cash Flow</w:t>
      </w:r>
    </w:p>
    <w:p>
      <w:pPr>
        <w:pStyle w:val="TextBody"/>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Expensify estimates free cash flow of $19.0 million to $23.0 million for the fiscal year ending December 31, 2025.</w:t>
      </w:r>
    </w:p>
    <w:p>
      <w:pPr>
        <w:pStyle w:val="TextBody"/>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The Company does not provide a reconciliation for free cash flow estimates on a forward-looking basis because it is unable, without making unreasonable efforts, to provide a meaningful or reasonably accurate calculation or estimation of net cash provided by operating activities and certain reconciling items on a forward-looking basis, which could be significant to the Company's results.</w:t>
      </w:r>
    </w:p>
    <w:p>
      <w:pPr>
        <w:pStyle w:val="TextBody"/>
        <w:bidi w:val="0"/>
        <w:spacing w:lineRule="auto" w:line="300" w:before="0" w:after="160"/>
        <w:jc w:val="left"/>
        <w:rPr>
          <w:rFonts w:ascii="Times New Roman;serif" w:hAnsi="Times New Roman;serif"/>
          <w:b/>
          <w:color w:val="000000"/>
          <w:sz w:val="20"/>
        </w:rPr>
      </w:pPr>
      <w:r>
        <w:rPr>
          <w:rFonts w:ascii="Times New Roman;serif" w:hAnsi="Times New Roman;serif"/>
          <w:b/>
          <w:color w:val="000000"/>
          <w:sz w:val="20"/>
        </w:rPr>
        <w:t>Stock Based Compensation</w:t>
      </w:r>
    </w:p>
    <w:p>
      <w:pPr>
        <w:pStyle w:val="TextBody"/>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An estimate of expected stock-based compensation expense for the next four fiscal quarters is as follows, which is driven primarily by the pre-IPO grant of RSUs issued to all employees (which vest quarterly over eight years with approximately four years remaining).</w:t>
      </w:r>
    </w:p>
    <w:p>
      <w:pPr>
        <w:pStyle w:val="TextBody"/>
        <w:bidi w:val="0"/>
        <w:spacing w:lineRule="auto" w:line="300" w:before="0" w:after="160"/>
        <w:jc w:val="left"/>
        <w:rPr>
          <w:rFonts w:ascii="Times New Roman;serif" w:hAnsi="Times New Roman;serif"/>
          <w:b/>
          <w:color w:val="000000"/>
          <w:sz w:val="20"/>
        </w:rPr>
      </w:pPr>
      <w:r>
        <w:rPr>
          <w:rFonts w:ascii="Times New Roman;serif" w:hAnsi="Times New Roman;serif"/>
          <w:b/>
          <w:color w:val="000000"/>
          <w:sz w:val="20"/>
        </w:rPr>
        <w:t>Est. stock-based compensation (millions)</w:t>
      </w:r>
    </w:p>
    <w:tbl>
      <w:tblPr>
        <w:tblW w:w="8484" w:type="dxa"/>
        <w:jc w:val="left"/>
        <w:tblInd w:w="0" w:type="dxa"/>
        <w:tblLayout w:type="fixed"/>
        <w:tblCellMar>
          <w:top w:w="28" w:type="dxa"/>
          <w:left w:w="28" w:type="dxa"/>
          <w:bottom w:w="28" w:type="dxa"/>
          <w:right w:w="28" w:type="dxa"/>
        </w:tblCellMar>
      </w:tblPr>
      <w:tblGrid>
        <w:gridCol w:w="727"/>
        <w:gridCol w:w="639"/>
        <w:gridCol w:w="644"/>
        <w:gridCol w:w="196"/>
        <w:gridCol w:w="376"/>
        <w:gridCol w:w="109"/>
        <w:gridCol w:w="196"/>
        <w:gridCol w:w="376"/>
        <w:gridCol w:w="109"/>
        <w:gridCol w:w="109"/>
        <w:gridCol w:w="109"/>
        <w:gridCol w:w="109"/>
        <w:gridCol w:w="196"/>
        <w:gridCol w:w="376"/>
        <w:gridCol w:w="109"/>
        <w:gridCol w:w="196"/>
        <w:gridCol w:w="376"/>
        <w:gridCol w:w="109"/>
        <w:gridCol w:w="109"/>
        <w:gridCol w:w="109"/>
        <w:gridCol w:w="109"/>
        <w:gridCol w:w="196"/>
        <w:gridCol w:w="376"/>
        <w:gridCol w:w="109"/>
        <w:gridCol w:w="196"/>
        <w:gridCol w:w="376"/>
        <w:gridCol w:w="109"/>
        <w:gridCol w:w="109"/>
        <w:gridCol w:w="109"/>
        <w:gridCol w:w="109"/>
        <w:gridCol w:w="196"/>
        <w:gridCol w:w="376"/>
        <w:gridCol w:w="109"/>
        <w:gridCol w:w="196"/>
        <w:gridCol w:w="376"/>
        <w:gridCol w:w="154"/>
      </w:tblGrid>
      <w:tr>
        <w:trPr/>
        <w:tc>
          <w:tcPr>
            <w:tcW w:w="727"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69" w:type="dxa"/>
            <w:gridSpan w:val="24"/>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Q4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Q1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Q2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Q3 2026</w:t>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Low</w:t>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High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Low</w:t>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High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Low</w:t>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High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Low</w:t>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High</w:t>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 net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0.9</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marketing</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0.8</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160"/>
        <w:jc w:val="left"/>
        <w:rPr>
          <w:rFonts w:ascii="Times New Roman;serif" w:hAnsi="Times New Roman;serif"/>
          <w:b/>
          <w:color w:val="000000"/>
          <w:sz w:val="20"/>
          <w:u w:val="single"/>
        </w:rPr>
      </w:pPr>
      <w:r>
        <w:rPr>
          <w:rFonts w:ascii="Times New Roman;serif" w:hAnsi="Times New Roman;serif"/>
          <w:b/>
          <w:color w:val="000000"/>
          <w:sz w:val="20"/>
          <w:u w:val="single"/>
        </w:rPr>
        <w:t>Availability of Information on Expensify’s Website</w:t>
      </w:r>
    </w:p>
    <w:p>
      <w:pPr>
        <w:pStyle w:val="TextBody"/>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Investors and others should note that Expensify routinely announces material information to investors and the marketplace using SEC filings, press releases, public conference calls, webcasts and the Expensify Investor Relations website at https://ir.expensify.com. While not all of the information that the Company posts to its Investor Relations website is of a material nature, some information could be deemed to be material. Accordingly, the Company encourages investors, the media and others interested in Expensify to review the information that it shares on its Investor Relations website.</w:t>
      </w:r>
    </w:p>
    <w:p>
      <w:pPr>
        <w:pStyle w:val="TextBody"/>
        <w:bidi w:val="0"/>
        <w:spacing w:lineRule="auto" w:line="300" w:before="0" w:after="160"/>
        <w:jc w:val="left"/>
        <w:rPr>
          <w:rFonts w:ascii="Times New Roman;serif" w:hAnsi="Times New Roman;serif"/>
          <w:b/>
          <w:color w:val="000000"/>
          <w:sz w:val="20"/>
          <w:u w:val="single"/>
        </w:rPr>
      </w:pPr>
      <w:r>
        <w:rPr>
          <w:rFonts w:ascii="Times New Roman;serif" w:hAnsi="Times New Roman;serif"/>
          <w:b/>
          <w:color w:val="000000"/>
          <w:sz w:val="20"/>
          <w:u w:val="single"/>
        </w:rPr>
        <w:t xml:space="preserve">Conference Call </w:t>
      </w:r>
    </w:p>
    <w:p>
      <w:pPr>
        <w:pStyle w:val="TextBody"/>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 xml:space="preserve">Expensify will host a video call to discuss the financial results and business highlights at 2:00 p.m. Pacific Time today. An investor presentation and the video call information is available on Expensify’s Investor Relations website at https://ir.expensify.com. A replay of the call will be available on the site for three months. </w:t>
      </w:r>
    </w:p>
    <w:p>
      <w:pPr>
        <w:pStyle w:val="TextBody"/>
        <w:bidi w:val="0"/>
        <w:spacing w:lineRule="auto" w:line="300" w:before="0" w:after="160"/>
        <w:jc w:val="left"/>
        <w:rPr>
          <w:rFonts w:ascii="Times New Roman;serif" w:hAnsi="Times New Roman;serif"/>
          <w:b/>
          <w:color w:val="000000"/>
          <w:sz w:val="20"/>
          <w:u w:val="single"/>
        </w:rPr>
      </w:pPr>
      <w:r>
        <w:rPr>
          <w:rFonts w:ascii="Times New Roman;serif" w:hAnsi="Times New Roman;serif"/>
          <w:b/>
          <w:color w:val="000000"/>
          <w:sz w:val="20"/>
          <w:u w:val="single"/>
        </w:rPr>
        <w:t>Non-GAAP Financial Measures</w:t>
      </w:r>
    </w:p>
    <w:p>
      <w:pPr>
        <w:pStyle w:val="TextBody"/>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In addition to financial measures prepared in accordance with U.S. generally accepted accounting principles (“GAAP”), we provide certain non-GAAP financial measures, including adjusted EBITDA, non-GAAP net income, and free cash flow.</w:t>
      </w:r>
    </w:p>
    <w:p>
      <w:pPr>
        <w:pStyle w:val="TextBody"/>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our non-GAAP financial measures are useful in evaluating our business, measuring our performance, identifying trends affecting our business, formulating business plans and making strategic decisions. Accordingly, we believe that these non-GAAP financial measures provide useful information to investors and others in </w:t>
      </w:r>
    </w:p>
    <w:p>
      <w:pPr>
        <w:pStyle w:val="TextBody"/>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understanding and evaluating our results of operations in the same manner as our management team. These non-GAAP financial measures are presented for supplemental informational purposes only, should not be considered a substitute for financial information presented in accordance with GAAP, and may be different from similarly titled metrics or measures presented by other companies. Non-GAAP financial measures have limitations as analytical tools and should not be considered in isolation or as substitutes for financial information presented under GAAP. There are a number of limitations related to the use of non-GAAP financial measures versus comparable financial measures determined under GAAP. For example, other companies in our industry may calculate these non-GAAP financial measures differently or may use other measures to evaluate their performance. All of these limitations could reduce the usefulness of these non-GAAP financial measures as analytical tools. Investors are encouraged to review the related GAAP financial measures and the reconciliations of these non-GAAP financial measures to their most directly comparable GAAP financial measures and to not rely on any single financial measure to evaluate our business. A reconciliation of each non-GAAP financial measure to the most directly comparable financial measure stated in accordance with GAAP is at the end of this press release.</w:t>
      </w:r>
    </w:p>
    <w:p>
      <w:pPr>
        <w:pStyle w:val="TextBody"/>
        <w:bidi w:val="0"/>
        <w:spacing w:lineRule="auto" w:line="300" w:before="0" w:after="160"/>
        <w:jc w:val="left"/>
        <w:rPr/>
      </w:pPr>
      <w:r>
        <w:rPr>
          <w:rFonts w:ascii="Times New Roman;serif" w:hAnsi="Times New Roman;serif"/>
          <w:b/>
          <w:color w:val="000000"/>
          <w:sz w:val="20"/>
        </w:rPr>
        <w:t>Adjusted EBITDA.</w:t>
      </w:r>
      <w:r>
        <w:rPr>
          <w:color w:val="000000"/>
        </w:rPr>
        <w:t xml:space="preserve"> </w:t>
      </w:r>
      <w:r>
        <w:rPr>
          <w:rFonts w:ascii="Times New Roman;serif" w:hAnsi="Times New Roman;serif"/>
          <w:b w:val="false"/>
          <w:color w:val="000000"/>
          <w:sz w:val="20"/>
        </w:rPr>
        <w:t>We define adjusted EBITDA as net loss excluding provision for income taxes, other income, net, depreciation and amortization, and stock-based compensation expense.</w:t>
      </w:r>
    </w:p>
    <w:p>
      <w:pPr>
        <w:pStyle w:val="TextBody"/>
        <w:bidi w:val="0"/>
        <w:spacing w:lineRule="auto" w:line="300" w:before="0" w:after="160"/>
        <w:jc w:val="left"/>
        <w:rPr/>
      </w:pPr>
      <w:r>
        <w:rPr>
          <w:rFonts w:ascii="Times New Roman;serif" w:hAnsi="Times New Roman;serif"/>
          <w:b/>
          <w:color w:val="000000"/>
          <w:sz w:val="20"/>
        </w:rPr>
        <w:t>Non-GAAP net income.</w:t>
      </w:r>
      <w:r>
        <w:rPr>
          <w:color w:val="000000"/>
        </w:rPr>
        <w:t xml:space="preserve"> </w:t>
      </w:r>
      <w:r>
        <w:rPr>
          <w:rFonts w:ascii="Times New Roman;serif" w:hAnsi="Times New Roman;serif"/>
          <w:b w:val="false"/>
          <w:color w:val="000000"/>
          <w:sz w:val="20"/>
        </w:rPr>
        <w:t>We define non-GAAP net income as net loss excluding stock-based compensation expense.</w:t>
      </w:r>
    </w:p>
    <w:p>
      <w:pPr>
        <w:pStyle w:val="TextBody"/>
        <w:bidi w:val="0"/>
        <w:spacing w:lineRule="auto" w:line="300" w:before="0" w:after="160"/>
        <w:jc w:val="left"/>
        <w:rPr/>
      </w:pPr>
      <w:r>
        <w:rPr>
          <w:rFonts w:ascii="Times New Roman;serif" w:hAnsi="Times New Roman;serif"/>
          <w:b/>
          <w:color w:val="000000"/>
          <w:sz w:val="20"/>
        </w:rPr>
        <w:t>Free cash flow.</w:t>
      </w:r>
      <w:r>
        <w:rPr>
          <w:color w:val="000000"/>
        </w:rPr>
        <w:t xml:space="preserve"> </w:t>
      </w:r>
      <w:r>
        <w:rPr>
          <w:rFonts w:ascii="Times New Roman;serif" w:hAnsi="Times New Roman;serif"/>
          <w:b w:val="false"/>
          <w:color w:val="000000"/>
          <w:sz w:val="20"/>
        </w:rPr>
        <w:t>We define free cash flow as net cash provided by operating activities excluding changes in settlement assets and settlement liabilities, which represent funds held for customers and customer funds in transit, respectively, reduced by the purchases of property and equipment and software development costs.</w:t>
      </w:r>
    </w:p>
    <w:p>
      <w:pPr>
        <w:pStyle w:val="TextBody"/>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The tables at the end of the Condensed Consolidated Financial Statements provide reconciliations to the most directly comparable GAAP financial measure to each of these non-GAAP financial measures.</w:t>
      </w:r>
    </w:p>
    <w:p>
      <w:pPr>
        <w:pStyle w:val="TextBody"/>
        <w:bidi w:val="0"/>
        <w:spacing w:lineRule="auto" w:line="300" w:before="0" w:after="160"/>
        <w:jc w:val="left"/>
        <w:rPr>
          <w:rFonts w:ascii="Times New Roman;serif" w:hAnsi="Times New Roman;serif"/>
          <w:b/>
          <w:color w:val="000000"/>
          <w:sz w:val="20"/>
          <w:u w:val="single"/>
        </w:rPr>
      </w:pPr>
      <w:r>
        <w:rPr>
          <w:rFonts w:ascii="Times New Roman;serif" w:hAnsi="Times New Roman;serif"/>
          <w:b/>
          <w:color w:val="000000"/>
          <w:sz w:val="20"/>
          <w:u w:val="single"/>
        </w:rPr>
        <w:t>Forward-Looking Statements</w:t>
      </w:r>
    </w:p>
    <w:p>
      <w:pPr>
        <w:pStyle w:val="TextBody"/>
        <w:bidi w:val="0"/>
        <w:spacing w:lineRule="auto" w:line="268"/>
        <w:jc w:val="left"/>
        <w:rPr>
          <w:rFonts w:ascii="Times New Roman;serif" w:hAnsi="Times New Roman;serif"/>
          <w:b w:val="false"/>
          <w:color w:val="000000"/>
          <w:sz w:val="20"/>
        </w:rPr>
      </w:pPr>
      <w:r>
        <w:rPr>
          <w:rFonts w:ascii="Times New Roman;serif" w:hAnsi="Times New Roman;serif"/>
          <w:b w:val="false"/>
          <w:color w:val="000000"/>
          <w:sz w:val="20"/>
        </w:rPr>
        <w:t xml:space="preserve">Forward-looking statements in this press release, or made during the earnings call, which are not historical facts, are forward-looking statements within the meaning of the Private Securities Litigation Reform Act of 1955. These statements include statements regarding our strategy, future financial condition, future operations, future cash flow, projected costs, prospects, plans, objectives of management and expected market growth, product developments and their potential impact and our stock-based compensation estimates and involve known and unknown risks that are difficult to predict. As a result, our actual results, performance or achievements may differ materially from those expressed or implied by these forward-looking statements. In some cases, you can identify forward-looking statements because they contain words such as “may,” “will,” “shall,” “should,” “expects,” “plans,” “anticipates,” “could,” “intends,” “target,” “projects,” “contemplates,” “believes,” “estimates,” “predicts,” “potential,” “goal,” “ambition,” “objective,” “seeks,” “outlook,” or “continue” or the negative of these words or other similar terms or expressions that concern our expectations, strategy, plans, or intentions. Such forward-looking statements are necessarily based upon estimates and assumptions that, while considered reasonable by us and our management, are inherently uncertain. Factors that may cause actual results to differ materially from current expectations include, but are not limited to: the impact on inflation on us and our members; our borrowing costs, which have and may continue to increase as a result of increases in interest rates; our expectations regarding our financial performance and future operating performance; our ability to attract and retain members, expand usage of our platform, sell subscriptions to our platform and convert individuals and organizations into paying customers; the timing and success of new features, integrations, capabilities and enhancements by us, or by competitors to their products, or any other changes in the competitive landscape of our market; the amount and timing of operating expenses and capital expenditures that we may incur to maintain and expand our business and operations to remain competitive; the sufficiency of our cash, cash equivalents and investments to meet our liquidity needs; our ability to make required payments under and to comply with the various requirements of our current and future indebtedness; our cash flows, the prevailing stock prices, general economic and market conditions and other considerations that could affect the specific timing, price and size of repurchases under our stock repurchase program or our ability to fund any stock repurchases; geopolitical tensions, including the war in Ukraine and the conflict in Israel, Gaza and surrounding areas; our ability to effectively manage our exposure to fluctuations in foreign currency exchange rates; the size of our addressable markets, market share and market trends; anticipated trends, developments and challenges in our industry, business and the highly competitive markets in which we operate; any adverse impact on </w:t>
      </w:r>
    </w:p>
    <w:p>
      <w:pPr>
        <w:pStyle w:val="TextBody"/>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our business operations as a result of using artificial intelligence or other machine learning technologies in our services; our expectations regarding our income tax liabilities and the adequacy of our reserves; our ability to effectively manage our growth and expand our infrastructure and maintain our corporate culture; our ability to identify, recruit and retain skilled personnel, including key members of senior management; the safety, affordability and convenience of our platform and our offerings; our ability to successfully defend litigation brought against us; our ability to successfully identify, manage and integrate any existing and potential acquisitions of businesses, talent, technologies or intellectual property; general economic conditions in either domestic or international markets, including geopolitical uncertainty and instability, and their effects on software spending; our ability to protect against security incidents, technical difficulties, or interruptions to our platform; our ability to maintain, protect and enhance our intellectual property; the impact of tariffs and global trade disruptions on us, our customers and our vendors, including the impact on inflation, supply chains and consumer sentiment; and other risks discussed in our filings with the SEC. All forward-looking statements attributable to us or persons acting on our behalf are expressly qualified in their entirety by the cautionary statements set forth above. We caution you not to place undue reliance on any forward-looking statements, which are made only as of the date of this press release. We do not undertake or assume any obligation to update publicly any of these forward-looking statements to reflect actual results, new information or future events, changes in assumptions or changes in other factors affecting forward-looking statements, except to the extent required by applicable law. If we update one or more forward-looking statements, no inference should be drawn that we will make additional updates with respect to those or other forward-looking statements.</w:t>
      </w:r>
    </w:p>
    <w:p>
      <w:pPr>
        <w:pStyle w:val="TextBody"/>
        <w:bidi w:val="0"/>
        <w:spacing w:lineRule="auto" w:line="300" w:before="160" w:after="160"/>
        <w:jc w:val="left"/>
        <w:rPr>
          <w:rFonts w:ascii="Times New Roman;serif" w:hAnsi="Times New Roman;serif"/>
          <w:b/>
          <w:color w:val="000000"/>
          <w:sz w:val="20"/>
          <w:u w:val="single"/>
        </w:rPr>
      </w:pPr>
      <w:r>
        <w:rPr>
          <w:rFonts w:ascii="Times New Roman;serif" w:hAnsi="Times New Roman;serif"/>
          <w:b/>
          <w:color w:val="000000"/>
          <w:sz w:val="20"/>
          <w:u w:val="single"/>
        </w:rPr>
        <w:t>About Expensify</w:t>
      </w:r>
    </w:p>
    <w:p>
      <w:pPr>
        <w:pStyle w:val="TextBody"/>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Expensify is the easiest way to do your expenses, travel, and corporate cards. Built for businesses of all sizes and trusted by 15 million members worldwide, Expensify is a top-rated app across G2, TrustRadius, Capterra, and more. Learn more at use.expensify.com.</w:t>
      </w:r>
    </w:p>
    <w:p>
      <w:pPr>
        <w:pStyle w:val="TextBody"/>
        <w:bidi w:val="0"/>
        <w:spacing w:lineRule="auto" w:line="300" w:before="0" w:after="160"/>
        <w:jc w:val="left"/>
        <w:rPr>
          <w:rFonts w:ascii="Times New Roman;serif" w:hAnsi="Times New Roman;serif"/>
          <w:b/>
          <w:color w:val="000000"/>
          <w:sz w:val="20"/>
        </w:rPr>
      </w:pPr>
      <w:r>
        <w:rPr>
          <w:rFonts w:ascii="Times New Roman;serif" w:hAnsi="Times New Roman;serif"/>
          <w:b/>
          <w:color w:val="000000"/>
          <w:sz w:val="20"/>
        </w:rPr>
        <w:t>Investor Relations Contact</w:t>
      </w:r>
    </w:p>
    <w:p>
      <w:pPr>
        <w:pStyle w:val="TextBody"/>
        <w:bidi w:val="0"/>
        <w:spacing w:lineRule="auto" w:line="300" w:before="0" w:after="0"/>
        <w:jc w:val="left"/>
        <w:rPr>
          <w:rFonts w:ascii="Times New Roman;serif" w:hAnsi="Times New Roman;serif"/>
          <w:b w:val="false"/>
          <w:color w:val="000000"/>
          <w:sz w:val="20"/>
        </w:rPr>
      </w:pPr>
      <w:r>
        <w:rPr>
          <w:rFonts w:ascii="Times New Roman;serif" w:hAnsi="Times New Roman;serif"/>
          <w:b w:val="false"/>
          <w:color w:val="000000"/>
          <w:sz w:val="20"/>
        </w:rPr>
        <w:t>Nick Tooker</w:t>
      </w:r>
    </w:p>
    <w:p>
      <w:pPr>
        <w:pStyle w:val="TextBody"/>
        <w:bidi w:val="0"/>
        <w:spacing w:lineRule="auto" w:line="276" w:before="0" w:after="160"/>
        <w:jc w:val="left"/>
        <w:rPr>
          <w:rFonts w:ascii="Times New Roman;serif" w:hAnsi="Times New Roman;serif"/>
          <w:b w:val="false"/>
          <w:color w:val="000000"/>
          <w:sz w:val="20"/>
        </w:rPr>
      </w:pPr>
      <w:r>
        <w:rPr>
          <w:rFonts w:ascii="Times New Roman;serif" w:hAnsi="Times New Roman;serif"/>
          <w:b w:val="false"/>
          <w:color w:val="000000"/>
          <w:sz w:val="20"/>
        </w:rPr>
        <w:t>investors@expensify.com</w:t>
      </w:r>
    </w:p>
    <w:p>
      <w:pPr>
        <w:pStyle w:val="TextBody"/>
        <w:bidi w:val="0"/>
        <w:spacing w:lineRule="auto" w:line="300" w:before="0" w:after="160"/>
        <w:jc w:val="left"/>
        <w:rPr>
          <w:rFonts w:ascii="Times New Roman;serif" w:hAnsi="Times New Roman;serif"/>
          <w:b/>
          <w:color w:val="000000"/>
          <w:sz w:val="20"/>
        </w:rPr>
      </w:pPr>
      <w:r>
        <w:rPr>
          <w:rFonts w:ascii="Times New Roman;serif" w:hAnsi="Times New Roman;serif"/>
          <w:b/>
          <w:color w:val="000000"/>
          <w:sz w:val="20"/>
        </w:rPr>
        <w:t>Press Contact</w:t>
      </w:r>
    </w:p>
    <w:p>
      <w:pPr>
        <w:pStyle w:val="TextBody"/>
        <w:bidi w:val="0"/>
        <w:spacing w:lineRule="auto" w:line="300" w:before="0" w:after="0"/>
        <w:jc w:val="left"/>
        <w:rPr>
          <w:rFonts w:ascii="Times New Roman;serif" w:hAnsi="Times New Roman;serif"/>
          <w:b w:val="false"/>
          <w:color w:val="000000"/>
          <w:sz w:val="20"/>
        </w:rPr>
      </w:pPr>
      <w:r>
        <w:rPr>
          <w:rFonts w:ascii="Times New Roman;serif" w:hAnsi="Times New Roman;serif"/>
          <w:b w:val="false"/>
          <w:color w:val="000000"/>
          <w:sz w:val="20"/>
        </w:rPr>
        <w:t>James Dean</w:t>
      </w:r>
    </w:p>
    <w:p>
      <w:pPr>
        <w:pStyle w:val="TextBody"/>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press@expensify.com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
        <w:jc w:val="righ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300" w:before="0" w:after="0"/>
        <w:jc w:val="center"/>
        <w:rPr>
          <w:rFonts w:ascii="Times New Roman;serif" w:hAnsi="Times New Roman;serif"/>
          <w:b/>
          <w:color w:val="000000"/>
          <w:sz w:val="24"/>
        </w:rPr>
      </w:pPr>
      <w:r>
        <w:rPr>
          <w:rFonts w:ascii="Times New Roman;serif" w:hAnsi="Times New Roman;serif"/>
          <w:b/>
          <w:color w:val="000000"/>
          <w:sz w:val="24"/>
        </w:rPr>
        <w:t>Expensify, Inc.</w:t>
      </w:r>
    </w:p>
    <w:p>
      <w:pPr>
        <w:pStyle w:val="TextBody"/>
        <w:bidi w:val="0"/>
        <w:spacing w:lineRule="auto" w:line="300" w:before="0" w:after="0"/>
        <w:jc w:val="center"/>
        <w:rPr>
          <w:rFonts w:ascii="Times New Roman;serif" w:hAnsi="Times New Roman;serif"/>
          <w:b/>
          <w:color w:val="000000"/>
          <w:sz w:val="24"/>
        </w:rPr>
      </w:pPr>
      <w:r>
        <w:rPr>
          <w:rFonts w:ascii="Times New Roman;serif" w:hAnsi="Times New Roman;serif"/>
          <w:b/>
          <w:color w:val="000000"/>
          <w:sz w:val="24"/>
        </w:rPr>
        <w:t>Condensed Consolidated Balance Sheets</w:t>
      </w:r>
    </w:p>
    <w:p>
      <w:pPr>
        <w:pStyle w:val="TextBody"/>
        <w:bidi w:val="0"/>
        <w:spacing w:lineRule="auto" w:line="300"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(unaudited, in thousands, except share data) </w:t>
      </w:r>
    </w:p>
    <w:tbl>
      <w:tblPr>
        <w:tblW w:w="10205" w:type="dxa"/>
        <w:jc w:val="center"/>
        <w:tblInd w:w="0" w:type="dxa"/>
        <w:tblLayout w:type="fixed"/>
        <w:tblCellMar>
          <w:top w:w="28" w:type="dxa"/>
          <w:left w:w="28" w:type="dxa"/>
          <w:bottom w:w="28" w:type="dxa"/>
          <w:right w:w="28" w:type="dxa"/>
        </w:tblCellMar>
      </w:tblPr>
      <w:tblGrid>
        <w:gridCol w:w="2709"/>
        <w:gridCol w:w="2275"/>
        <w:gridCol w:w="2309"/>
        <w:gridCol w:w="240"/>
        <w:gridCol w:w="904"/>
        <w:gridCol w:w="133"/>
        <w:gridCol w:w="109"/>
        <w:gridCol w:w="109"/>
        <w:gridCol w:w="109"/>
        <w:gridCol w:w="235"/>
        <w:gridCol w:w="883"/>
        <w:gridCol w:w="190"/>
      </w:tblGrid>
      <w:tr>
        <w:trPr/>
        <w:tc>
          <w:tcPr>
            <w:tcW w:w="2709" w:type="dxa"/>
            <w:tcBorders/>
            <w:vAlign w:val="center"/>
          </w:tcPr>
          <w:p>
            <w:pPr>
              <w:pStyle w:val="TableContents"/>
              <w:bidi w:val="0"/>
              <w:spacing w:before="0" w:after="283"/>
              <w:jc w:val="left"/>
              <w:rPr>
                <w:sz w:val="4"/>
                <w:szCs w:val="4"/>
              </w:rPr>
            </w:pPr>
            <w:r>
              <w:rPr>
                <w:sz w:val="4"/>
                <w:szCs w:val="4"/>
              </w:rPr>
            </w:r>
          </w:p>
        </w:tc>
        <w:tc>
          <w:tcPr>
            <w:tcW w:w="2275" w:type="dxa"/>
            <w:tcBorders/>
            <w:vAlign w:val="center"/>
          </w:tcPr>
          <w:p>
            <w:pPr>
              <w:pStyle w:val="TableContents"/>
              <w:bidi w:val="0"/>
              <w:spacing w:before="0" w:after="283"/>
              <w:jc w:val="left"/>
              <w:rPr>
                <w:sz w:val="4"/>
                <w:szCs w:val="4"/>
              </w:rPr>
            </w:pPr>
            <w:r>
              <w:rPr>
                <w:sz w:val="4"/>
                <w:szCs w:val="4"/>
              </w:rPr>
            </w:r>
          </w:p>
        </w:tc>
        <w:tc>
          <w:tcPr>
            <w:tcW w:w="23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7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As of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r>
      <w:tr>
        <w:trPr/>
        <w:tc>
          <w:tcPr>
            <w:tcW w:w="7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729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6"/>
              </w:rPr>
            </w:pPr>
            <w:r>
              <w:rPr>
                <w:rFonts w:ascii="Times New Roman;serif" w:hAnsi="Times New Roman;serif"/>
                <w:b/>
                <w:color w:val="000000"/>
                <w:sz w:val="16"/>
              </w:rPr>
              <w:t>Assets</w:t>
            </w:r>
          </w:p>
        </w:tc>
        <w:tc>
          <w:tcPr>
            <w:tcW w:w="12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240"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4"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61,453 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48,772 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 net</w:t>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12,312 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12,701 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Settlement assets, net</w:t>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53,283 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42,406 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w:t>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4,174 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12,089 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Other current assets</w:t>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21,376 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20,908 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assets</w:t>
            </w:r>
          </w:p>
        </w:tc>
        <w:tc>
          <w:tcPr>
            <w:tcW w:w="11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152,598 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136,876 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Capitalized software, net</w:t>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14,622 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16,232 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and equipment, net</w:t>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13,201 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13,621 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Lease right-of-use assets</w:t>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4,912 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5,441 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tax assets, net</w:t>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497 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499 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1,005 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1,011 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Total assets</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186,835 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173,680 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color w:val="000000"/>
                <w:sz w:val="16"/>
              </w:rPr>
            </w:pPr>
            <w:r>
              <w:rPr>
                <w:rFonts w:ascii="Times New Roman;serif" w:hAnsi="Times New Roman;serif"/>
                <w:b/>
                <w:color w:val="000000"/>
                <w:sz w:val="16"/>
              </w:rPr>
              <w:t>Liabilities and stockholders' equity</w:t>
            </w:r>
          </w:p>
        </w:tc>
        <w:tc>
          <w:tcPr>
            <w:tcW w:w="127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240"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4"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710 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3"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196 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expenses and other liabilities</w:t>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7,726 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8,240 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Lease liabilities, current</w:t>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720 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729 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Settlement liabilities</w:t>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35,238 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28,845 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liabilities</w:t>
            </w:r>
          </w:p>
        </w:tc>
        <w:tc>
          <w:tcPr>
            <w:tcW w:w="11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44,394 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38,010 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Lease liabilities, non-current</w:t>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5,208 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5,738 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Other liabilities</w:t>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1,573 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1,689 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w:t>
            </w:r>
          </w:p>
        </w:tc>
        <w:tc>
          <w:tcPr>
            <w:tcW w:w="11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51,175 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45,437 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Commitments and contingencies</w:t>
            </w:r>
          </w:p>
        </w:tc>
        <w:tc>
          <w:tcPr>
            <w:tcW w:w="12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Stockholders' equity:</w:t>
            </w:r>
          </w:p>
        </w:tc>
        <w:tc>
          <w:tcPr>
            <w:tcW w:w="12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9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Preferred stock, par value $0.0001; 10,000,000 shares authorized as of September 30, 2025 and December 31, 2024; no shares issued and outstanding as of September 30, 2025 and December 31, 2024</w:t>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93" w:type="dxa"/>
            <w:gridSpan w:val="3"/>
            <w:tcBorders/>
            <w:shd w:fill="FFFFFF" w:val="clear"/>
            <w:tcMar>
              <w:top w:w="0" w:type="dxa"/>
              <w:left w:w="0" w:type="dxa"/>
              <w:bottom w:w="0" w:type="dxa"/>
              <w:right w:w="0" w:type="dxa"/>
            </w:tcMar>
            <w:vAlign w:val="center"/>
          </w:tcPr>
          <w:p>
            <w:pPr>
              <w:pStyle w:val="TableContents"/>
              <w:bidi w:val="0"/>
              <w:spacing w:lineRule="auto" w:line="30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Common stock, par value $0.0001 </w:t>
            </w:r>
          </w:p>
          <w:p>
            <w:pPr>
              <w:pStyle w:val="TableContents"/>
              <w:bidi w:val="0"/>
              <w:spacing w:lineRule="auto" w:line="30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Class A common stock; 1,000,000,000 shares authorized; 80,832,770 and 79,471,414 shares of Class A common stock issued and outstanding as of September 30, 2025 and December 31, 2024, respectively </w:t>
            </w:r>
          </w:p>
          <w:p>
            <w:pPr>
              <w:pStyle w:val="TableContents"/>
              <w:bidi w:val="0"/>
              <w:spacing w:lineRule="auto" w:line="300" w:before="0" w:after="0"/>
              <w:jc w:val="left"/>
              <w:rPr>
                <w:rFonts w:ascii="Times New Roman;serif" w:hAnsi="Times New Roman;serif"/>
                <w:b w:val="false"/>
                <w:color w:val="000000"/>
                <w:sz w:val="16"/>
              </w:rPr>
            </w:pPr>
            <w:r>
              <w:rPr>
                <w:rFonts w:ascii="Times New Roman;serif" w:hAnsi="Times New Roman;serif"/>
                <w:b w:val="false"/>
                <w:color w:val="000000"/>
                <w:sz w:val="16"/>
              </w:rPr>
              <w:t>LT10 common stock; 21,871,197 shares authorized; 4,209,827 shares of LT10 common stock issued and outstanding as of September 30, 2025 and December 31, 2024</w:t>
            </w:r>
          </w:p>
          <w:p>
            <w:pPr>
              <w:pStyle w:val="TableContents"/>
              <w:bidi w:val="0"/>
              <w:spacing w:lineRule="auto" w:line="300" w:before="0" w:after="0"/>
              <w:jc w:val="left"/>
              <w:rPr>
                <w:rFonts w:ascii="Times New Roman;serif" w:hAnsi="Times New Roman;serif"/>
                <w:b w:val="false"/>
                <w:color w:val="000000"/>
                <w:sz w:val="16"/>
              </w:rPr>
            </w:pPr>
            <w:r>
              <w:rPr>
                <w:rFonts w:ascii="Times New Roman;serif" w:hAnsi="Times New Roman;serif"/>
                <w:b w:val="false"/>
                <w:color w:val="000000"/>
                <w:sz w:val="16"/>
              </w:rPr>
              <w:t>LT50 common stock; 24,967,114 shares authorized; 7,988,939 and 7,695,524 shares of LT50 common stock issued and outstanding as of September 30, 2025 and December 31, 2024, respectively</w:t>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114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300,751 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279,062 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deficit</w:t>
            </w:r>
          </w:p>
        </w:tc>
        <w:tc>
          <w:tcPr>
            <w:tcW w:w="114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(165,100)</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(150,828)</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3"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Total stockholders' equity</w:t>
            </w:r>
          </w:p>
        </w:tc>
        <w:tc>
          <w:tcPr>
            <w:tcW w:w="11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135,660 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128,243 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3"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 and stockholders' equity</w:t>
            </w:r>
          </w:p>
        </w:tc>
        <w:tc>
          <w:tcPr>
            <w:tcW w:w="24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186,835 </w:t>
            </w:r>
          </w:p>
        </w:tc>
        <w:tc>
          <w:tcPr>
            <w:tcW w:w="13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173,680 </w:t>
            </w:r>
          </w:p>
        </w:tc>
        <w:tc>
          <w:tcPr>
            <w:tcW w:w="19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
        <w:jc w:val="righ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300" w:before="0" w:after="2"/>
        <w:jc w:val="center"/>
        <w:rPr>
          <w:rFonts w:ascii="Times New Roman;serif" w:hAnsi="Times New Roman;serif"/>
          <w:b/>
          <w:color w:val="000000"/>
          <w:sz w:val="24"/>
        </w:rPr>
      </w:pPr>
      <w:r>
        <w:rPr>
          <w:rFonts w:ascii="Times New Roman;serif" w:hAnsi="Times New Roman;serif"/>
          <w:b/>
          <w:color w:val="000000"/>
          <w:sz w:val="24"/>
        </w:rPr>
        <w:t>Expensify, Inc.</w:t>
      </w:r>
    </w:p>
    <w:p>
      <w:pPr>
        <w:pStyle w:val="TextBody"/>
        <w:bidi w:val="0"/>
        <w:spacing w:lineRule="auto" w:line="300" w:before="0" w:after="0"/>
        <w:jc w:val="center"/>
        <w:rPr>
          <w:rFonts w:ascii="Times New Roman;serif" w:hAnsi="Times New Roman;serif"/>
          <w:b/>
          <w:color w:val="000000"/>
          <w:sz w:val="24"/>
        </w:rPr>
      </w:pPr>
      <w:r>
        <w:rPr>
          <w:rFonts w:ascii="Times New Roman;serif" w:hAnsi="Times New Roman;serif"/>
          <w:b/>
          <w:color w:val="000000"/>
          <w:sz w:val="24"/>
        </w:rPr>
        <w:t>Condensed Consolidated Statements of Operations</w:t>
      </w:r>
    </w:p>
    <w:p>
      <w:pPr>
        <w:pStyle w:val="TextBody"/>
        <w:bidi w:val="0"/>
        <w:spacing w:lineRule="auto" w:line="300"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(unaudited, in thousands, except share and per share data) </w:t>
      </w:r>
    </w:p>
    <w:tbl>
      <w:tblPr>
        <w:tblW w:w="10205" w:type="dxa"/>
        <w:jc w:val="center"/>
        <w:tblInd w:w="0" w:type="dxa"/>
        <w:tblLayout w:type="fixed"/>
        <w:tblCellMar>
          <w:top w:w="28" w:type="dxa"/>
          <w:left w:w="28" w:type="dxa"/>
          <w:bottom w:w="28" w:type="dxa"/>
          <w:right w:w="28" w:type="dxa"/>
        </w:tblCellMar>
      </w:tblPr>
      <w:tblGrid>
        <w:gridCol w:w="1699"/>
        <w:gridCol w:w="1338"/>
        <w:gridCol w:w="1345"/>
        <w:gridCol w:w="244"/>
        <w:gridCol w:w="837"/>
        <w:gridCol w:w="116"/>
        <w:gridCol w:w="116"/>
        <w:gridCol w:w="116"/>
        <w:gridCol w:w="116"/>
        <w:gridCol w:w="244"/>
        <w:gridCol w:w="837"/>
        <w:gridCol w:w="116"/>
        <w:gridCol w:w="109"/>
        <w:gridCol w:w="109"/>
        <w:gridCol w:w="109"/>
        <w:gridCol w:w="219"/>
        <w:gridCol w:w="862"/>
        <w:gridCol w:w="109"/>
        <w:gridCol w:w="109"/>
        <w:gridCol w:w="109"/>
        <w:gridCol w:w="109"/>
        <w:gridCol w:w="219"/>
        <w:gridCol w:w="862"/>
        <w:gridCol w:w="156"/>
      </w:tblGrid>
      <w:tr>
        <w:trPr/>
        <w:tc>
          <w:tcPr>
            <w:tcW w:w="1699"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2"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4"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43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38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35,065 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35,409 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106,903 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102,232 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erif" w:hAnsi="Times New Roman;serif"/>
                <w:b w:val="false"/>
                <w:color w:val="000000"/>
                <w:sz w:val="20"/>
              </w:rPr>
              <w:t xml:space="preserve">Cost of revenue, net </w:t>
            </w:r>
            <w:r>
              <w:rPr>
                <w:rFonts w:ascii="Times New Roman;serif" w:hAnsi="Times New Roman;serif"/>
                <w:b w:val="false"/>
                <w:color w:val="000000"/>
                <w:sz w:val="13"/>
              </w:rPr>
              <w:t>(1)</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17,667 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17,145 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52,686 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46,091 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17,398 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18,264 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54,217 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56,141 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erif" w:hAnsi="Times New Roman;serif"/>
                <w:b w:val="false"/>
                <w:color w:val="000000"/>
                <w:sz w:val="20"/>
              </w:rPr>
              <w:t xml:space="preserve">Research and development </w:t>
            </w:r>
            <w:r>
              <w:rPr>
                <w:rFonts w:ascii="Times New Roman;serif" w:hAnsi="Times New Roman;serif"/>
                <w:b w:val="false"/>
                <w:color w:val="000000"/>
                <w:sz w:val="13"/>
              </w:rPr>
              <w:t>(1)</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4,905 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5,618 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15,421 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17,936 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erif" w:hAnsi="Times New Roman;serif"/>
                <w:b w:val="false"/>
                <w:color w:val="000000"/>
                <w:sz w:val="20"/>
              </w:rPr>
              <w:t xml:space="preserve">General and administrative </w:t>
            </w:r>
            <w:r>
              <w:rPr>
                <w:rFonts w:ascii="Times New Roman;serif" w:hAnsi="Times New Roman;serif"/>
                <w:b w:val="false"/>
                <w:color w:val="000000"/>
                <w:sz w:val="13"/>
              </w:rPr>
              <w:t>(1)</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9,814 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9,084 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30,054 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29,760 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erif" w:hAnsi="Times New Roman;serif"/>
                <w:b w:val="false"/>
                <w:color w:val="000000"/>
                <w:sz w:val="20"/>
              </w:rPr>
              <w:t xml:space="preserve">Sales and marketing </w:t>
            </w:r>
            <w:r>
              <w:rPr>
                <w:rFonts w:ascii="Times New Roman;serif" w:hAnsi="Times New Roman;serif"/>
                <w:b w:val="false"/>
                <w:color w:val="000000"/>
                <w:sz w:val="13"/>
              </w:rPr>
              <w:t>(1)</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4,936 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3,274 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22,824 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9,730 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19,655 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17,976 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68,299 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57,426 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(Loss) income from operations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(2,257)</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(14,082)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(1,285)</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(expenses), net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(1,033)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(Loss) income before income taxes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(2,161)</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469 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(12,773)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(2,318)</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(154)</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(2,667)</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(1,499)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(6,425)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(2,315)</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(2,198)</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(14,272)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(8,743)</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w:t>
            </w:r>
          </w:p>
        </w:tc>
        <w:tc>
          <w:tcPr>
            <w:tcW w:w="11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w:t>
            </w:r>
          </w:p>
        </w:tc>
        <w:tc>
          <w:tcPr>
            <w:tcW w:w="244"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(0.03)</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(0.15)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(0.10)</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8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of common stock used to compute net loss per share:</w:t>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2"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92,559,381 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88,177,739 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92,114,672 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86,643,209 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2"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160"/>
        <w:jc w:val="left"/>
        <w:rPr>
          <w:rFonts w:ascii="Times New Roman;serif" w:hAnsi="Times New Roman;serif"/>
          <w:b w:val="false"/>
          <w:color w:val="000000"/>
          <w:sz w:val="16"/>
        </w:rPr>
      </w:pPr>
      <w:r>
        <w:rPr>
          <w:rFonts w:ascii="Times New Roman;serif" w:hAnsi="Times New Roman;serif"/>
          <w:b w:val="false"/>
          <w:color w:val="000000"/>
          <w:sz w:val="16"/>
        </w:rPr>
        <w:t>(1)Includes stock-based compensation expense as follows:</w:t>
      </w:r>
    </w:p>
    <w:tbl>
      <w:tblPr>
        <w:tblW w:w="8580" w:type="dxa"/>
        <w:jc w:val="center"/>
        <w:tblInd w:w="0" w:type="dxa"/>
        <w:tblLayout w:type="fixed"/>
        <w:tblCellMar>
          <w:top w:w="28" w:type="dxa"/>
          <w:left w:w="28" w:type="dxa"/>
          <w:bottom w:w="28" w:type="dxa"/>
          <w:right w:w="28" w:type="dxa"/>
        </w:tblCellMar>
      </w:tblPr>
      <w:tblGrid>
        <w:gridCol w:w="1064"/>
        <w:gridCol w:w="934"/>
        <w:gridCol w:w="941"/>
        <w:gridCol w:w="256"/>
        <w:gridCol w:w="728"/>
        <w:gridCol w:w="142"/>
        <w:gridCol w:w="142"/>
        <w:gridCol w:w="142"/>
        <w:gridCol w:w="142"/>
        <w:gridCol w:w="256"/>
        <w:gridCol w:w="728"/>
        <w:gridCol w:w="142"/>
        <w:gridCol w:w="109"/>
        <w:gridCol w:w="109"/>
        <w:gridCol w:w="109"/>
        <w:gridCol w:w="227"/>
        <w:gridCol w:w="750"/>
        <w:gridCol w:w="126"/>
        <w:gridCol w:w="126"/>
        <w:gridCol w:w="126"/>
        <w:gridCol w:w="126"/>
        <w:gridCol w:w="227"/>
        <w:gridCol w:w="750"/>
        <w:gridCol w:w="178"/>
      </w:tblGrid>
      <w:tr>
        <w:trPr/>
        <w:tc>
          <w:tcPr>
            <w:tcW w:w="1064"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8" w:type="dxa"/>
            <w:gridSpan w:val="9"/>
            <w:tcBorders>
              <w:top w:val="single" w:sz="12"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c>
          <w:tcPr>
            <w:tcW w:w="327"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6" w:type="dxa"/>
            <w:gridSpan w:val="9"/>
            <w:tcBorders>
              <w:top w:val="single" w:sz="12"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Nine Months Ended September 30,</w:t>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Cost of revenue, net</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2,630 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2,843 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8,439 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8,661 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Research and development</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1,881 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2,530 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6,301 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8,424 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General and administrative</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1,147 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1,560 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3,897 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4,965 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Sales and marketing</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1,005 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697 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2,943 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1,485 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Total stock-based compensation expense</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6,663 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7,630 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21,580 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6"/>
              </w:rPr>
            </w:pPr>
            <w:r>
              <w:rPr>
                <w:rFonts w:ascii="Times New Roman;serif" w:hAnsi="Times New Roman;serif"/>
                <w:b w:val="false"/>
                <w:color w:val="000000"/>
                <w:sz w:val="16"/>
              </w:rPr>
              <w:t>23,535 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doub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
        <w:jc w:val="righ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300" w:before="0" w:after="2"/>
        <w:jc w:val="center"/>
        <w:rPr>
          <w:rFonts w:ascii="Times New Roman;serif" w:hAnsi="Times New Roman;serif"/>
          <w:b/>
          <w:color w:val="000000"/>
          <w:sz w:val="24"/>
        </w:rPr>
      </w:pPr>
      <w:r>
        <w:rPr>
          <w:rFonts w:ascii="Times New Roman;serif" w:hAnsi="Times New Roman;serif"/>
          <w:b/>
          <w:color w:val="000000"/>
          <w:sz w:val="24"/>
        </w:rPr>
        <w:t>Expensify, Inc.</w:t>
      </w:r>
    </w:p>
    <w:p>
      <w:pPr>
        <w:pStyle w:val="TextBody"/>
        <w:bidi w:val="0"/>
        <w:spacing w:lineRule="auto" w:line="300" w:before="0" w:after="0"/>
        <w:jc w:val="center"/>
        <w:rPr>
          <w:rFonts w:ascii="Times New Roman;serif" w:hAnsi="Times New Roman;serif"/>
          <w:b/>
          <w:color w:val="000000"/>
          <w:sz w:val="24"/>
        </w:rPr>
      </w:pPr>
      <w:r>
        <w:rPr>
          <w:rFonts w:ascii="Times New Roman;serif" w:hAnsi="Times New Roman;serif"/>
          <w:b/>
          <w:color w:val="000000"/>
          <w:sz w:val="24"/>
        </w:rPr>
        <w:t>Condensed Consolidated Statements of Cash Flows</w:t>
      </w:r>
    </w:p>
    <w:p>
      <w:pPr>
        <w:pStyle w:val="TextBody"/>
        <w:bidi w:val="0"/>
        <w:spacing w:lineRule="auto" w:line="300"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 in thousands)</w:t>
      </w:r>
    </w:p>
    <w:tbl>
      <w:tblPr>
        <w:tblW w:w="8620" w:type="dxa"/>
        <w:jc w:val="left"/>
        <w:tblInd w:w="0" w:type="dxa"/>
        <w:tblLayout w:type="fixed"/>
        <w:tblCellMar>
          <w:top w:w="28" w:type="dxa"/>
          <w:left w:w="28" w:type="dxa"/>
          <w:bottom w:w="28" w:type="dxa"/>
          <w:right w:w="28" w:type="dxa"/>
        </w:tblCellMar>
      </w:tblPr>
      <w:tblGrid>
        <w:gridCol w:w="2342"/>
        <w:gridCol w:w="2055"/>
        <w:gridCol w:w="2067"/>
        <w:gridCol w:w="185"/>
        <w:gridCol w:w="631"/>
        <w:gridCol w:w="111"/>
        <w:gridCol w:w="111"/>
        <w:gridCol w:w="111"/>
        <w:gridCol w:w="111"/>
        <w:gridCol w:w="185"/>
        <w:gridCol w:w="554"/>
        <w:gridCol w:w="157"/>
      </w:tblGrid>
      <w:tr>
        <w:trPr/>
        <w:tc>
          <w:tcPr>
            <w:tcW w:w="2342" w:type="dxa"/>
            <w:tcBorders/>
            <w:vAlign w:val="center"/>
          </w:tcPr>
          <w:p>
            <w:pPr>
              <w:pStyle w:val="TableContents"/>
              <w:bidi w:val="0"/>
              <w:spacing w:before="0" w:after="283"/>
              <w:jc w:val="left"/>
              <w:rPr>
                <w:sz w:val="4"/>
                <w:szCs w:val="4"/>
              </w:rPr>
            </w:pPr>
            <w:r>
              <w:rPr>
                <w:sz w:val="4"/>
                <w:szCs w:val="4"/>
              </w:rPr>
            </w:r>
          </w:p>
        </w:tc>
        <w:tc>
          <w:tcPr>
            <w:tcW w:w="2055" w:type="dxa"/>
            <w:tcBorders/>
            <w:vAlign w:val="center"/>
          </w:tcPr>
          <w:p>
            <w:pPr>
              <w:pStyle w:val="TableContents"/>
              <w:bidi w:val="0"/>
              <w:spacing w:before="0" w:after="283"/>
              <w:jc w:val="left"/>
              <w:rPr>
                <w:sz w:val="4"/>
                <w:szCs w:val="4"/>
              </w:rPr>
            </w:pPr>
            <w:r>
              <w:rPr>
                <w:sz w:val="4"/>
                <w:szCs w:val="4"/>
              </w:rPr>
            </w:r>
          </w:p>
        </w:tc>
        <w:tc>
          <w:tcPr>
            <w:tcW w:w="20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6" w:type="dxa"/>
            <w:gridSpan w:val="9"/>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4"/>
              </w:rPr>
            </w:pPr>
            <w:r>
              <w:rPr>
                <w:rFonts w:ascii="Times New Roman;serif" w:hAnsi="Times New Roman;serif"/>
                <w:b/>
                <w:color w:val="000000"/>
                <w:sz w:val="14"/>
              </w:rPr>
              <w:t>Nine Months Ended September 30,</w:t>
            </w:r>
          </w:p>
        </w:tc>
      </w:tr>
      <w:tr>
        <w:trPr/>
        <w:tc>
          <w:tcPr>
            <w:tcW w:w="6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4"/>
              </w:rPr>
            </w:pPr>
            <w:r>
              <w:rPr>
                <w:rFonts w:ascii="Times New Roman;serif" w:hAnsi="Times New Roman;serif"/>
                <w:b/>
                <w:color w:val="000000"/>
                <w:sz w:val="14"/>
              </w:rPr>
              <w:t>2025</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4"/>
              </w:rPr>
            </w:pPr>
            <w:r>
              <w:rPr>
                <w:rFonts w:ascii="Times New Roman;serif" w:hAnsi="Times New Roman;serif"/>
                <w:b/>
                <w:color w:val="000000"/>
                <w:sz w:val="14"/>
              </w:rPr>
              <w:t>2024</w:t>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4"/>
              </w:rPr>
            </w:pPr>
            <w:r>
              <w:rPr>
                <w:rFonts w:ascii="Times New Roman;serif" w:hAnsi="Times New Roman;serif"/>
                <w:b w:val="false"/>
                <w:color w:val="000000"/>
                <w:sz w:val="14"/>
              </w:rPr>
              <w:t>Cash flows from operating activities:</w:t>
            </w:r>
          </w:p>
        </w:tc>
        <w:tc>
          <w:tcPr>
            <w:tcW w:w="9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4"/>
              </w:rPr>
            </w:pPr>
            <w:r>
              <w:rPr>
                <w:rFonts w:ascii="Times New Roman;serif" w:hAnsi="Times New Roman;serif"/>
                <w:b w:val="false"/>
                <w:color w:val="000000"/>
                <w:sz w:val="14"/>
              </w:rPr>
              <w:t>Net loss</w:t>
            </w:r>
          </w:p>
        </w:tc>
        <w:tc>
          <w:tcPr>
            <w:tcW w:w="185"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4"/>
              </w:rPr>
            </w:pPr>
            <w:r>
              <w:rPr>
                <w:rFonts w:ascii="Times New Roman;serif" w:hAnsi="Times New Roman;serif"/>
                <w:b w:val="false"/>
                <w:color w:val="000000"/>
                <w:sz w:val="14"/>
              </w:rPr>
              <w:t>(14,272)</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54"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4"/>
              </w:rPr>
            </w:pPr>
            <w:r>
              <w:rPr>
                <w:rFonts w:ascii="Times New Roman;serif" w:hAnsi="Times New Roman;serif"/>
                <w:b w:val="false"/>
                <w:color w:val="000000"/>
                <w:sz w:val="14"/>
              </w:rPr>
              <w:t>(8,743)</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4"/>
              </w:rPr>
            </w:pPr>
            <w:r>
              <w:rPr>
                <w:rFonts w:ascii="Times New Roman;serif" w:hAnsi="Times New Roman;serif"/>
                <w:b w:val="false"/>
                <w:color w:val="000000"/>
                <w:sz w:val="14"/>
              </w:rPr>
              <w:t>Adjustments to reconcile net loss to net cash provided by operating activities:</w:t>
            </w:r>
          </w:p>
        </w:tc>
        <w:tc>
          <w:tcPr>
            <w:tcW w:w="9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4"/>
              </w:rPr>
            </w:pPr>
            <w:r>
              <w:rPr>
                <w:rFonts w:ascii="Times New Roman;serif" w:hAnsi="Times New Roman;serif"/>
                <w:b w:val="false"/>
                <w:color w:val="000000"/>
                <w:sz w:val="14"/>
              </w:rPr>
              <w:t>Depreciation and amortization</w:t>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4"/>
              </w:rPr>
            </w:pPr>
            <w:r>
              <w:rPr>
                <w:rFonts w:ascii="Times New Roman;serif" w:hAnsi="Times New Roman;serif"/>
                <w:b w:val="false"/>
                <w:color w:val="000000"/>
                <w:sz w:val="14"/>
              </w:rPr>
              <w:t>6,179 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4"/>
              </w:rPr>
            </w:pPr>
            <w:r>
              <w:rPr>
                <w:rFonts w:ascii="Times New Roman;serif" w:hAnsi="Times New Roman;serif"/>
                <w:b w:val="false"/>
                <w:color w:val="000000"/>
                <w:sz w:val="14"/>
              </w:rPr>
              <w:t>4,851 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4"/>
              </w:rPr>
            </w:pPr>
            <w:r>
              <w:rPr>
                <w:rFonts w:ascii="Times New Roman;serif" w:hAnsi="Times New Roman;serif"/>
                <w:b w:val="false"/>
                <w:color w:val="000000"/>
                <w:sz w:val="14"/>
              </w:rPr>
              <w:t>Reduction of operating lease right-of-use assets</w:t>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4"/>
              </w:rPr>
            </w:pPr>
            <w:r>
              <w:rPr>
                <w:rFonts w:ascii="Times New Roman;serif" w:hAnsi="Times New Roman;serif"/>
                <w:b w:val="false"/>
                <w:color w:val="000000"/>
                <w:sz w:val="14"/>
              </w:rPr>
              <w:t>427 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4"/>
              </w:rPr>
            </w:pPr>
            <w:r>
              <w:rPr>
                <w:rFonts w:ascii="Times New Roman;serif" w:hAnsi="Times New Roman;serif"/>
                <w:b w:val="false"/>
                <w:color w:val="000000"/>
                <w:sz w:val="14"/>
              </w:rPr>
              <w:t>411 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4"/>
              </w:rPr>
            </w:pPr>
            <w:r>
              <w:rPr>
                <w:rFonts w:ascii="Times New Roman;serif" w:hAnsi="Times New Roman;serif"/>
                <w:b w:val="false"/>
                <w:color w:val="000000"/>
                <w:sz w:val="14"/>
              </w:rPr>
              <w:t>Loss on impairment, receivables and sale or disposal of equipment</w:t>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4"/>
              </w:rPr>
            </w:pPr>
            <w:r>
              <w:rPr>
                <w:rFonts w:ascii="Times New Roman;serif" w:hAnsi="Times New Roman;serif"/>
                <w:b w:val="false"/>
                <w:color w:val="000000"/>
                <w:sz w:val="14"/>
              </w:rPr>
              <w:t>448 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4"/>
              </w:rPr>
            </w:pPr>
            <w:r>
              <w:rPr>
                <w:rFonts w:ascii="Times New Roman;serif" w:hAnsi="Times New Roman;serif"/>
                <w:b w:val="false"/>
                <w:color w:val="000000"/>
                <w:sz w:val="14"/>
              </w:rPr>
              <w:t>637 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 expense</w:t>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4"/>
              </w:rPr>
            </w:pPr>
            <w:r>
              <w:rPr>
                <w:rFonts w:ascii="Times New Roman;serif" w:hAnsi="Times New Roman;serif"/>
                <w:b w:val="false"/>
                <w:color w:val="000000"/>
                <w:sz w:val="14"/>
              </w:rPr>
              <w:t>21,580 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4"/>
              </w:rPr>
            </w:pPr>
            <w:r>
              <w:rPr>
                <w:rFonts w:ascii="Times New Roman;serif" w:hAnsi="Times New Roman;serif"/>
                <w:b w:val="false"/>
                <w:color w:val="000000"/>
                <w:sz w:val="14"/>
              </w:rPr>
              <w:t>23,535 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4"/>
              </w:rPr>
            </w:pPr>
            <w:r>
              <w:rPr>
                <w:rFonts w:ascii="Times New Roman;serif" w:hAnsi="Times New Roman;serif"/>
                <w:b w:val="false"/>
                <w:color w:val="000000"/>
                <w:sz w:val="14"/>
              </w:rPr>
              <w:t>Amortization of original issue discount and debt issuance costs</w:t>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4"/>
              </w:rPr>
            </w:pPr>
            <w:r>
              <w:rPr>
                <w:rFonts w:ascii="Times New Roman;serif" w:hAnsi="Times New Roman;serif"/>
                <w:b w:val="false"/>
                <w:color w:val="000000"/>
                <w:sz w:val="14"/>
              </w:rPr>
              <w:t>79 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4"/>
              </w:rPr>
            </w:pPr>
            <w:r>
              <w:rPr>
                <w:rFonts w:ascii="Times New Roman;serif" w:hAnsi="Times New Roman;serif"/>
                <w:b w:val="false"/>
                <w:color w:val="000000"/>
                <w:sz w:val="14"/>
              </w:rPr>
              <w:t>43 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4"/>
              </w:rPr>
            </w:pPr>
            <w:r>
              <w:rPr>
                <w:rFonts w:ascii="Times New Roman;serif" w:hAnsi="Times New Roman;serif"/>
                <w:b w:val="false"/>
                <w:color w:val="000000"/>
                <w:sz w:val="14"/>
              </w:rPr>
              <w:t>Deferred tax assets</w:t>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4"/>
              </w:rPr>
            </w:pPr>
            <w:r>
              <w:rPr>
                <w:rFonts w:ascii="Times New Roman;serif" w:hAnsi="Times New Roman;serif"/>
                <w:b w:val="false"/>
                <w:color w:val="000000"/>
                <w:sz w:val="14"/>
              </w:rPr>
              <w:t>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4"/>
              </w:rPr>
            </w:pPr>
            <w:r>
              <w:rPr>
                <w:rFonts w:ascii="Times New Roman;serif" w:hAnsi="Times New Roman;serif"/>
                <w:b w:val="false"/>
                <w:color w:val="000000"/>
                <w:sz w:val="14"/>
              </w:rPr>
              <w:t>(32)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4"/>
              </w:rPr>
            </w:pPr>
            <w:r>
              <w:rPr>
                <w:rFonts w:ascii="Times New Roman;serif" w:hAnsi="Times New Roman;serif"/>
                <w:b w:val="false"/>
                <w:color w:val="000000"/>
                <w:sz w:val="14"/>
              </w:rPr>
              <w:t>Changes in assets and liabilities:</w:t>
            </w:r>
          </w:p>
        </w:tc>
        <w:tc>
          <w:tcPr>
            <w:tcW w:w="9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4"/>
              </w:rPr>
            </w:pPr>
            <w:r>
              <w:rPr>
                <w:rFonts w:ascii="Times New Roman;serif" w:hAnsi="Times New Roman;serif"/>
                <w:b w:val="false"/>
                <w:color w:val="000000"/>
                <w:sz w:val="14"/>
              </w:rPr>
              <w:t>Accounts receivable, net</w:t>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4"/>
              </w:rPr>
            </w:pPr>
            <w:r>
              <w:rPr>
                <w:rFonts w:ascii="Times New Roman;serif" w:hAnsi="Times New Roman;serif"/>
                <w:b w:val="false"/>
                <w:color w:val="000000"/>
                <w:sz w:val="14"/>
              </w:rPr>
              <w:t>50 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4"/>
              </w:rPr>
            </w:pPr>
            <w:r>
              <w:rPr>
                <w:rFonts w:ascii="Times New Roman;serif" w:hAnsi="Times New Roman;serif"/>
                <w:b w:val="false"/>
                <w:color w:val="000000"/>
                <w:sz w:val="14"/>
              </w:rPr>
              <w:t>845 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4"/>
              </w:rPr>
            </w:pPr>
            <w:r>
              <w:rPr>
                <w:rFonts w:ascii="Times New Roman;serif" w:hAnsi="Times New Roman;serif"/>
                <w:b w:val="false"/>
                <w:color w:val="000000"/>
                <w:sz w:val="14"/>
              </w:rPr>
              <w:t>Settlement assets, net</w:t>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4"/>
              </w:rPr>
            </w:pPr>
            <w:r>
              <w:rPr>
                <w:rFonts w:ascii="Times New Roman;serif" w:hAnsi="Times New Roman;serif"/>
                <w:b w:val="false"/>
                <w:color w:val="000000"/>
                <w:sz w:val="14"/>
              </w:rPr>
              <w:t>(7,906)</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4"/>
              </w:rPr>
            </w:pPr>
            <w:r>
              <w:rPr>
                <w:rFonts w:ascii="Times New Roman;serif" w:hAnsi="Times New Roman;serif"/>
                <w:b w:val="false"/>
                <w:color w:val="000000"/>
                <w:sz w:val="14"/>
              </w:rPr>
              <w:t>(13,202)</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4"/>
              </w:rPr>
            </w:pPr>
            <w:r>
              <w:rPr>
                <w:rFonts w:ascii="Times New Roman;serif" w:hAnsi="Times New Roman;serif"/>
                <w:b w:val="false"/>
                <w:color w:val="000000"/>
                <w:sz w:val="14"/>
              </w:rPr>
              <w:t>Prepaid expenses</w:t>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4"/>
              </w:rPr>
            </w:pPr>
            <w:r>
              <w:rPr>
                <w:rFonts w:ascii="Times New Roman;serif" w:hAnsi="Times New Roman;serif"/>
                <w:b w:val="false"/>
                <w:color w:val="000000"/>
                <w:sz w:val="14"/>
              </w:rPr>
              <w:t>7,915 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4"/>
              </w:rPr>
            </w:pPr>
            <w:r>
              <w:rPr>
                <w:rFonts w:ascii="Times New Roman;serif" w:hAnsi="Times New Roman;serif"/>
                <w:b w:val="false"/>
                <w:color w:val="000000"/>
                <w:sz w:val="14"/>
              </w:rPr>
              <w:t>1,597 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4"/>
              </w:rPr>
            </w:pPr>
            <w:r>
              <w:rPr>
                <w:rFonts w:ascii="Times New Roman;serif" w:hAnsi="Times New Roman;serif"/>
                <w:b w:val="false"/>
                <w:color w:val="000000"/>
                <w:sz w:val="14"/>
              </w:rPr>
              <w:t>Other current assets</w:t>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4"/>
              </w:rPr>
            </w:pPr>
            <w:r>
              <w:rPr>
                <w:rFonts w:ascii="Times New Roman;serif" w:hAnsi="Times New Roman;serif"/>
                <w:b w:val="false"/>
                <w:color w:val="000000"/>
                <w:sz w:val="14"/>
              </w:rPr>
              <w:t>(2,564)</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4"/>
              </w:rPr>
            </w:pPr>
            <w:r>
              <w:rPr>
                <w:rFonts w:ascii="Times New Roman;serif" w:hAnsi="Times New Roman;serif"/>
                <w:b w:val="false"/>
                <w:color w:val="000000"/>
                <w:sz w:val="14"/>
              </w:rPr>
              <w:t>2,707 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4"/>
              </w:rPr>
            </w:pPr>
            <w:r>
              <w:rPr>
                <w:rFonts w:ascii="Times New Roman;serif" w:hAnsi="Times New Roman;serif"/>
                <w:b w:val="false"/>
                <w:color w:val="000000"/>
                <w:sz w:val="14"/>
              </w:rPr>
              <w:t>Other assets</w:t>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4"/>
              </w:rPr>
            </w:pPr>
            <w:r>
              <w:rPr>
                <w:rFonts w:ascii="Times New Roman;serif" w:hAnsi="Times New Roman;serif"/>
                <w:b w:val="false"/>
                <w:color w:val="000000"/>
                <w:sz w:val="14"/>
              </w:rPr>
              <w:t>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4"/>
              </w:rPr>
            </w:pPr>
            <w:r>
              <w:rPr>
                <w:rFonts w:ascii="Times New Roman;serif" w:hAnsi="Times New Roman;serif"/>
                <w:b w:val="false"/>
                <w:color w:val="000000"/>
                <w:sz w:val="14"/>
              </w:rPr>
              <w:t>(144)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4"/>
              </w:rPr>
            </w:pPr>
            <w:r>
              <w:rPr>
                <w:rFonts w:ascii="Times New Roman;serif" w:hAnsi="Times New Roman;serif"/>
                <w:b w:val="false"/>
                <w:color w:val="000000"/>
                <w:sz w:val="14"/>
              </w:rPr>
              <w:t>Accounts payable</w:t>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4"/>
              </w:rPr>
            </w:pPr>
            <w:r>
              <w:rPr>
                <w:rFonts w:ascii="Times New Roman;serif" w:hAnsi="Times New Roman;serif"/>
                <w:b w:val="false"/>
                <w:color w:val="000000"/>
                <w:sz w:val="14"/>
              </w:rPr>
              <w:t>451 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4"/>
              </w:rPr>
            </w:pPr>
            <w:r>
              <w:rPr>
                <w:rFonts w:ascii="Times New Roman;serif" w:hAnsi="Times New Roman;serif"/>
                <w:b w:val="false"/>
                <w:color w:val="000000"/>
                <w:sz w:val="14"/>
              </w:rPr>
              <w:t>(349)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4"/>
              </w:rPr>
            </w:pPr>
            <w:r>
              <w:rPr>
                <w:rFonts w:ascii="Times New Roman;serif" w:hAnsi="Times New Roman;serif"/>
                <w:b w:val="false"/>
                <w:color w:val="000000"/>
                <w:sz w:val="14"/>
              </w:rPr>
              <w:t>Accrued expenses and other liabilities</w:t>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4"/>
              </w:rPr>
            </w:pPr>
            <w:r>
              <w:rPr>
                <w:rFonts w:ascii="Times New Roman;serif" w:hAnsi="Times New Roman;serif"/>
                <w:b w:val="false"/>
                <w:color w:val="000000"/>
                <w:sz w:val="14"/>
              </w:rPr>
              <w:t>(350)</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4"/>
              </w:rPr>
            </w:pPr>
            <w:r>
              <w:rPr>
                <w:rFonts w:ascii="Times New Roman;serif" w:hAnsi="Times New Roman;serif"/>
                <w:b w:val="false"/>
                <w:color w:val="000000"/>
                <w:sz w:val="14"/>
              </w:rPr>
              <w:t>(1,501)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4"/>
              </w:rPr>
            </w:pPr>
            <w:r>
              <w:rPr>
                <w:rFonts w:ascii="Times New Roman;serif" w:hAnsi="Times New Roman;serif"/>
                <w:b w:val="false"/>
                <w:color w:val="000000"/>
                <w:sz w:val="14"/>
              </w:rPr>
              <w:t>Operating lease liabilities</w:t>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4"/>
              </w:rPr>
            </w:pPr>
            <w:r>
              <w:rPr>
                <w:rFonts w:ascii="Times New Roman;serif" w:hAnsi="Times New Roman;serif"/>
                <w:b w:val="false"/>
                <w:color w:val="000000"/>
                <w:sz w:val="14"/>
              </w:rPr>
              <w:t>(435)</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4"/>
              </w:rPr>
            </w:pPr>
            <w:r>
              <w:rPr>
                <w:rFonts w:ascii="Times New Roman;serif" w:hAnsi="Times New Roman;serif"/>
                <w:b w:val="false"/>
                <w:color w:val="000000"/>
                <w:sz w:val="14"/>
              </w:rPr>
              <w:t>67 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4"/>
              </w:rPr>
            </w:pPr>
            <w:r>
              <w:rPr>
                <w:rFonts w:ascii="Times New Roman;serif" w:hAnsi="Times New Roman;serif"/>
                <w:b w:val="false"/>
                <w:color w:val="000000"/>
                <w:sz w:val="14"/>
              </w:rPr>
              <w:t>Settlement liabilities</w:t>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4"/>
              </w:rPr>
            </w:pPr>
            <w:r>
              <w:rPr>
                <w:rFonts w:ascii="Times New Roman;serif" w:hAnsi="Times New Roman;serif"/>
                <w:b w:val="false"/>
                <w:color w:val="000000"/>
                <w:sz w:val="14"/>
              </w:rPr>
              <w:t>6,393 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4"/>
              </w:rPr>
            </w:pPr>
            <w:r>
              <w:rPr>
                <w:rFonts w:ascii="Times New Roman;serif" w:hAnsi="Times New Roman;serif"/>
                <w:b w:val="false"/>
                <w:color w:val="000000"/>
                <w:sz w:val="14"/>
              </w:rPr>
              <w:t>5,389 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4"/>
              </w:rPr>
            </w:pPr>
            <w:r>
              <w:rPr>
                <w:rFonts w:ascii="Times New Roman;serif" w:hAnsi="Times New Roman;serif"/>
                <w:b w:val="false"/>
                <w:color w:val="000000"/>
                <w:sz w:val="14"/>
              </w:rPr>
              <w:t>Other liabilities</w:t>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4"/>
              </w:rPr>
            </w:pPr>
            <w:r>
              <w:rPr>
                <w:rFonts w:ascii="Times New Roman;serif" w:hAnsi="Times New Roman;serif"/>
                <w:b w:val="false"/>
                <w:color w:val="000000"/>
                <w:sz w:val="14"/>
              </w:rPr>
              <w:t>(116)</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4"/>
              </w:rPr>
            </w:pPr>
            <w:r>
              <w:rPr>
                <w:rFonts w:ascii="Times New Roman;serif" w:hAnsi="Times New Roman;serif"/>
                <w:b w:val="false"/>
                <w:color w:val="000000"/>
                <w:sz w:val="14"/>
              </w:rPr>
              <w:t>364 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4"/>
              </w:rPr>
            </w:pPr>
            <w:r>
              <w:rPr>
                <w:rFonts w:ascii="Times New Roman;serif" w:hAnsi="Times New Roman;serif"/>
                <w:b w:val="false"/>
                <w:color w:val="000000"/>
                <w:sz w:val="14"/>
              </w:rPr>
              <w:t>Net cash provided by operating activities</w:t>
            </w:r>
          </w:p>
        </w:tc>
        <w:tc>
          <w:tcPr>
            <w:tcW w:w="8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4"/>
              </w:rPr>
            </w:pPr>
            <w:r>
              <w:rPr>
                <w:rFonts w:ascii="Times New Roman;serif" w:hAnsi="Times New Roman;serif"/>
                <w:b w:val="false"/>
                <w:color w:val="000000"/>
                <w:sz w:val="14"/>
              </w:rPr>
              <w:t>17,887 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4"/>
              </w:rPr>
            </w:pPr>
            <w:r>
              <w:rPr>
                <w:rFonts w:ascii="Times New Roman;serif" w:hAnsi="Times New Roman;serif"/>
                <w:b w:val="false"/>
                <w:color w:val="000000"/>
                <w:sz w:val="14"/>
              </w:rPr>
              <w:t>16,475 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4"/>
              </w:rPr>
            </w:pPr>
            <w:r>
              <w:rPr>
                <w:rFonts w:ascii="Times New Roman;serif" w:hAnsi="Times New Roman;serif"/>
                <w:b w:val="false"/>
                <w:color w:val="000000"/>
                <w:sz w:val="14"/>
              </w:rPr>
              <w:t>Cash flows from investing activities:</w:t>
            </w:r>
          </w:p>
        </w:tc>
        <w:tc>
          <w:tcPr>
            <w:tcW w:w="9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4"/>
              </w:rPr>
            </w:pPr>
            <w:r>
              <w:rPr>
                <w:rFonts w:ascii="Times New Roman;serif" w:hAnsi="Times New Roman;serif"/>
                <w:b w:val="false"/>
                <w:color w:val="000000"/>
                <w:sz w:val="14"/>
              </w:rPr>
              <w:t>Purchases of property and equipment</w:t>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4"/>
              </w:rPr>
            </w:pPr>
            <w:r>
              <w:rPr>
                <w:rFonts w:ascii="Times New Roman;serif" w:hAnsi="Times New Roman;serif"/>
                <w:b w:val="false"/>
                <w:color w:val="000000"/>
                <w:sz w:val="14"/>
              </w:rPr>
              <w:t>(17)</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4"/>
              </w:rPr>
            </w:pPr>
            <w:r>
              <w:rPr>
                <w:rFonts w:ascii="Times New Roman;serif" w:hAnsi="Times New Roman;serif"/>
                <w:b w:val="false"/>
                <w:color w:val="000000"/>
                <w:sz w:val="14"/>
              </w:rPr>
              <w:t>Software development costs</w:t>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4"/>
              </w:rPr>
            </w:pPr>
            <w:r>
              <w:rPr>
                <w:rFonts w:ascii="Times New Roman;serif" w:hAnsi="Times New Roman;serif"/>
                <w:b w:val="false"/>
                <w:color w:val="000000"/>
                <w:sz w:val="14"/>
              </w:rPr>
              <w:t>(2,740)</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4"/>
              </w:rPr>
            </w:pPr>
            <w:r>
              <w:rPr>
                <w:rFonts w:ascii="Times New Roman;serif" w:hAnsi="Times New Roman;serif"/>
                <w:b w:val="false"/>
                <w:color w:val="000000"/>
                <w:sz w:val="14"/>
              </w:rPr>
              <w:t>(6,699)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4"/>
              </w:rPr>
            </w:pPr>
            <w:r>
              <w:rPr>
                <w:rFonts w:ascii="Times New Roman;serif" w:hAnsi="Times New Roman;serif"/>
                <w:b w:val="false"/>
                <w:color w:val="000000"/>
                <w:sz w:val="14"/>
              </w:rPr>
              <w:t>Net cash used in investing activities</w:t>
            </w:r>
          </w:p>
        </w:tc>
        <w:tc>
          <w:tcPr>
            <w:tcW w:w="8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4"/>
              </w:rPr>
            </w:pPr>
            <w:r>
              <w:rPr>
                <w:rFonts w:ascii="Times New Roman;serif" w:hAnsi="Times New Roman;serif"/>
                <w:b w:val="false"/>
                <w:color w:val="000000"/>
                <w:sz w:val="14"/>
              </w:rPr>
              <w:t>(2,757)</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4"/>
              </w:rPr>
            </w:pPr>
            <w:r>
              <w:rPr>
                <w:rFonts w:ascii="Times New Roman;serif" w:hAnsi="Times New Roman;serif"/>
                <w:b w:val="false"/>
                <w:color w:val="000000"/>
                <w:sz w:val="14"/>
              </w:rPr>
              <w:t>(6,699)</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4"/>
              </w:rPr>
            </w:pPr>
            <w:r>
              <w:rPr>
                <w:rFonts w:ascii="Times New Roman;serif" w:hAnsi="Times New Roman;serif"/>
                <w:b w:val="false"/>
                <w:color w:val="000000"/>
                <w:sz w:val="14"/>
              </w:rPr>
              <w:t>Cash flows from financing activities:</w:t>
            </w:r>
          </w:p>
        </w:tc>
        <w:tc>
          <w:tcPr>
            <w:tcW w:w="9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4"/>
              </w:rPr>
            </w:pPr>
            <w:r>
              <w:rPr>
                <w:rFonts w:ascii="Times New Roman;serif" w:hAnsi="Times New Roman;serif"/>
                <w:b w:val="false"/>
                <w:color w:val="000000"/>
                <w:sz w:val="14"/>
              </w:rPr>
              <w:t>Principal payments of finance leases</w:t>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4"/>
              </w:rPr>
            </w:pPr>
            <w:r>
              <w:rPr>
                <w:rFonts w:ascii="Times New Roman;serif" w:hAnsi="Times New Roman;serif"/>
                <w:b w:val="false"/>
                <w:color w:val="000000"/>
                <w:sz w:val="14"/>
              </w:rPr>
              <w:t>(104)</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4"/>
              </w:rPr>
            </w:pPr>
            <w:r>
              <w:rPr>
                <w:rFonts w:ascii="Times New Roman;serif" w:hAnsi="Times New Roman;serif"/>
                <w:b w:val="false"/>
                <w:color w:val="000000"/>
                <w:sz w:val="14"/>
              </w:rPr>
              <w:t>(96)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4"/>
              </w:rPr>
            </w:pPr>
            <w:r>
              <w:rPr>
                <w:rFonts w:ascii="Times New Roman;serif" w:hAnsi="Times New Roman;serif"/>
                <w:b w:val="false"/>
                <w:color w:val="000000"/>
                <w:sz w:val="14"/>
              </w:rPr>
              <w:t>Principal payments of outstanding debt</w:t>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4"/>
              </w:rPr>
            </w:pPr>
            <w:r>
              <w:rPr>
                <w:rFonts w:ascii="Times New Roman;serif" w:hAnsi="Times New Roman;serif"/>
                <w:b w:val="false"/>
                <w:color w:val="000000"/>
                <w:sz w:val="14"/>
              </w:rPr>
              <w:t>(22,671)</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4"/>
              </w:rPr>
            </w:pPr>
            <w:r>
              <w:rPr>
                <w:rFonts w:ascii="Times New Roman;serif" w:hAnsi="Times New Roman;serif"/>
                <w:b w:val="false"/>
                <w:color w:val="000000"/>
                <w:sz w:val="14"/>
              </w:rPr>
              <w:t>Payments for debt issuance costs</w:t>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4"/>
              </w:rPr>
            </w:pPr>
            <w:r>
              <w:rPr>
                <w:rFonts w:ascii="Times New Roman;serif" w:hAnsi="Times New Roman;serif"/>
                <w:b w:val="false"/>
                <w:color w:val="000000"/>
                <w:sz w:val="14"/>
              </w:rPr>
              <w:t>(88)</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4"/>
              </w:rPr>
            </w:pPr>
            <w:r>
              <w:rPr>
                <w:rFonts w:ascii="Times New Roman;serif" w:hAnsi="Times New Roman;serif"/>
                <w:b w:val="false"/>
                <w:color w:val="000000"/>
                <w:sz w:val="14"/>
              </w:rPr>
              <w:t>(71)</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4"/>
              </w:rPr>
            </w:pPr>
            <w:r>
              <w:rPr>
                <w:rFonts w:ascii="Times New Roman;serif" w:hAnsi="Times New Roman;serif"/>
                <w:b w:val="false"/>
                <w:color w:val="000000"/>
                <w:sz w:val="14"/>
              </w:rPr>
              <w:t>Repurchases of early exercised stock options</w:t>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4"/>
              </w:rPr>
            </w:pPr>
            <w:r>
              <w:rPr>
                <w:rFonts w:ascii="Times New Roman;serif" w:hAnsi="Times New Roman;serif"/>
                <w:b w:val="false"/>
                <w:color w:val="000000"/>
                <w:sz w:val="14"/>
              </w:rPr>
              <w:t>(35)</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4"/>
              </w:rPr>
            </w:pPr>
            <w:r>
              <w:rPr>
                <w:rFonts w:ascii="Times New Roman;serif" w:hAnsi="Times New Roman;serif"/>
                <w:b w:val="false"/>
                <w:color w:val="000000"/>
                <w:sz w:val="14"/>
              </w:rPr>
              <w:t>Proceeds from common stock purchased under Matching Plan</w:t>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4"/>
              </w:rPr>
            </w:pPr>
            <w:r>
              <w:rPr>
                <w:rFonts w:ascii="Times New Roman;serif" w:hAnsi="Times New Roman;serif"/>
                <w:b w:val="false"/>
                <w:color w:val="000000"/>
                <w:sz w:val="14"/>
              </w:rPr>
              <w:t>4,351 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4"/>
              </w:rPr>
            </w:pPr>
            <w:r>
              <w:rPr>
                <w:rFonts w:ascii="Times New Roman;serif" w:hAnsi="Times New Roman;serif"/>
                <w:b w:val="false"/>
                <w:color w:val="000000"/>
                <w:sz w:val="14"/>
              </w:rPr>
              <w:t>2,900 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4"/>
              </w:rPr>
            </w:pPr>
            <w:r>
              <w:rPr>
                <w:rFonts w:ascii="Times New Roman;serif" w:hAnsi="Times New Roman;serif"/>
                <w:b w:val="false"/>
                <w:color w:val="000000"/>
                <w:sz w:val="14"/>
              </w:rPr>
              <w:t>Proceeds from issuance of common stock upon exercise of stock options</w:t>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4"/>
              </w:rPr>
            </w:pPr>
            <w:r>
              <w:rPr>
                <w:rFonts w:ascii="Times New Roman;serif" w:hAnsi="Times New Roman;serif"/>
                <w:b w:val="false"/>
                <w:color w:val="000000"/>
                <w:sz w:val="14"/>
              </w:rPr>
              <w:t>315 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4"/>
              </w:rPr>
            </w:pPr>
            <w:r>
              <w:rPr>
                <w:rFonts w:ascii="Times New Roman;serif" w:hAnsi="Times New Roman;serif"/>
                <w:b w:val="false"/>
                <w:color w:val="000000"/>
                <w:sz w:val="14"/>
              </w:rPr>
              <w:t>303 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4"/>
              </w:rPr>
            </w:pPr>
            <w:r>
              <w:rPr>
                <w:rFonts w:ascii="Times New Roman;serif" w:hAnsi="Times New Roman;serif"/>
                <w:b w:val="false"/>
                <w:color w:val="000000"/>
                <w:sz w:val="14"/>
              </w:rPr>
              <w:t>Repurchase and retirement of common stock</w:t>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4"/>
              </w:rPr>
            </w:pPr>
            <w:r>
              <w:rPr>
                <w:rFonts w:ascii="Times New Roman;serif" w:hAnsi="Times New Roman;serif"/>
                <w:b w:val="false"/>
                <w:color w:val="000000"/>
                <w:sz w:val="14"/>
              </w:rPr>
              <w:t>(6,057)</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4"/>
              </w:rPr>
            </w:pPr>
            <w:r>
              <w:rPr>
                <w:rFonts w:ascii="Times New Roman;serif" w:hAnsi="Times New Roman;serif"/>
                <w:b w:val="false"/>
                <w:color w:val="000000"/>
                <w:sz w:val="14"/>
              </w:rPr>
              <w:t>(1,510)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4"/>
              </w:rPr>
            </w:pPr>
            <w:r>
              <w:rPr>
                <w:rFonts w:ascii="Times New Roman;serif" w:hAnsi="Times New Roman;serif"/>
                <w:b w:val="false"/>
                <w:color w:val="000000"/>
                <w:sz w:val="14"/>
              </w:rPr>
              <w:t>Net cash used in financing activities</w:t>
            </w:r>
          </w:p>
        </w:tc>
        <w:tc>
          <w:tcPr>
            <w:tcW w:w="8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4"/>
              </w:rPr>
            </w:pPr>
            <w:r>
              <w:rPr>
                <w:rFonts w:ascii="Times New Roman;serif" w:hAnsi="Times New Roman;serif"/>
                <w:b w:val="false"/>
                <w:color w:val="000000"/>
                <w:sz w:val="14"/>
              </w:rPr>
              <w:t>(1,583)</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4"/>
              </w:rPr>
            </w:pPr>
            <w:r>
              <w:rPr>
                <w:rFonts w:ascii="Times New Roman;serif" w:hAnsi="Times New Roman;serif"/>
                <w:b w:val="false"/>
                <w:color w:val="000000"/>
                <w:sz w:val="14"/>
              </w:rPr>
              <w:t>(21,180)</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4"/>
              </w:rPr>
            </w:pPr>
            <w:r>
              <w:rPr>
                <w:rFonts w:ascii="Times New Roman;serif" w:hAnsi="Times New Roman;serif"/>
                <w:b w:val="false"/>
                <w:color w:val="000000"/>
                <w:sz w:val="14"/>
              </w:rPr>
              <w:t>Net increase (decrease) in cash and cash equivalents and restricted cash</w:t>
            </w:r>
          </w:p>
        </w:tc>
        <w:tc>
          <w:tcPr>
            <w:tcW w:w="8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4"/>
              </w:rPr>
            </w:pPr>
            <w:r>
              <w:rPr>
                <w:rFonts w:ascii="Times New Roman;serif" w:hAnsi="Times New Roman;serif"/>
                <w:b w:val="false"/>
                <w:color w:val="000000"/>
                <w:sz w:val="14"/>
              </w:rPr>
              <w:t>13,547 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4"/>
              </w:rPr>
            </w:pPr>
            <w:r>
              <w:rPr>
                <w:rFonts w:ascii="Times New Roman;serif" w:hAnsi="Times New Roman;serif"/>
                <w:b w:val="false"/>
                <w:color w:val="000000"/>
                <w:sz w:val="14"/>
              </w:rPr>
              <w:t>(11,404)</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4"/>
              </w:rPr>
            </w:pPr>
            <w:r>
              <w:rPr>
                <w:rFonts w:ascii="Times New Roman;serif" w:hAnsi="Times New Roman;serif"/>
                <w:b w:val="false"/>
                <w:color w:val="000000"/>
                <w:sz w:val="14"/>
              </w:rPr>
              <w:t>Cash and cash equivalents and restricted cash, beginning of period</w:t>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4"/>
              </w:rPr>
            </w:pPr>
            <w:r>
              <w:rPr>
                <w:rFonts w:ascii="Times New Roman;serif" w:hAnsi="Times New Roman;serif"/>
                <w:b w:val="false"/>
                <w:color w:val="000000"/>
                <w:sz w:val="14"/>
              </w:rPr>
              <w:t>90,834 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4"/>
              </w:rPr>
            </w:pPr>
            <w:r>
              <w:rPr>
                <w:rFonts w:ascii="Times New Roman;serif" w:hAnsi="Times New Roman;serif"/>
                <w:b w:val="false"/>
                <w:color w:val="000000"/>
                <w:sz w:val="14"/>
              </w:rPr>
              <w:t>96,658 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4"/>
              </w:rPr>
            </w:pPr>
            <w:r>
              <w:rPr>
                <w:rFonts w:ascii="Times New Roman;serif" w:hAnsi="Times New Roman;serif"/>
                <w:b w:val="false"/>
                <w:color w:val="000000"/>
                <w:sz w:val="14"/>
              </w:rPr>
              <w:t>Cash and cash equivalents and restricted cash, end of period</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4"/>
              </w:rPr>
            </w:pPr>
            <w:r>
              <w:rPr>
                <w:rFonts w:ascii="Times New Roman;serif" w:hAnsi="Times New Roman;serif"/>
                <w:b w:val="false"/>
                <w:color w:val="000000"/>
                <w:sz w:val="14"/>
              </w:rPr>
              <w:t>104,381 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4"/>
              </w:rPr>
            </w:pPr>
            <w:r>
              <w:rPr>
                <w:rFonts w:ascii="Times New Roman;serif" w:hAnsi="Times New Roman;serif"/>
                <w:b w:val="false"/>
                <w:color w:val="000000"/>
                <w:sz w:val="14"/>
              </w:rPr>
              <w:t>85,254 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4"/>
              </w:rPr>
            </w:pPr>
            <w:r>
              <w:rPr>
                <w:rFonts w:ascii="Times New Roman;serif" w:hAnsi="Times New Roman;serif"/>
                <w:b w:val="false"/>
                <w:color w:val="000000"/>
                <w:sz w:val="14"/>
              </w:rPr>
              <w:t>Supplemental disclosure of cash flow information:</w:t>
            </w:r>
          </w:p>
        </w:tc>
        <w:tc>
          <w:tcPr>
            <w:tcW w:w="9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4"/>
              </w:rPr>
            </w:pPr>
            <w:r>
              <w:rPr>
                <w:rFonts w:ascii="Times New Roman;serif" w:hAnsi="Times New Roman;serif"/>
                <w:b w:val="false"/>
                <w:color w:val="000000"/>
                <w:sz w:val="14"/>
              </w:rPr>
              <w:t>Cash paid for interest</w:t>
            </w:r>
          </w:p>
        </w:tc>
        <w:tc>
          <w:tcPr>
            <w:tcW w:w="185"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54"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4"/>
              </w:rPr>
            </w:pPr>
            <w:r>
              <w:rPr>
                <w:rFonts w:ascii="Times New Roman;serif" w:hAnsi="Times New Roman;serif"/>
                <w:b w:val="false"/>
                <w:color w:val="000000"/>
                <w:sz w:val="14"/>
              </w:rPr>
              <w:t>1,326 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4"/>
              </w:rPr>
            </w:pPr>
            <w:r>
              <w:rPr>
                <w:rFonts w:ascii="Times New Roman;serif" w:hAnsi="Times New Roman;serif"/>
                <w:b w:val="false"/>
                <w:color w:val="000000"/>
                <w:sz w:val="14"/>
              </w:rPr>
              <w:t>Cash paid for income taxes</w:t>
            </w:r>
          </w:p>
        </w:tc>
        <w:tc>
          <w:tcPr>
            <w:tcW w:w="185"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4"/>
              </w:rPr>
            </w:pPr>
            <w:r>
              <w:rPr>
                <w:rFonts w:ascii="Times New Roman;serif" w:hAnsi="Times New Roman;serif"/>
                <w:b w:val="false"/>
                <w:color w:val="000000"/>
                <w:sz w:val="14"/>
              </w:rPr>
              <w:t>4,880 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54"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4"/>
              </w:rPr>
            </w:pPr>
            <w:r>
              <w:rPr>
                <w:rFonts w:ascii="Times New Roman;serif" w:hAnsi="Times New Roman;serif"/>
                <w:b w:val="false"/>
                <w:color w:val="000000"/>
                <w:sz w:val="14"/>
              </w:rPr>
              <w:t>3,735 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4"/>
              </w:rPr>
            </w:pPr>
            <w:r>
              <w:rPr>
                <w:rFonts w:ascii="Times New Roman;serif" w:hAnsi="Times New Roman;serif"/>
                <w:b w:val="false"/>
                <w:color w:val="000000"/>
                <w:sz w:val="14"/>
              </w:rPr>
              <w:t>Noncash investing and financing items:</w:t>
            </w:r>
          </w:p>
        </w:tc>
        <w:tc>
          <w:tcPr>
            <w:tcW w:w="9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 capitalized as software development costs</w:t>
            </w:r>
          </w:p>
        </w:tc>
        <w:tc>
          <w:tcPr>
            <w:tcW w:w="185"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4"/>
              </w:rPr>
            </w:pPr>
            <w:r>
              <w:rPr>
                <w:rFonts w:ascii="Times New Roman;serif" w:hAnsi="Times New Roman;serif"/>
                <w:b w:val="false"/>
                <w:color w:val="000000"/>
                <w:sz w:val="14"/>
              </w:rPr>
              <w:t>1,359 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54"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4"/>
              </w:rPr>
            </w:pPr>
            <w:r>
              <w:rPr>
                <w:rFonts w:ascii="Times New Roman;serif" w:hAnsi="Times New Roman;serif"/>
                <w:b w:val="false"/>
                <w:color w:val="000000"/>
                <w:sz w:val="14"/>
              </w:rPr>
              <w:t>2,315 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4"/>
              </w:rPr>
            </w:pPr>
            <w:r>
              <w:rPr>
                <w:rFonts w:ascii="Times New Roman;serif" w:hAnsi="Times New Roman;serif"/>
                <w:b w:val="false"/>
                <w:color w:val="000000"/>
                <w:sz w:val="14"/>
              </w:rPr>
              <w:t>Purchases of property and equipment and capitalized software in accounts payable and accrued expenses</w:t>
            </w:r>
          </w:p>
        </w:tc>
        <w:tc>
          <w:tcPr>
            <w:tcW w:w="185"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4"/>
              </w:rPr>
            </w:pPr>
            <w:r>
              <w:rPr>
                <w:rFonts w:ascii="Times New Roman;serif" w:hAnsi="Times New Roman;serif"/>
                <w:b w:val="false"/>
                <w:color w:val="000000"/>
                <w:sz w:val="14"/>
              </w:rPr>
              <w:t>78 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54"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4"/>
              </w:rPr>
            </w:pPr>
            <w:r>
              <w:rPr>
                <w:rFonts w:ascii="Times New Roman;serif" w:hAnsi="Times New Roman;serif"/>
                <w:b w:val="false"/>
                <w:color w:val="000000"/>
                <w:sz w:val="14"/>
              </w:rPr>
              <w:t>178 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4"/>
              </w:rPr>
            </w:pPr>
            <w:r>
              <w:rPr>
                <w:rFonts w:ascii="Times New Roman;serif" w:hAnsi="Times New Roman;serif"/>
                <w:b w:val="false"/>
                <w:color w:val="000000"/>
                <w:sz w:val="14"/>
              </w:rPr>
              <w:t>Fair value of common stock issued to settle liability-classified restricted stock units</w:t>
            </w:r>
          </w:p>
        </w:tc>
        <w:tc>
          <w:tcPr>
            <w:tcW w:w="185"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4"/>
              </w:rPr>
            </w:pPr>
            <w:r>
              <w:rPr>
                <w:rFonts w:ascii="Times New Roman;serif" w:hAnsi="Times New Roman;serif"/>
                <w:b w:val="false"/>
                <w:color w:val="000000"/>
                <w:sz w:val="14"/>
              </w:rPr>
              <w:t>792 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54"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4"/>
              </w:rPr>
            </w:pPr>
            <w:r>
              <w:rPr>
                <w:rFonts w:ascii="Times New Roman;serif" w:hAnsi="Times New Roman;serif"/>
                <w:b w:val="false"/>
                <w:color w:val="000000"/>
                <w:sz w:val="14"/>
              </w:rPr>
              <w:t>Reconciliation of cash and cash equivalents and restricted cash to the Condensed Consolidated Balance Sheets</w:t>
            </w:r>
          </w:p>
        </w:tc>
        <w:tc>
          <w:tcPr>
            <w:tcW w:w="9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4"/>
              </w:rPr>
            </w:pPr>
            <w:r>
              <w:rPr>
                <w:rFonts w:ascii="Times New Roman;serif" w:hAnsi="Times New Roman;serif"/>
                <w:b w:val="false"/>
                <w:color w:val="000000"/>
                <w:sz w:val="14"/>
              </w:rPr>
              <w:t>Cash and cash equivalents</w:t>
            </w:r>
          </w:p>
        </w:tc>
        <w:tc>
          <w:tcPr>
            <w:tcW w:w="185"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4"/>
              </w:rPr>
            </w:pPr>
            <w:r>
              <w:rPr>
                <w:rFonts w:ascii="Times New Roman;serif" w:hAnsi="Times New Roman;serif"/>
                <w:b w:val="false"/>
                <w:color w:val="000000"/>
                <w:sz w:val="14"/>
              </w:rPr>
              <w:t>61,453 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54" w:type="dxa"/>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4"/>
              </w:rPr>
            </w:pPr>
            <w:r>
              <w:rPr>
                <w:rFonts w:ascii="Times New Roman;serif" w:hAnsi="Times New Roman;serif"/>
                <w:b w:val="false"/>
                <w:color w:val="000000"/>
                <w:sz w:val="14"/>
              </w:rPr>
              <w:t>39,172 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4"/>
              </w:rPr>
            </w:pPr>
            <w:r>
              <w:rPr>
                <w:rFonts w:ascii="Times New Roman;serif" w:hAnsi="Times New Roman;serif"/>
                <w:b w:val="false"/>
                <w:color w:val="000000"/>
                <w:sz w:val="14"/>
              </w:rPr>
              <w:t>Restricted cash included in other current assets</w:t>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4"/>
              </w:rPr>
            </w:pPr>
            <w:r>
              <w:rPr>
                <w:rFonts w:ascii="Times New Roman;serif" w:hAnsi="Times New Roman;serif"/>
                <w:b w:val="false"/>
                <w:color w:val="000000"/>
                <w:sz w:val="14"/>
              </w:rPr>
              <w:t>17,875 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4"/>
              </w:rPr>
            </w:pPr>
            <w:r>
              <w:rPr>
                <w:rFonts w:ascii="Times New Roman;serif" w:hAnsi="Times New Roman;serif"/>
                <w:b w:val="false"/>
                <w:color w:val="000000"/>
                <w:sz w:val="14"/>
              </w:rPr>
              <w:t>23,748 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4"/>
              </w:rPr>
            </w:pPr>
            <w:r>
              <w:rPr>
                <w:rFonts w:ascii="Times New Roman;serif" w:hAnsi="Times New Roman;serif"/>
                <w:b w:val="false"/>
                <w:color w:val="000000"/>
                <w:sz w:val="14"/>
              </w:rPr>
              <w:t>Restricted cash included in settlement assets, net</w:t>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4"/>
              </w:rPr>
            </w:pPr>
            <w:r>
              <w:rPr>
                <w:rFonts w:ascii="Times New Roman;serif" w:hAnsi="Times New Roman;serif"/>
                <w:b w:val="false"/>
                <w:color w:val="000000"/>
                <w:sz w:val="14"/>
              </w:rPr>
              <w:t>25,053 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4"/>
              </w:rPr>
            </w:pPr>
            <w:r>
              <w:rPr>
                <w:rFonts w:ascii="Times New Roman;serif" w:hAnsi="Times New Roman;serif"/>
                <w:b w:val="false"/>
                <w:color w:val="000000"/>
                <w:sz w:val="14"/>
              </w:rPr>
              <w:t>22,334 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4"/>
              </w:rPr>
            </w:pPr>
            <w:r>
              <w:rPr>
                <w:rFonts w:ascii="Times New Roman;serif" w:hAnsi="Times New Roman;serif"/>
                <w:b w:val="false"/>
                <w:color w:val="000000"/>
                <w:sz w:val="14"/>
              </w:rPr>
              <w:t>Total cash, cash equivalents and restricted cash</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4"/>
              </w:rPr>
            </w:pPr>
            <w:r>
              <w:rPr>
                <w:rFonts w:ascii="Times New Roman;serif" w:hAnsi="Times New Roman;serif"/>
                <w:b w:val="false"/>
                <w:color w:val="000000"/>
                <w:sz w:val="14"/>
              </w:rPr>
              <w:t>104,381 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14"/>
              </w:rPr>
            </w:pPr>
            <w:r>
              <w:rPr>
                <w:rFonts w:ascii="Times New Roman;serif" w:hAnsi="Times New Roman;serif"/>
                <w:b w:val="false"/>
                <w:color w:val="000000"/>
                <w:sz w:val="14"/>
              </w:rPr>
              <w:t>85,254 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
        <w:jc w:val="righ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300" w:before="0" w:after="2"/>
        <w:jc w:val="center"/>
        <w:rPr>
          <w:rFonts w:ascii="Times New Roman;serif" w:hAnsi="Times New Roman;serif"/>
          <w:b/>
          <w:color w:val="000000"/>
          <w:sz w:val="24"/>
        </w:rPr>
      </w:pPr>
      <w:r>
        <w:rPr>
          <w:rFonts w:ascii="Times New Roman;serif" w:hAnsi="Times New Roman;serif"/>
          <w:b/>
          <w:color w:val="000000"/>
          <w:sz w:val="24"/>
        </w:rPr>
        <w:t>Expensify, Inc.</w:t>
      </w:r>
    </w:p>
    <w:p>
      <w:pPr>
        <w:pStyle w:val="TextBody"/>
        <w:bidi w:val="0"/>
        <w:spacing w:lineRule="auto" w:line="300" w:before="0" w:after="0"/>
        <w:jc w:val="center"/>
        <w:rPr>
          <w:rFonts w:ascii="Times New Roman;serif" w:hAnsi="Times New Roman;serif"/>
          <w:b/>
          <w:color w:val="000000"/>
          <w:sz w:val="24"/>
        </w:rPr>
      </w:pPr>
      <w:r>
        <w:rPr>
          <w:rFonts w:ascii="Times New Roman;serif" w:hAnsi="Times New Roman;serif"/>
          <w:b/>
          <w:color w:val="000000"/>
          <w:sz w:val="24"/>
        </w:rPr>
        <w:t>Reconciliation of GAAP to Non-GAAP Financial Measures</w:t>
      </w:r>
    </w:p>
    <w:p>
      <w:pPr>
        <w:pStyle w:val="TextBody"/>
        <w:bidi w:val="0"/>
        <w:spacing w:lineRule="auto" w:line="300"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 in thousands, except percentages)</w:t>
      </w:r>
    </w:p>
    <w:p>
      <w:pPr>
        <w:pStyle w:val="TextBody"/>
        <w:bidi w:val="0"/>
        <w:spacing w:lineRule="auto" w:line="300" w:before="0" w:after="2"/>
        <w:jc w:val="left"/>
        <w:rPr>
          <w:rFonts w:ascii="Times New Roman;serif" w:hAnsi="Times New Roman;serif"/>
          <w:b w:val="false"/>
          <w:i/>
          <w:color w:val="000000"/>
          <w:sz w:val="20"/>
        </w:rPr>
      </w:pPr>
      <w:r>
        <w:rPr>
          <w:rFonts w:ascii="Times New Roman;serif" w:hAnsi="Times New Roman;serif"/>
          <w:b w:val="false"/>
          <w:i/>
          <w:color w:val="000000"/>
          <w:sz w:val="20"/>
        </w:rPr>
        <w:t>Adjusted EBITDA and Adjusted EBITDA Margin</w:t>
      </w:r>
    </w:p>
    <w:tbl>
      <w:tblPr>
        <w:tblW w:w="5728" w:type="dxa"/>
        <w:jc w:val="left"/>
        <w:tblInd w:w="0" w:type="dxa"/>
        <w:tblLayout w:type="fixed"/>
        <w:tblCellMar>
          <w:top w:w="28" w:type="dxa"/>
          <w:left w:w="28" w:type="dxa"/>
          <w:bottom w:w="28" w:type="dxa"/>
          <w:right w:w="28" w:type="dxa"/>
        </w:tblCellMar>
      </w:tblPr>
      <w:tblGrid>
        <w:gridCol w:w="1088"/>
        <w:gridCol w:w="950"/>
        <w:gridCol w:w="962"/>
        <w:gridCol w:w="212"/>
        <w:gridCol w:w="694"/>
        <w:gridCol w:w="272"/>
        <w:gridCol w:w="109"/>
        <w:gridCol w:w="109"/>
        <w:gridCol w:w="109"/>
        <w:gridCol w:w="212"/>
        <w:gridCol w:w="694"/>
        <w:gridCol w:w="317"/>
      </w:tblGrid>
      <w:tr>
        <w:trPr/>
        <w:tc>
          <w:tcPr>
            <w:tcW w:w="1088"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8"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(2,315)</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(2,198)</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margin</w:t>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272"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317"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Add:</w:t>
            </w:r>
          </w:p>
        </w:tc>
        <w:tc>
          <w:tcPr>
            <w:tcW w:w="11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2,667 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(181)</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2,097 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1,758 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6,663 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7,630 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6,503 </w:t>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9,676 </w:t>
            </w:r>
          </w:p>
        </w:tc>
        <w:tc>
          <w:tcPr>
            <w:tcW w:w="3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margin</w:t>
            </w:r>
          </w:p>
        </w:tc>
        <w:tc>
          <w:tcPr>
            <w:tcW w:w="90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7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31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0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2"/>
        <w:jc w:val="left"/>
        <w:rPr>
          <w:rFonts w:ascii="Times New Roman;serif" w:hAnsi="Times New Roman;serif"/>
          <w:b w:val="false"/>
          <w:i/>
          <w:color w:val="000000"/>
          <w:sz w:val="20"/>
        </w:rPr>
      </w:pPr>
      <w:r>
        <w:rPr>
          <w:rFonts w:ascii="Times New Roman;serif" w:hAnsi="Times New Roman;serif"/>
          <w:b w:val="false"/>
          <w:i/>
          <w:color w:val="000000"/>
          <w:sz w:val="20"/>
        </w:rPr>
        <w:t>Non-GAAP Net Income and Non-GAAP Net Income Margin</w:t>
      </w:r>
    </w:p>
    <w:tbl>
      <w:tblPr>
        <w:tblW w:w="5728" w:type="dxa"/>
        <w:jc w:val="left"/>
        <w:tblInd w:w="0" w:type="dxa"/>
        <w:tblLayout w:type="fixed"/>
        <w:tblCellMar>
          <w:top w:w="28" w:type="dxa"/>
          <w:left w:w="28" w:type="dxa"/>
          <w:bottom w:w="28" w:type="dxa"/>
          <w:right w:w="28" w:type="dxa"/>
        </w:tblCellMar>
      </w:tblPr>
      <w:tblGrid>
        <w:gridCol w:w="1088"/>
        <w:gridCol w:w="951"/>
        <w:gridCol w:w="961"/>
        <w:gridCol w:w="212"/>
        <w:gridCol w:w="694"/>
        <w:gridCol w:w="272"/>
        <w:gridCol w:w="109"/>
        <w:gridCol w:w="109"/>
        <w:gridCol w:w="109"/>
        <w:gridCol w:w="212"/>
        <w:gridCol w:w="694"/>
        <w:gridCol w:w="317"/>
      </w:tblGrid>
      <w:tr>
        <w:trPr/>
        <w:tc>
          <w:tcPr>
            <w:tcW w:w="1088"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8"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(2,315)</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(2,198)</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margin</w:t>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272"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317"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Add:</w:t>
            </w:r>
          </w:p>
        </w:tc>
        <w:tc>
          <w:tcPr>
            <w:tcW w:w="11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6,663 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7,630 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net income</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4,348 </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5,432 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net income margin</w:t>
            </w:r>
          </w:p>
        </w:tc>
        <w:tc>
          <w:tcPr>
            <w:tcW w:w="90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7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31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00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2"/>
        <w:jc w:val="left"/>
        <w:rPr>
          <w:rFonts w:ascii="Times New Roman;serif" w:hAnsi="Times New Roman;serif"/>
          <w:b w:val="false"/>
          <w:i/>
          <w:color w:val="000000"/>
          <w:sz w:val="20"/>
        </w:rPr>
      </w:pPr>
      <w:r>
        <w:rPr>
          <w:rFonts w:ascii="Times New Roman;serif" w:hAnsi="Times New Roman;serif"/>
          <w:b w:val="false"/>
          <w:i/>
          <w:color w:val="000000"/>
          <w:sz w:val="20"/>
        </w:rPr>
        <w:t>Free Cash Flow and Free Cash Flow Margin</w:t>
      </w:r>
    </w:p>
    <w:tbl>
      <w:tblPr>
        <w:tblW w:w="7226" w:type="dxa"/>
        <w:jc w:val="left"/>
        <w:tblInd w:w="0" w:type="dxa"/>
        <w:tblLayout w:type="fixed"/>
        <w:tblCellMar>
          <w:top w:w="28" w:type="dxa"/>
          <w:left w:w="28" w:type="dxa"/>
          <w:bottom w:w="28" w:type="dxa"/>
          <w:right w:w="28" w:type="dxa"/>
        </w:tblCellMar>
      </w:tblPr>
      <w:tblGrid>
        <w:gridCol w:w="1628"/>
        <w:gridCol w:w="1434"/>
        <w:gridCol w:w="1437"/>
        <w:gridCol w:w="224"/>
        <w:gridCol w:w="655"/>
        <w:gridCol w:w="288"/>
        <w:gridCol w:w="115"/>
        <w:gridCol w:w="115"/>
        <w:gridCol w:w="115"/>
        <w:gridCol w:w="224"/>
        <w:gridCol w:w="655"/>
        <w:gridCol w:w="336"/>
      </w:tblGrid>
      <w:tr>
        <w:trPr/>
        <w:tc>
          <w:tcPr>
            <w:tcW w:w="1628"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r>
      <w:tr>
        <w:trPr/>
        <w:tc>
          <w:tcPr>
            <w:tcW w:w="449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7" w:type="dxa"/>
            <w:gridSpan w:val="9"/>
            <w:tcBorders>
              <w:top w:val="single" w:sz="16"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Three Months Ended September 30,</w:t>
            </w:r>
          </w:p>
        </w:tc>
      </w:tr>
      <w:tr>
        <w:trPr/>
        <w:tc>
          <w:tcPr>
            <w:tcW w:w="4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4,166 </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3,687 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 margin</w:t>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88"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36" w:type="dxa"/>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decrease in changes in assets and liabilities:</w:t>
            </w:r>
          </w:p>
        </w:tc>
        <w:tc>
          <w:tcPr>
            <w:tcW w:w="11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 assets</w:t>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(3,708)</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5,326 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 liabilities</w:t>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1,855 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(502)</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development costs</w:t>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(1,085)</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(1,832)</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Free cash flow</w:t>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1,228 </w:t>
            </w:r>
          </w:p>
        </w:tc>
        <w:tc>
          <w:tcPr>
            <w:tcW w:w="2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6,679 </w:t>
            </w:r>
          </w:p>
        </w:tc>
        <w:tc>
          <w:tcPr>
            <w:tcW w:w="3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9" w:type="dxa"/>
            <w:gridSpan w:val="3"/>
            <w:tcBorders/>
            <w:shd w:fill="CCEEFF" w:val="clear"/>
            <w:tcMar>
              <w:top w:w="0" w:type="dxa"/>
              <w:left w:w="0" w:type="dxa"/>
              <w:bottom w:w="0" w:type="dxa"/>
              <w:right w:w="0" w:type="dxa"/>
            </w:tcMar>
            <w:vAlign w:val="center"/>
          </w:tcPr>
          <w:p>
            <w:pPr>
              <w:pStyle w:val="TableContents"/>
              <w:bidi w:val="0"/>
              <w:spacing w:lineRule="auto" w:line="300" w:before="0" w:after="283"/>
              <w:jc w:val="left"/>
              <w:rPr>
                <w:rFonts w:ascii="Times New Roman;serif" w:hAnsi="Times New Roman;serif"/>
                <w:b w:val="false"/>
                <w:color w:val="000000"/>
                <w:sz w:val="20"/>
              </w:rPr>
            </w:pPr>
            <w:r>
              <w:rPr>
                <w:rFonts w:ascii="Times New Roman;serif" w:hAnsi="Times New Roman;serif"/>
                <w:b w:val="false"/>
                <w:color w:val="000000"/>
                <w:sz w:val="20"/>
              </w:rPr>
              <w:t>Free cash flow margin</w:t>
            </w:r>
          </w:p>
        </w:tc>
        <w:tc>
          <w:tcPr>
            <w:tcW w:w="879"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8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3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0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49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99.2</w:t>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Expensify,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9144000" cy="5143500"/>
            <wp:effectExtent l="0" t="0" r="0" b="0"/>
            <wp:docPr id="1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 descr=""/>
                    <pic:cNvPicPr>
                      <a:picLocks noChangeAspect="1" noChangeArrowheads="1"/>
                    </pic:cNvPicPr>
                  </pic:nvPicPr>
                  <pic:blipFill>
                    <a:blip r:embed="rId2"/>
                    <a:stretch>
                      <a:fillRect/>
                    </a:stretch>
                  </pic:blipFill>
                  <pic:spPr bwMode="auto">
                    <a:xfrm>
                      <a:off x="0" y="0"/>
                      <a:ext cx="9144000" cy="5143500"/>
                    </a:xfrm>
                    <a:prstGeom prst="rect">
                      <a:avLst/>
                    </a:prstGeom>
                  </pic:spPr>
                </pic:pic>
              </a:graphicData>
            </a:graphic>
          </wp:inline>
        </w:drawing>
      </w:r>
    </w:p>
    <w:p>
      <w:pPr>
        <w:pStyle w:val="TextBody"/>
        <w:bidi w:val="0"/>
        <w:spacing w:before="0" w:after="0"/>
        <w:jc w:val="center"/>
        <w:rPr/>
      </w:pPr>
      <w:r>
        <w:rPr/>
      </w:r>
    </w:p>
    <w:p>
      <w:pPr>
        <w:pStyle w:val="TextBody"/>
        <w:bidi w:val="0"/>
        <w:jc w:val="center"/>
        <w:rPr/>
      </w:pPr>
      <w:r>
        <w:rPr/>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99.2</w:t>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14"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Expensify,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9144000" cy="5143500"/>
            <wp:effectExtent l="0" t="0" r="0" b="0"/>
            <wp:docPr id="1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2" descr=""/>
                    <pic:cNvPicPr>
                      <a:picLocks noChangeAspect="1" noChangeArrowheads="1"/>
                    </pic:cNvPicPr>
                  </pic:nvPicPr>
                  <pic:blipFill>
                    <a:blip r:embed="rId3"/>
                    <a:stretch>
                      <a:fillRect/>
                    </a:stretch>
                  </pic:blipFill>
                  <pic:spPr bwMode="auto">
                    <a:xfrm>
                      <a:off x="0" y="0"/>
                      <a:ext cx="9144000" cy="5143500"/>
                    </a:xfrm>
                    <a:prstGeom prst="rect">
                      <a:avLst/>
                    </a:prstGeom>
                  </pic:spPr>
                </pic:pic>
              </a:graphicData>
            </a:graphic>
          </wp:inline>
        </w:drawing>
      </w:r>
    </w:p>
    <w:p>
      <w:pPr>
        <w:pStyle w:val="TextBody"/>
        <w:bidi w:val="0"/>
        <w:spacing w:before="0" w:after="0"/>
        <w:jc w:val="center"/>
        <w:rPr/>
      </w:pPr>
      <w:r>
        <w:rPr/>
      </w:r>
    </w:p>
    <w:p>
      <w:pPr>
        <w:pStyle w:val="TextBody"/>
        <w:bidi w:val="0"/>
        <w:jc w:val="center"/>
        <w:rPr/>
      </w:pPr>
      <w:r>
        <w:rPr/>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99.2</w:t>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16"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Expensify,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9144000" cy="5143500"/>
            <wp:effectExtent l="0" t="0" r="0" b="0"/>
            <wp:docPr id="1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3" descr=""/>
                    <pic:cNvPicPr>
                      <a:picLocks noChangeAspect="1" noChangeArrowheads="1"/>
                    </pic:cNvPicPr>
                  </pic:nvPicPr>
                  <pic:blipFill>
                    <a:blip r:embed="rId4"/>
                    <a:stretch>
                      <a:fillRect/>
                    </a:stretch>
                  </pic:blipFill>
                  <pic:spPr bwMode="auto">
                    <a:xfrm>
                      <a:off x="0" y="0"/>
                      <a:ext cx="9144000" cy="5143500"/>
                    </a:xfrm>
                    <a:prstGeom prst="rect">
                      <a:avLst/>
                    </a:prstGeom>
                  </pic:spPr>
                </pic:pic>
              </a:graphicData>
            </a:graphic>
          </wp:inline>
        </w:drawing>
      </w:r>
    </w:p>
    <w:p>
      <w:pPr>
        <w:pStyle w:val="TextBody"/>
        <w:bidi w:val="0"/>
        <w:spacing w:before="0" w:after="0"/>
        <w:jc w:val="center"/>
        <w:rPr/>
      </w:pPr>
      <w:r>
        <w:rPr/>
      </w:r>
    </w:p>
    <w:p>
      <w:pPr>
        <w:pStyle w:val="TextBody"/>
        <w:bidi w:val="0"/>
        <w:jc w:val="center"/>
        <w:rPr/>
      </w:pPr>
      <w:r>
        <w:rPr/>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99.2</w:t>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18"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Expensify,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9144000" cy="5143500"/>
            <wp:effectExtent l="0" t="0" r="0" b="0"/>
            <wp:docPr id="1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4" descr=""/>
                    <pic:cNvPicPr>
                      <a:picLocks noChangeAspect="1" noChangeArrowheads="1"/>
                    </pic:cNvPicPr>
                  </pic:nvPicPr>
                  <pic:blipFill>
                    <a:blip r:embed="rId5"/>
                    <a:stretch>
                      <a:fillRect/>
                    </a:stretch>
                  </pic:blipFill>
                  <pic:spPr bwMode="auto">
                    <a:xfrm>
                      <a:off x="0" y="0"/>
                      <a:ext cx="9144000" cy="5143500"/>
                    </a:xfrm>
                    <a:prstGeom prst="rect">
                      <a:avLst/>
                    </a:prstGeom>
                  </pic:spPr>
                </pic:pic>
              </a:graphicData>
            </a:graphic>
          </wp:inline>
        </w:drawing>
      </w:r>
    </w:p>
    <w:p>
      <w:pPr>
        <w:pStyle w:val="TextBody"/>
        <w:bidi w:val="0"/>
        <w:spacing w:before="0" w:after="0"/>
        <w:jc w:val="center"/>
        <w:rPr/>
      </w:pPr>
      <w:r>
        <w:rPr/>
      </w:r>
    </w:p>
    <w:p>
      <w:pPr>
        <w:pStyle w:val="TextBody"/>
        <w:bidi w:val="0"/>
        <w:jc w:val="center"/>
        <w:rPr/>
      </w:pPr>
      <w:r>
        <w:rPr/>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99.2</w:t>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20"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Expensify,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9144000" cy="5143500"/>
            <wp:effectExtent l="0" t="0" r="0" b="0"/>
            <wp:docPr id="21"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5" descr=""/>
                    <pic:cNvPicPr>
                      <a:picLocks noChangeAspect="1" noChangeArrowheads="1"/>
                    </pic:cNvPicPr>
                  </pic:nvPicPr>
                  <pic:blipFill>
                    <a:blip r:embed="rId6"/>
                    <a:stretch>
                      <a:fillRect/>
                    </a:stretch>
                  </pic:blipFill>
                  <pic:spPr bwMode="auto">
                    <a:xfrm>
                      <a:off x="0" y="0"/>
                      <a:ext cx="9144000" cy="5143500"/>
                    </a:xfrm>
                    <a:prstGeom prst="rect">
                      <a:avLst/>
                    </a:prstGeom>
                  </pic:spPr>
                </pic:pic>
              </a:graphicData>
            </a:graphic>
          </wp:inline>
        </w:drawing>
      </w:r>
    </w:p>
    <w:p>
      <w:pPr>
        <w:pStyle w:val="TextBody"/>
        <w:bidi w:val="0"/>
        <w:spacing w:before="0" w:after="0"/>
        <w:jc w:val="center"/>
        <w:rPr/>
      </w:pPr>
      <w:r>
        <w:rPr/>
      </w:r>
    </w:p>
    <w:p>
      <w:pPr>
        <w:pStyle w:val="TextBody"/>
        <w:bidi w:val="0"/>
        <w:jc w:val="center"/>
        <w:rPr/>
      </w:pPr>
      <w:r>
        <w:rPr/>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99.2</w:t>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22"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Expensify,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9144000" cy="5143500"/>
            <wp:effectExtent l="0" t="0" r="0" b="0"/>
            <wp:docPr id="23"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6" descr=""/>
                    <pic:cNvPicPr>
                      <a:picLocks noChangeAspect="1" noChangeArrowheads="1"/>
                    </pic:cNvPicPr>
                  </pic:nvPicPr>
                  <pic:blipFill>
                    <a:blip r:embed="rId7"/>
                    <a:stretch>
                      <a:fillRect/>
                    </a:stretch>
                  </pic:blipFill>
                  <pic:spPr bwMode="auto">
                    <a:xfrm>
                      <a:off x="0" y="0"/>
                      <a:ext cx="9144000" cy="5143500"/>
                    </a:xfrm>
                    <a:prstGeom prst="rect">
                      <a:avLst/>
                    </a:prstGeom>
                  </pic:spPr>
                </pic:pic>
              </a:graphicData>
            </a:graphic>
          </wp:inline>
        </w:drawing>
      </w:r>
    </w:p>
    <w:p>
      <w:pPr>
        <w:pStyle w:val="TextBody"/>
        <w:bidi w:val="0"/>
        <w:spacing w:before="0" w:after="0"/>
        <w:jc w:val="center"/>
        <w:rPr/>
      </w:pPr>
      <w:r>
        <w:rPr/>
      </w:r>
    </w:p>
    <w:p>
      <w:pPr>
        <w:pStyle w:val="TextBody"/>
        <w:bidi w:val="0"/>
        <w:jc w:val="center"/>
        <w:rPr/>
      </w:pPr>
      <w:r>
        <w:rPr/>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99.2</w:t>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24"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Expensify,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drawing>
          <wp:inline distT="0" distB="0" distL="0" distR="0">
            <wp:extent cx="9144000" cy="5143500"/>
            <wp:effectExtent l="0" t="0" r="0" b="0"/>
            <wp:docPr id="25"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7" descr=""/>
                    <pic:cNvPicPr>
                      <a:picLocks noChangeAspect="1" noChangeArrowheads="1"/>
                    </pic:cNvPicPr>
                  </pic:nvPicPr>
                  <pic:blipFill>
                    <a:blip r:embed="rId8"/>
                    <a:stretch>
                      <a:fillRect/>
                    </a:stretch>
                  </pic:blipFill>
                  <pic:spPr bwMode="auto">
                    <a:xfrm>
                      <a:off x="0" y="0"/>
                      <a:ext cx="9144000" cy="5143500"/>
                    </a:xfrm>
                    <a:prstGeom prst="rect">
                      <a:avLst/>
                    </a:prstGeom>
                  </pic:spPr>
                </pic:pic>
              </a:graphicData>
            </a:graphic>
          </wp:inline>
        </w:drawing>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99.2</w:t>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26"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Expensify,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9144000" cy="5143500"/>
            <wp:effectExtent l="0" t="0" r="0" b="0"/>
            <wp:docPr id="27"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8" descr=""/>
                    <pic:cNvPicPr>
                      <a:picLocks noChangeAspect="1" noChangeArrowheads="1"/>
                    </pic:cNvPicPr>
                  </pic:nvPicPr>
                  <pic:blipFill>
                    <a:blip r:embed="rId9"/>
                    <a:stretch>
                      <a:fillRect/>
                    </a:stretch>
                  </pic:blipFill>
                  <pic:spPr bwMode="auto">
                    <a:xfrm>
                      <a:off x="0" y="0"/>
                      <a:ext cx="9144000" cy="5143500"/>
                    </a:xfrm>
                    <a:prstGeom prst="rect">
                      <a:avLst/>
                    </a:prstGeom>
                  </pic:spPr>
                </pic:pic>
              </a:graphicData>
            </a:graphic>
          </wp:inline>
        </w:drawing>
      </w:r>
    </w:p>
    <w:p>
      <w:pPr>
        <w:pStyle w:val="TextBody"/>
        <w:bidi w:val="0"/>
        <w:spacing w:before="0" w:after="0"/>
        <w:jc w:val="center"/>
        <w:rPr/>
      </w:pPr>
      <w:r>
        <w:rPr/>
      </w:r>
    </w:p>
    <w:p>
      <w:pPr>
        <w:pStyle w:val="TextBody"/>
        <w:bidi w:val="0"/>
        <w:jc w:val="center"/>
        <w:rPr/>
      </w:pPr>
      <w:r>
        <w:rPr/>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99.2</w:t>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28"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Expensify,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9144000" cy="5143500"/>
            <wp:effectExtent l="0" t="0" r="0" b="0"/>
            <wp:docPr id="2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9" descr=""/>
                    <pic:cNvPicPr>
                      <a:picLocks noChangeAspect="1" noChangeArrowheads="1"/>
                    </pic:cNvPicPr>
                  </pic:nvPicPr>
                  <pic:blipFill>
                    <a:blip r:embed="rId10"/>
                    <a:stretch>
                      <a:fillRect/>
                    </a:stretch>
                  </pic:blipFill>
                  <pic:spPr bwMode="auto">
                    <a:xfrm>
                      <a:off x="0" y="0"/>
                      <a:ext cx="9144000" cy="5143500"/>
                    </a:xfrm>
                    <a:prstGeom prst="rect">
                      <a:avLst/>
                    </a:prstGeom>
                  </pic:spPr>
                </pic:pic>
              </a:graphicData>
            </a:graphic>
          </wp:inline>
        </w:drawing>
      </w:r>
    </w:p>
    <w:p>
      <w:pPr>
        <w:pStyle w:val="TextBody"/>
        <w:bidi w:val="0"/>
        <w:spacing w:before="0" w:after="0"/>
        <w:jc w:val="center"/>
        <w:rPr/>
      </w:pPr>
      <w:r>
        <w:rPr/>
      </w:r>
    </w:p>
    <w:p>
      <w:pPr>
        <w:pStyle w:val="TextBody"/>
        <w:bidi w:val="0"/>
        <w:jc w:val="center"/>
        <w:rPr/>
      </w:pPr>
      <w:r>
        <w:rPr/>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99.2</w:t>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30" name="Frame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Expensify,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9144000" cy="5143500"/>
            <wp:effectExtent l="0" t="0" r="0" b="0"/>
            <wp:docPr id="31"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0" descr=""/>
                    <pic:cNvPicPr>
                      <a:picLocks noChangeAspect="1" noChangeArrowheads="1"/>
                    </pic:cNvPicPr>
                  </pic:nvPicPr>
                  <pic:blipFill>
                    <a:blip r:embed="rId11"/>
                    <a:stretch>
                      <a:fillRect/>
                    </a:stretch>
                  </pic:blipFill>
                  <pic:spPr bwMode="auto">
                    <a:xfrm>
                      <a:off x="0" y="0"/>
                      <a:ext cx="9144000" cy="5143500"/>
                    </a:xfrm>
                    <a:prstGeom prst="rect">
                      <a:avLst/>
                    </a:prstGeom>
                  </pic:spPr>
                </pic:pic>
              </a:graphicData>
            </a:graphic>
          </wp:inline>
        </w:drawing>
      </w:r>
    </w:p>
    <w:p>
      <w:pPr>
        <w:pStyle w:val="TextBody"/>
        <w:bidi w:val="0"/>
        <w:spacing w:before="0" w:after="0"/>
        <w:jc w:val="center"/>
        <w:rPr/>
      </w:pPr>
      <w:r>
        <w:rPr/>
      </w:r>
    </w:p>
    <w:p>
      <w:pPr>
        <w:pStyle w:val="TextBody"/>
        <w:bidi w:val="0"/>
        <w:jc w:val="center"/>
        <w:rPr/>
      </w:pPr>
      <w:r>
        <w:rPr/>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99.2</w:t>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32" name="Frame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Expensify,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drawing>
          <wp:inline distT="0" distB="0" distL="0" distR="0">
            <wp:extent cx="9144000" cy="5143500"/>
            <wp:effectExtent l="0" t="0" r="0" b="0"/>
            <wp:docPr id="33"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1" descr=""/>
                    <pic:cNvPicPr>
                      <a:picLocks noChangeAspect="1" noChangeArrowheads="1"/>
                    </pic:cNvPicPr>
                  </pic:nvPicPr>
                  <pic:blipFill>
                    <a:blip r:embed="rId12"/>
                    <a:stretch>
                      <a:fillRect/>
                    </a:stretch>
                  </pic:blipFill>
                  <pic:spPr bwMode="auto">
                    <a:xfrm>
                      <a:off x="0" y="0"/>
                      <a:ext cx="9144000" cy="5143500"/>
                    </a:xfrm>
                    <a:prstGeom prst="rect">
                      <a:avLst/>
                    </a:prstGeom>
                  </pic:spPr>
                </pic:pic>
              </a:graphicData>
            </a:graphic>
          </wp:inline>
        </w:drawing>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99.2</w:t>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34" name="Frame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Expensify,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9144000" cy="5143500"/>
            <wp:effectExtent l="0" t="0" r="0" b="0"/>
            <wp:docPr id="3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2" descr=""/>
                    <pic:cNvPicPr>
                      <a:picLocks noChangeAspect="1" noChangeArrowheads="1"/>
                    </pic:cNvPicPr>
                  </pic:nvPicPr>
                  <pic:blipFill>
                    <a:blip r:embed="rId13"/>
                    <a:stretch>
                      <a:fillRect/>
                    </a:stretch>
                  </pic:blipFill>
                  <pic:spPr bwMode="auto">
                    <a:xfrm>
                      <a:off x="0" y="0"/>
                      <a:ext cx="9144000" cy="5143500"/>
                    </a:xfrm>
                    <a:prstGeom prst="rect">
                      <a:avLst/>
                    </a:prstGeom>
                  </pic:spPr>
                </pic:pic>
              </a:graphicData>
            </a:graphic>
          </wp:inline>
        </w:drawing>
      </w:r>
    </w:p>
    <w:p>
      <w:pPr>
        <w:pStyle w:val="TextBody"/>
        <w:bidi w:val="0"/>
        <w:spacing w:before="0" w:after="0"/>
        <w:jc w:val="center"/>
        <w:rPr/>
      </w:pPr>
      <w:r>
        <w:rPr/>
      </w:r>
    </w:p>
    <w:p>
      <w:pPr>
        <w:pStyle w:val="TextBody"/>
        <w:bidi w:val="0"/>
        <w:jc w:val="center"/>
        <w:rPr/>
      </w:pPr>
      <w:r>
        <w:rPr/>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99.2</w:t>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36" name="Frame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Expensify,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drawing>
          <wp:inline distT="0" distB="0" distL="0" distR="0">
            <wp:extent cx="9144000" cy="5143500"/>
            <wp:effectExtent l="0" t="0" r="0" b="0"/>
            <wp:docPr id="37"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13" descr=""/>
                    <pic:cNvPicPr>
                      <a:picLocks noChangeAspect="1" noChangeArrowheads="1"/>
                    </pic:cNvPicPr>
                  </pic:nvPicPr>
                  <pic:blipFill>
                    <a:blip r:embed="rId14"/>
                    <a:stretch>
                      <a:fillRect/>
                    </a:stretch>
                  </pic:blipFill>
                  <pic:spPr bwMode="auto">
                    <a:xfrm>
                      <a:off x="0" y="0"/>
                      <a:ext cx="9144000" cy="5143500"/>
                    </a:xfrm>
                    <a:prstGeom prst="rect">
                      <a:avLst/>
                    </a:prstGeom>
                  </pic:spPr>
                </pic:pic>
              </a:graphicData>
            </a:graphic>
          </wp:inline>
        </w:drawing>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99.2</w:t>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38" name="Frame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Expensify,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drawing>
          <wp:inline distT="0" distB="0" distL="0" distR="0">
            <wp:extent cx="9144000" cy="5143500"/>
            <wp:effectExtent l="0" t="0" r="0" b="0"/>
            <wp:docPr id="39"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14" descr=""/>
                    <pic:cNvPicPr>
                      <a:picLocks noChangeAspect="1" noChangeArrowheads="1"/>
                    </pic:cNvPicPr>
                  </pic:nvPicPr>
                  <pic:blipFill>
                    <a:blip r:embed="rId15"/>
                    <a:stretch>
                      <a:fillRect/>
                    </a:stretch>
                  </pic:blipFill>
                  <pic:spPr bwMode="auto">
                    <a:xfrm>
                      <a:off x="0" y="0"/>
                      <a:ext cx="9144000" cy="5143500"/>
                    </a:xfrm>
                    <a:prstGeom prst="rect">
                      <a:avLst/>
                    </a:prstGeom>
                  </pic:spPr>
                </pic:pic>
              </a:graphicData>
            </a:graphic>
          </wp:inline>
        </w:drawing>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99.2</w:t>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40" name="Frame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Expensify,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jc w:val="center"/>
        <w:rPr/>
      </w:pPr>
      <w:r>
        <w:rPr/>
        <w:drawing>
          <wp:inline distT="0" distB="0" distL="0" distR="0">
            <wp:extent cx="9144000" cy="5143500"/>
            <wp:effectExtent l="0" t="0" r="0" b="0"/>
            <wp:docPr id="41"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15" descr=""/>
                    <pic:cNvPicPr>
                      <a:picLocks noChangeAspect="1" noChangeArrowheads="1"/>
                    </pic:cNvPicPr>
                  </pic:nvPicPr>
                  <pic:blipFill>
                    <a:blip r:embed="rId16"/>
                    <a:stretch>
                      <a:fillRect/>
                    </a:stretch>
                  </pic:blipFill>
                  <pic:spPr bwMode="auto">
                    <a:xfrm>
                      <a:off x="0" y="0"/>
                      <a:ext cx="9144000" cy="5143500"/>
                    </a:xfrm>
                    <a:prstGeom prst="rect">
                      <a:avLst/>
                    </a:prstGeom>
                  </pic:spPr>
                </pic:pic>
              </a:graphicData>
            </a:graphic>
          </wp:inline>
        </w:drawing>
      </w:r>
      <w:r>
        <w:rPr>
          <w:color w:val="000000"/>
        </w:rPr>
        <w:t xml:space="preserve"> </w: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99.2</w:t>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42" name="Frame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Expensify,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drawing>
          <wp:inline distT="0" distB="0" distL="0" distR="0">
            <wp:extent cx="9144000" cy="5143500"/>
            <wp:effectExtent l="0" t="0" r="0" b="0"/>
            <wp:docPr id="43"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16" descr=""/>
                    <pic:cNvPicPr>
                      <a:picLocks noChangeAspect="1" noChangeArrowheads="1"/>
                    </pic:cNvPicPr>
                  </pic:nvPicPr>
                  <pic:blipFill>
                    <a:blip r:embed="rId17"/>
                    <a:stretch>
                      <a:fillRect/>
                    </a:stretch>
                  </pic:blipFill>
                  <pic:spPr bwMode="auto">
                    <a:xfrm>
                      <a:off x="0" y="0"/>
                      <a:ext cx="9144000" cy="5143500"/>
                    </a:xfrm>
                    <a:prstGeom prst="rect">
                      <a:avLst/>
                    </a:prstGeom>
                  </pic:spPr>
                </pic:pic>
              </a:graphicData>
            </a:graphic>
          </wp:inline>
        </w:drawing>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99.2</w:t>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44" name="Frame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Expensify,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drawing>
          <wp:inline distT="0" distB="0" distL="0" distR="0">
            <wp:extent cx="9144000" cy="5143500"/>
            <wp:effectExtent l="0" t="0" r="0" b="0"/>
            <wp:docPr id="45"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17" descr=""/>
                    <pic:cNvPicPr>
                      <a:picLocks noChangeAspect="1" noChangeArrowheads="1"/>
                    </pic:cNvPicPr>
                  </pic:nvPicPr>
                  <pic:blipFill>
                    <a:blip r:embed="rId18"/>
                    <a:stretch>
                      <a:fillRect/>
                    </a:stretch>
                  </pic:blipFill>
                  <pic:spPr bwMode="auto">
                    <a:xfrm>
                      <a:off x="0" y="0"/>
                      <a:ext cx="9144000" cy="5143500"/>
                    </a:xfrm>
                    <a:prstGeom prst="rect">
                      <a:avLst/>
                    </a:prstGeom>
                  </pic:spPr>
                </pic:pic>
              </a:graphicData>
            </a:graphic>
          </wp:inline>
        </w:drawing>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99.2</w:t>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46" name="Frame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Expensify,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drawing>
          <wp:inline distT="0" distB="0" distL="0" distR="0">
            <wp:extent cx="9144000" cy="5143500"/>
            <wp:effectExtent l="0" t="0" r="0" b="0"/>
            <wp:docPr id="47"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18" descr=""/>
                    <pic:cNvPicPr>
                      <a:picLocks noChangeAspect="1" noChangeArrowheads="1"/>
                    </pic:cNvPicPr>
                  </pic:nvPicPr>
                  <pic:blipFill>
                    <a:blip r:embed="rId19"/>
                    <a:stretch>
                      <a:fillRect/>
                    </a:stretch>
                  </pic:blipFill>
                  <pic:spPr bwMode="auto">
                    <a:xfrm>
                      <a:off x="0" y="0"/>
                      <a:ext cx="9144000" cy="5143500"/>
                    </a:xfrm>
                    <a:prstGeom prst="rect">
                      <a:avLst/>
                    </a:prstGeom>
                  </pic:spPr>
                </pic:pic>
              </a:graphicData>
            </a:graphic>
          </wp:inline>
        </w:drawing>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99.2</w:t>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48" name="Frame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Expensify,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drawing>
          <wp:inline distT="0" distB="0" distL="0" distR="0">
            <wp:extent cx="9144000" cy="5143500"/>
            <wp:effectExtent l="0" t="0" r="0" b="0"/>
            <wp:docPr id="4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19" descr=""/>
                    <pic:cNvPicPr>
                      <a:picLocks noChangeAspect="1" noChangeArrowheads="1"/>
                    </pic:cNvPicPr>
                  </pic:nvPicPr>
                  <pic:blipFill>
                    <a:blip r:embed="rId20"/>
                    <a:stretch>
                      <a:fillRect/>
                    </a:stretch>
                  </pic:blipFill>
                  <pic:spPr bwMode="auto">
                    <a:xfrm>
                      <a:off x="0" y="0"/>
                      <a:ext cx="9144000" cy="5143500"/>
                    </a:xfrm>
                    <a:prstGeom prst="rect">
                      <a:avLst/>
                    </a:prstGeom>
                  </pic:spPr>
                </pic:pic>
              </a:graphicData>
            </a:graphic>
          </wp:inline>
        </w:drawing>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99.2</w:t>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0"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Expensify,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drawing>
          <wp:inline distT="0" distB="0" distL="0" distR="0">
            <wp:extent cx="9144000" cy="5143500"/>
            <wp:effectExtent l="0" t="0" r="0" b="0"/>
            <wp:docPr id="51"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20" descr=""/>
                    <pic:cNvPicPr>
                      <a:picLocks noChangeAspect="1" noChangeArrowheads="1"/>
                    </pic:cNvPicPr>
                  </pic:nvPicPr>
                  <pic:blipFill>
                    <a:blip r:embed="rId21"/>
                    <a:stretch>
                      <a:fillRect/>
                    </a:stretch>
                  </pic:blipFill>
                  <pic:spPr bwMode="auto">
                    <a:xfrm>
                      <a:off x="0" y="0"/>
                      <a:ext cx="9144000" cy="5143500"/>
                    </a:xfrm>
                    <a:prstGeom prst="rect">
                      <a:avLst/>
                    </a:prstGeom>
                  </pic:spPr>
                </pic:pic>
              </a:graphicData>
            </a:graphic>
          </wp:inline>
        </w:drawing>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99.2</w:t>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2"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Expensify,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drawing>
          <wp:inline distT="0" distB="0" distL="0" distR="0">
            <wp:extent cx="9144000" cy="5143500"/>
            <wp:effectExtent l="0" t="0" r="0" b="0"/>
            <wp:docPr id="53"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21" descr=""/>
                    <pic:cNvPicPr>
                      <a:picLocks noChangeAspect="1" noChangeArrowheads="1"/>
                    </pic:cNvPicPr>
                  </pic:nvPicPr>
                  <pic:blipFill>
                    <a:blip r:embed="rId22"/>
                    <a:stretch>
                      <a:fillRect/>
                    </a:stretch>
                  </pic:blipFill>
                  <pic:spPr bwMode="auto">
                    <a:xfrm>
                      <a:off x="0" y="0"/>
                      <a:ext cx="9144000" cy="5143500"/>
                    </a:xfrm>
                    <a:prstGeom prst="rect">
                      <a:avLst/>
                    </a:prstGeom>
                  </pic:spPr>
                </pic:pic>
              </a:graphicData>
            </a:graphic>
          </wp:inline>
        </w:drawing>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99.2</w:t>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4"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Expensify,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drawing>
          <wp:inline distT="0" distB="0" distL="0" distR="0">
            <wp:extent cx="9144000" cy="5143500"/>
            <wp:effectExtent l="0" t="0" r="0" b="0"/>
            <wp:docPr id="55"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22" descr=""/>
                    <pic:cNvPicPr>
                      <a:picLocks noChangeAspect="1" noChangeArrowheads="1"/>
                    </pic:cNvPicPr>
                  </pic:nvPicPr>
                  <pic:blipFill>
                    <a:blip r:embed="rId23"/>
                    <a:stretch>
                      <a:fillRect/>
                    </a:stretch>
                  </pic:blipFill>
                  <pic:spPr bwMode="auto">
                    <a:xfrm>
                      <a:off x="0" y="0"/>
                      <a:ext cx="9144000" cy="5143500"/>
                    </a:xfrm>
                    <a:prstGeom prst="rect">
                      <a:avLst/>
                    </a:prstGeom>
                  </pic:spPr>
                </pic:pic>
              </a:graphicData>
            </a:graphic>
          </wp:inline>
        </w:drawing>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99.2</w:t>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6" name="Frame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Expensify,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drawing>
          <wp:inline distT="0" distB="0" distL="0" distR="0">
            <wp:extent cx="9144000" cy="5143500"/>
            <wp:effectExtent l="0" t="0" r="0" b="0"/>
            <wp:docPr id="57"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23" descr=""/>
                    <pic:cNvPicPr>
                      <a:picLocks noChangeAspect="1" noChangeArrowheads="1"/>
                    </pic:cNvPicPr>
                  </pic:nvPicPr>
                  <pic:blipFill>
                    <a:blip r:embed="rId24"/>
                    <a:stretch>
                      <a:fillRect/>
                    </a:stretch>
                  </pic:blipFill>
                  <pic:spPr bwMode="auto">
                    <a:xfrm>
                      <a:off x="0" y="0"/>
                      <a:ext cx="9144000" cy="5143500"/>
                    </a:xfrm>
                    <a:prstGeom prst="rect">
                      <a:avLst/>
                    </a:prstGeom>
                  </pic:spPr>
                </pic:pic>
              </a:graphicData>
            </a:graphic>
          </wp:inline>
        </w:drawing>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99.2</w:t>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8"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Expensify,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Investor Presentation</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9144000" cy="5143500"/>
            <wp:effectExtent l="0" t="0" r="0" b="0"/>
            <wp:docPr id="59"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24" descr=""/>
                    <pic:cNvPicPr>
                      <a:picLocks noChangeAspect="1" noChangeArrowheads="1"/>
                    </pic:cNvPicPr>
                  </pic:nvPicPr>
                  <pic:blipFill>
                    <a:blip r:embed="rId25"/>
                    <a:stretch>
                      <a:fillRect/>
                    </a:stretch>
                  </pic:blipFill>
                  <pic:spPr bwMode="auto">
                    <a:xfrm>
                      <a:off x="0" y="0"/>
                      <a:ext cx="9144000" cy="5143500"/>
                    </a:xfrm>
                    <a:prstGeom prst="rect">
                      <a:avLst/>
                    </a:prstGeom>
                  </pic:spPr>
                </pic:pic>
              </a:graphicData>
            </a:graphic>
          </wp:inline>
        </w:drawing>
      </w:r>
    </w:p>
    <w:p>
      <w:pPr>
        <w:pStyle w:val="TextBody"/>
        <w:bidi w:val="0"/>
        <w:jc w:val="center"/>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18.jpeg"/><Relationship Id="rId26" Type="http://schemas.openxmlformats.org/officeDocument/2006/relationships/fontTable" Target="fontTable.xml"/><Relationship Id="rId2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34</Pages>
  <Words>4390</Words>
  <Characters>24737</Characters>
  <CharactersWithSpaces>28591</CharactersWithSpaces>
  <Paragraphs>822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