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0001891077</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40" w:type="dxa"/>
            <w:vAlign w:val="bottom"/>
          </w:tcPr>
          <w:p>
            <w:pPr>
              <w:spacing w:after="0"/>
              <w:rPr>
                <w:sz w:val="21"/>
                <w:szCs w:val="21"/>
                <w:color w:val="auto"/>
              </w:rPr>
            </w:pPr>
          </w:p>
        </w:tc>
        <w:tc>
          <w:tcPr>
            <w:tcW w:w="310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40" w:type="dxa"/>
            <w:vAlign w:val="bottom"/>
          </w:tcPr>
          <w:p>
            <w:pPr>
              <w:spacing w:after="0"/>
              <w:rPr>
                <w:sz w:val="13"/>
                <w:szCs w:val="13"/>
                <w:color w:val="auto"/>
              </w:rPr>
            </w:pPr>
          </w:p>
        </w:tc>
        <w:tc>
          <w:tcPr>
            <w:tcW w:w="3100" w:type="dxa"/>
            <w:vAlign w:val="bottom"/>
            <w:vMerge w:val="restart"/>
          </w:tcPr>
          <w:p>
            <w:pPr>
              <w:ind w:left="15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4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6"/>
              </w:rPr>
              <w:t>Anu Muralidharan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3466</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4609.78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71764817</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06/17/2024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06/15/2024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2682</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06/15/2024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06/15/2024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784</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06/15/2024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03/20/2024 2816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5378.56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06/03/2024 17520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26280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06/05/2024 21118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30198.74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Note for 3(e): As of May 6, 2024, as stated in Issuer's quarterly report on Form 10-Q for the fiscal quarter ending</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March 31, 2024.</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06/18/2024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6th day of June,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Anu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Anu Muralidharan</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2024-06-18T18:57:58Z</dcterms:created>
  <dcterms:modified xsi:type="dcterms:W3CDTF">2024-06-18T18:57:58Z</dcterms:modified>
</cp:coreProperties>
</file>