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7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74"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13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PURSUANT TO SECTION 13 OR 15(d)</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88"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Date of report (Date of earliest event reported): November 15, 2021</w:t>
      </w:r>
    </w:p>
    <w:p>
      <w:pPr>
        <w:spacing w:after="0" w:line="96"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Expensify, Inc.</w:t>
      </w:r>
    </w:p>
    <w:p>
      <w:pPr>
        <w:spacing w:after="0" w:line="50" w:lineRule="exact"/>
        <w:rPr>
          <w:sz w:val="24"/>
          <w:szCs w:val="24"/>
          <w:color w:val="auto"/>
        </w:rPr>
      </w:pPr>
    </w:p>
    <w:tbl>
      <w:tblPr>
        <w:tblLayout w:type="fixed"/>
        <w:tblInd w:w="1040" w:type="dxa"/>
        <w:tblCellMar>
          <w:top w:w="0" w:type="dxa"/>
          <w:left w:w="0" w:type="dxa"/>
          <w:bottom w:w="0" w:type="dxa"/>
          <w:right w:w="0" w:type="dxa"/>
        </w:tblCellMar>
      </w:tblPr>
      <w:tr>
        <w:trPr>
          <w:trHeight w:val="234"/>
        </w:trPr>
        <w:tc>
          <w:tcPr>
            <w:tcW w:w="2100" w:type="dxa"/>
            <w:vAlign w:val="bottom"/>
          </w:tcPr>
          <w:p>
            <w:pPr>
              <w:spacing w:after="0"/>
              <w:rPr>
                <w:sz w:val="20"/>
                <w:szCs w:val="20"/>
                <w:color w:val="auto"/>
              </w:rPr>
            </w:pPr>
          </w:p>
        </w:tc>
        <w:tc>
          <w:tcPr>
            <w:tcW w:w="5100" w:type="dxa"/>
            <w:vAlign w:val="bottom"/>
          </w:tcPr>
          <w:p>
            <w:pPr>
              <w:jc w:val="center"/>
              <w:ind w:right="38"/>
              <w:spacing w:after="0"/>
              <w:rPr>
                <w:sz w:val="20"/>
                <w:szCs w:val="20"/>
                <w:color w:val="auto"/>
              </w:rPr>
            </w:pPr>
            <w:r>
              <w:rPr>
                <w:rFonts w:ascii="Arial" w:cs="Arial" w:eastAsia="Arial" w:hAnsi="Arial"/>
                <w:sz w:val="18"/>
                <w:szCs w:val="18"/>
                <w:b w:val="1"/>
                <w:bCs w:val="1"/>
                <w:color w:val="auto"/>
                <w:w w:val="90"/>
              </w:rPr>
              <w:t>(Exact Name of Registrant as Specified in its Charter)</w:t>
            </w:r>
          </w:p>
        </w:tc>
        <w:tc>
          <w:tcPr>
            <w:tcW w:w="1680" w:type="dxa"/>
            <w:vAlign w:val="bottom"/>
          </w:tcPr>
          <w:p>
            <w:pPr>
              <w:spacing w:after="0"/>
              <w:rPr>
                <w:sz w:val="20"/>
                <w:szCs w:val="20"/>
                <w:color w:val="auto"/>
              </w:rPr>
            </w:pPr>
          </w:p>
        </w:tc>
      </w:tr>
      <w:tr>
        <w:trPr>
          <w:trHeight w:val="250"/>
        </w:trPr>
        <w:tc>
          <w:tcPr>
            <w:tcW w:w="2100" w:type="dxa"/>
            <w:vAlign w:val="bottom"/>
          </w:tcPr>
          <w:p>
            <w:pPr>
              <w:jc w:val="center"/>
              <w:ind w:right="342"/>
              <w:spacing w:after="0"/>
              <w:rPr>
                <w:sz w:val="20"/>
                <w:szCs w:val="20"/>
                <w:color w:val="auto"/>
              </w:rPr>
            </w:pPr>
            <w:r>
              <w:rPr>
                <w:rFonts w:ascii="Arial" w:cs="Arial" w:eastAsia="Arial" w:hAnsi="Arial"/>
                <w:sz w:val="18"/>
                <w:szCs w:val="18"/>
                <w:b w:val="1"/>
                <w:bCs w:val="1"/>
                <w:color w:val="auto"/>
                <w:w w:val="91"/>
              </w:rPr>
              <w:t>Delaware</w:t>
            </w:r>
          </w:p>
        </w:tc>
        <w:tc>
          <w:tcPr>
            <w:tcW w:w="5100" w:type="dxa"/>
            <w:vAlign w:val="bottom"/>
          </w:tcPr>
          <w:p>
            <w:pPr>
              <w:jc w:val="center"/>
              <w:ind w:right="78"/>
              <w:spacing w:after="0"/>
              <w:rPr>
                <w:sz w:val="20"/>
                <w:szCs w:val="20"/>
                <w:color w:val="auto"/>
              </w:rPr>
            </w:pPr>
            <w:r>
              <w:rPr>
                <w:rFonts w:ascii="Arial" w:cs="Arial" w:eastAsia="Arial" w:hAnsi="Arial"/>
                <w:sz w:val="18"/>
                <w:szCs w:val="18"/>
                <w:b w:val="1"/>
                <w:bCs w:val="1"/>
                <w:color w:val="auto"/>
                <w:w w:val="90"/>
              </w:rPr>
              <w:t>001-41043</w:t>
            </w:r>
          </w:p>
        </w:tc>
        <w:tc>
          <w:tcPr>
            <w:tcW w:w="1680" w:type="dxa"/>
            <w:vAlign w:val="bottom"/>
          </w:tcPr>
          <w:p>
            <w:pPr>
              <w:jc w:val="center"/>
              <w:ind w:left="462"/>
              <w:spacing w:after="0"/>
              <w:rPr>
                <w:sz w:val="20"/>
                <w:szCs w:val="20"/>
                <w:color w:val="auto"/>
              </w:rPr>
            </w:pPr>
            <w:r>
              <w:rPr>
                <w:rFonts w:ascii="Arial" w:cs="Arial" w:eastAsia="Arial" w:hAnsi="Arial"/>
                <w:sz w:val="18"/>
                <w:szCs w:val="18"/>
                <w:b w:val="1"/>
                <w:bCs w:val="1"/>
                <w:color w:val="auto"/>
                <w:w w:val="89"/>
              </w:rPr>
              <w:t>27-0239450</w:t>
            </w:r>
          </w:p>
        </w:tc>
      </w:tr>
      <w:tr>
        <w:trPr>
          <w:trHeight w:val="180"/>
        </w:trPr>
        <w:tc>
          <w:tcPr>
            <w:tcW w:w="2100" w:type="dxa"/>
            <w:vAlign w:val="bottom"/>
          </w:tcPr>
          <w:p>
            <w:pPr>
              <w:jc w:val="center"/>
              <w:ind w:right="322"/>
              <w:spacing w:after="0"/>
              <w:rPr>
                <w:sz w:val="20"/>
                <w:szCs w:val="20"/>
                <w:color w:val="auto"/>
              </w:rPr>
            </w:pPr>
            <w:r>
              <w:rPr>
                <w:rFonts w:ascii="Arial" w:cs="Arial" w:eastAsia="Arial" w:hAnsi="Arial"/>
                <w:sz w:val="14"/>
                <w:szCs w:val="14"/>
                <w:b w:val="1"/>
                <w:bCs w:val="1"/>
                <w:color w:val="auto"/>
                <w:w w:val="93"/>
              </w:rPr>
              <w:t>(State or Other Jurisdiction</w:t>
            </w:r>
          </w:p>
        </w:tc>
        <w:tc>
          <w:tcPr>
            <w:tcW w:w="5100" w:type="dxa"/>
            <w:vAlign w:val="bottom"/>
          </w:tcPr>
          <w:p>
            <w:pPr>
              <w:jc w:val="center"/>
              <w:ind w:right="78"/>
              <w:spacing w:after="0"/>
              <w:rPr>
                <w:sz w:val="20"/>
                <w:szCs w:val="20"/>
                <w:color w:val="auto"/>
              </w:rPr>
            </w:pPr>
            <w:r>
              <w:rPr>
                <w:rFonts w:ascii="Arial" w:cs="Arial" w:eastAsia="Arial" w:hAnsi="Arial"/>
                <w:sz w:val="14"/>
                <w:szCs w:val="14"/>
                <w:b w:val="1"/>
                <w:bCs w:val="1"/>
                <w:color w:val="auto"/>
                <w:w w:val="92"/>
              </w:rPr>
              <w:t>(Commission</w:t>
            </w:r>
          </w:p>
        </w:tc>
        <w:tc>
          <w:tcPr>
            <w:tcW w:w="1680" w:type="dxa"/>
            <w:vAlign w:val="bottom"/>
          </w:tcPr>
          <w:p>
            <w:pPr>
              <w:jc w:val="center"/>
              <w:ind w:left="462"/>
              <w:spacing w:after="0"/>
              <w:rPr>
                <w:sz w:val="20"/>
                <w:szCs w:val="20"/>
                <w:color w:val="auto"/>
              </w:rPr>
            </w:pPr>
            <w:r>
              <w:rPr>
                <w:rFonts w:ascii="Arial" w:cs="Arial" w:eastAsia="Arial" w:hAnsi="Arial"/>
                <w:sz w:val="14"/>
                <w:szCs w:val="14"/>
                <w:b w:val="1"/>
                <w:bCs w:val="1"/>
                <w:color w:val="auto"/>
                <w:w w:val="98"/>
              </w:rPr>
              <w:t>(IRS Employer</w:t>
            </w:r>
          </w:p>
        </w:tc>
      </w:tr>
      <w:tr>
        <w:trPr>
          <w:trHeight w:val="186"/>
        </w:trPr>
        <w:tc>
          <w:tcPr>
            <w:tcW w:w="2100" w:type="dxa"/>
            <w:vAlign w:val="bottom"/>
          </w:tcPr>
          <w:p>
            <w:pPr>
              <w:jc w:val="center"/>
              <w:ind w:right="322"/>
              <w:spacing w:after="0"/>
              <w:rPr>
                <w:sz w:val="20"/>
                <w:szCs w:val="20"/>
                <w:color w:val="auto"/>
              </w:rPr>
            </w:pPr>
            <w:r>
              <w:rPr>
                <w:rFonts w:ascii="Arial" w:cs="Arial" w:eastAsia="Arial" w:hAnsi="Arial"/>
                <w:sz w:val="14"/>
                <w:szCs w:val="14"/>
                <w:b w:val="1"/>
                <w:bCs w:val="1"/>
                <w:color w:val="auto"/>
                <w:w w:val="94"/>
              </w:rPr>
              <w:t>of Incorporation)</w:t>
            </w:r>
          </w:p>
        </w:tc>
        <w:tc>
          <w:tcPr>
            <w:tcW w:w="5100" w:type="dxa"/>
            <w:vAlign w:val="bottom"/>
          </w:tcPr>
          <w:p>
            <w:pPr>
              <w:jc w:val="center"/>
              <w:ind w:right="78"/>
              <w:spacing w:after="0"/>
              <w:rPr>
                <w:sz w:val="20"/>
                <w:szCs w:val="20"/>
                <w:color w:val="auto"/>
              </w:rPr>
            </w:pPr>
            <w:r>
              <w:rPr>
                <w:rFonts w:ascii="Arial" w:cs="Arial" w:eastAsia="Arial" w:hAnsi="Arial"/>
                <w:sz w:val="14"/>
                <w:szCs w:val="14"/>
                <w:b w:val="1"/>
                <w:bCs w:val="1"/>
                <w:color w:val="auto"/>
                <w:w w:val="95"/>
              </w:rPr>
              <w:t>File Number)</w:t>
            </w:r>
          </w:p>
        </w:tc>
        <w:tc>
          <w:tcPr>
            <w:tcW w:w="1680" w:type="dxa"/>
            <w:vAlign w:val="bottom"/>
          </w:tcPr>
          <w:p>
            <w:pPr>
              <w:jc w:val="center"/>
              <w:ind w:left="462"/>
              <w:spacing w:after="0"/>
              <w:rPr>
                <w:sz w:val="20"/>
                <w:szCs w:val="20"/>
                <w:color w:val="auto"/>
              </w:rPr>
            </w:pPr>
            <w:r>
              <w:rPr>
                <w:rFonts w:ascii="Arial" w:cs="Arial" w:eastAsia="Arial" w:hAnsi="Arial"/>
                <w:sz w:val="14"/>
                <w:szCs w:val="14"/>
                <w:b w:val="1"/>
                <w:bCs w:val="1"/>
                <w:color w:val="auto"/>
                <w:w w:val="96"/>
              </w:rPr>
              <w:t>Identification No.)</w:t>
            </w:r>
          </w:p>
        </w:tc>
      </w:tr>
      <w:tr>
        <w:trPr>
          <w:trHeight w:val="439"/>
        </w:trPr>
        <w:tc>
          <w:tcPr>
            <w:tcW w:w="2100" w:type="dxa"/>
            <w:vAlign w:val="bottom"/>
          </w:tcPr>
          <w:p>
            <w:pPr>
              <w:spacing w:after="0"/>
              <w:rPr>
                <w:sz w:val="24"/>
                <w:szCs w:val="24"/>
                <w:color w:val="auto"/>
              </w:rPr>
            </w:pPr>
          </w:p>
        </w:tc>
        <w:tc>
          <w:tcPr>
            <w:tcW w:w="5100" w:type="dxa"/>
            <w:vAlign w:val="bottom"/>
          </w:tcPr>
          <w:p>
            <w:pPr>
              <w:jc w:val="center"/>
              <w:ind w:right="58"/>
              <w:spacing w:after="0"/>
              <w:rPr>
                <w:sz w:val="20"/>
                <w:szCs w:val="20"/>
                <w:color w:val="auto"/>
              </w:rPr>
            </w:pPr>
            <w:r>
              <w:rPr>
                <w:rFonts w:ascii="Arial" w:cs="Arial" w:eastAsia="Arial" w:hAnsi="Arial"/>
                <w:sz w:val="18"/>
                <w:szCs w:val="18"/>
                <w:b w:val="1"/>
                <w:bCs w:val="1"/>
                <w:color w:val="auto"/>
                <w:w w:val="88"/>
              </w:rPr>
              <w:t>401 SW 5</w:t>
            </w:r>
            <w:r>
              <w:rPr>
                <w:rFonts w:ascii="Arial" w:cs="Arial" w:eastAsia="Arial" w:hAnsi="Arial"/>
                <w:sz w:val="23"/>
                <w:szCs w:val="23"/>
                <w:b w:val="1"/>
                <w:bCs w:val="1"/>
                <w:color w:val="auto"/>
                <w:w w:val="88"/>
                <w:vertAlign w:val="superscript"/>
              </w:rPr>
              <w:t>th</w:t>
            </w:r>
            <w:r>
              <w:rPr>
                <w:rFonts w:ascii="Arial" w:cs="Arial" w:eastAsia="Arial" w:hAnsi="Arial"/>
                <w:sz w:val="18"/>
                <w:szCs w:val="18"/>
                <w:b w:val="1"/>
                <w:bCs w:val="1"/>
                <w:color w:val="auto"/>
                <w:w w:val="88"/>
              </w:rPr>
              <w:t xml:space="preserve"> Ave</w:t>
            </w:r>
          </w:p>
        </w:tc>
        <w:tc>
          <w:tcPr>
            <w:tcW w:w="1680" w:type="dxa"/>
            <w:vAlign w:val="bottom"/>
          </w:tcPr>
          <w:p>
            <w:pPr>
              <w:spacing w:after="0"/>
              <w:rPr>
                <w:sz w:val="24"/>
                <w:szCs w:val="24"/>
                <w:color w:val="auto"/>
              </w:rPr>
            </w:pPr>
          </w:p>
        </w:tc>
      </w:tr>
      <w:tr>
        <w:trPr>
          <w:trHeight w:val="212"/>
        </w:trPr>
        <w:tc>
          <w:tcPr>
            <w:tcW w:w="2100" w:type="dxa"/>
            <w:vAlign w:val="bottom"/>
          </w:tcPr>
          <w:p>
            <w:pPr>
              <w:spacing w:after="0"/>
              <w:rPr>
                <w:sz w:val="18"/>
                <w:szCs w:val="18"/>
                <w:color w:val="auto"/>
              </w:rPr>
            </w:pPr>
          </w:p>
        </w:tc>
        <w:tc>
          <w:tcPr>
            <w:tcW w:w="5100" w:type="dxa"/>
            <w:vAlign w:val="bottom"/>
          </w:tcPr>
          <w:p>
            <w:pPr>
              <w:jc w:val="center"/>
              <w:ind w:right="58"/>
              <w:spacing w:after="0"/>
              <w:rPr>
                <w:sz w:val="20"/>
                <w:szCs w:val="20"/>
                <w:color w:val="auto"/>
              </w:rPr>
            </w:pPr>
            <w:r>
              <w:rPr>
                <w:rFonts w:ascii="Arial" w:cs="Arial" w:eastAsia="Arial" w:hAnsi="Arial"/>
                <w:sz w:val="18"/>
                <w:szCs w:val="18"/>
                <w:b w:val="1"/>
                <w:bCs w:val="1"/>
                <w:color w:val="auto"/>
                <w:w w:val="91"/>
              </w:rPr>
              <w:t>Portland, Oregon 97204</w:t>
            </w:r>
          </w:p>
        </w:tc>
        <w:tc>
          <w:tcPr>
            <w:tcW w:w="1680" w:type="dxa"/>
            <w:vAlign w:val="bottom"/>
          </w:tcPr>
          <w:p>
            <w:pPr>
              <w:spacing w:after="0"/>
              <w:rPr>
                <w:sz w:val="18"/>
                <w:szCs w:val="18"/>
                <w:color w:val="auto"/>
              </w:rPr>
            </w:pPr>
          </w:p>
        </w:tc>
      </w:tr>
      <w:tr>
        <w:trPr>
          <w:trHeight w:val="186"/>
        </w:trPr>
        <w:tc>
          <w:tcPr>
            <w:tcW w:w="2100" w:type="dxa"/>
            <w:vAlign w:val="bottom"/>
          </w:tcPr>
          <w:p>
            <w:pPr>
              <w:spacing w:after="0"/>
              <w:rPr>
                <w:sz w:val="16"/>
                <w:szCs w:val="16"/>
                <w:color w:val="auto"/>
              </w:rPr>
            </w:pPr>
          </w:p>
        </w:tc>
        <w:tc>
          <w:tcPr>
            <w:tcW w:w="5100" w:type="dxa"/>
            <w:vAlign w:val="bottom"/>
          </w:tcPr>
          <w:p>
            <w:pPr>
              <w:jc w:val="center"/>
              <w:ind w:right="58"/>
              <w:spacing w:after="0"/>
              <w:rPr>
                <w:sz w:val="20"/>
                <w:szCs w:val="20"/>
                <w:color w:val="auto"/>
              </w:rPr>
            </w:pPr>
            <w:r>
              <w:rPr>
                <w:rFonts w:ascii="Arial" w:cs="Arial" w:eastAsia="Arial" w:hAnsi="Arial"/>
                <w:sz w:val="14"/>
                <w:szCs w:val="14"/>
                <w:b w:val="1"/>
                <w:bCs w:val="1"/>
                <w:color w:val="auto"/>
                <w:w w:val="93"/>
              </w:rPr>
              <w:t>(Address of Principal Executive Offices) (Zip Code)</w:t>
            </w:r>
          </w:p>
        </w:tc>
        <w:tc>
          <w:tcPr>
            <w:tcW w:w="1680" w:type="dxa"/>
            <w:vAlign w:val="bottom"/>
          </w:tcPr>
          <w:p>
            <w:pPr>
              <w:spacing w:after="0"/>
              <w:rPr>
                <w:sz w:val="16"/>
                <w:szCs w:val="16"/>
                <w:color w:val="auto"/>
              </w:rPr>
            </w:pPr>
          </w:p>
        </w:tc>
      </w:tr>
      <w:tr>
        <w:trPr>
          <w:trHeight w:val="300"/>
        </w:trPr>
        <w:tc>
          <w:tcPr>
            <w:tcW w:w="2100" w:type="dxa"/>
            <w:vAlign w:val="bottom"/>
          </w:tcPr>
          <w:p>
            <w:pPr>
              <w:spacing w:after="0"/>
              <w:rPr>
                <w:sz w:val="24"/>
                <w:szCs w:val="24"/>
                <w:color w:val="auto"/>
              </w:rPr>
            </w:pPr>
          </w:p>
        </w:tc>
        <w:tc>
          <w:tcPr>
            <w:tcW w:w="5100" w:type="dxa"/>
            <w:vAlign w:val="bottom"/>
          </w:tcPr>
          <w:p>
            <w:pPr>
              <w:jc w:val="center"/>
              <w:ind w:right="58"/>
              <w:spacing w:after="0"/>
              <w:rPr>
                <w:sz w:val="20"/>
                <w:szCs w:val="20"/>
                <w:color w:val="auto"/>
              </w:rPr>
            </w:pPr>
            <w:r>
              <w:rPr>
                <w:rFonts w:ascii="Arial" w:cs="Arial" w:eastAsia="Arial" w:hAnsi="Arial"/>
                <w:sz w:val="18"/>
                <w:szCs w:val="18"/>
                <w:b w:val="1"/>
                <w:bCs w:val="1"/>
                <w:color w:val="auto"/>
                <w:w w:val="90"/>
              </w:rPr>
              <w:t>(971) 365-3939</w:t>
            </w:r>
          </w:p>
        </w:tc>
        <w:tc>
          <w:tcPr>
            <w:tcW w:w="1680" w:type="dxa"/>
            <w:vAlign w:val="bottom"/>
          </w:tcPr>
          <w:p>
            <w:pPr>
              <w:spacing w:after="0"/>
              <w:rPr>
                <w:sz w:val="24"/>
                <w:szCs w:val="24"/>
                <w:color w:val="auto"/>
              </w:rPr>
            </w:pPr>
          </w:p>
        </w:tc>
      </w:tr>
      <w:tr>
        <w:trPr>
          <w:trHeight w:val="186"/>
        </w:trPr>
        <w:tc>
          <w:tcPr>
            <w:tcW w:w="2100" w:type="dxa"/>
            <w:vAlign w:val="bottom"/>
          </w:tcPr>
          <w:p>
            <w:pPr>
              <w:spacing w:after="0"/>
              <w:rPr>
                <w:sz w:val="16"/>
                <w:szCs w:val="16"/>
                <w:color w:val="auto"/>
              </w:rPr>
            </w:pPr>
          </w:p>
        </w:tc>
        <w:tc>
          <w:tcPr>
            <w:tcW w:w="5100" w:type="dxa"/>
            <w:vAlign w:val="bottom"/>
          </w:tcPr>
          <w:p>
            <w:pPr>
              <w:jc w:val="center"/>
              <w:ind w:right="58"/>
              <w:spacing w:after="0"/>
              <w:rPr>
                <w:sz w:val="20"/>
                <w:szCs w:val="20"/>
                <w:color w:val="auto"/>
              </w:rPr>
            </w:pPr>
            <w:r>
              <w:rPr>
                <w:rFonts w:ascii="Arial" w:cs="Arial" w:eastAsia="Arial" w:hAnsi="Arial"/>
                <w:sz w:val="14"/>
                <w:szCs w:val="14"/>
                <w:b w:val="1"/>
                <w:bCs w:val="1"/>
                <w:color w:val="auto"/>
                <w:w w:val="91"/>
              </w:rPr>
              <w:t>(Registrant’s telephone number, including area code)</w:t>
            </w:r>
          </w:p>
        </w:tc>
        <w:tc>
          <w:tcPr>
            <w:tcW w:w="1680" w:type="dxa"/>
            <w:vAlign w:val="bottom"/>
          </w:tcPr>
          <w:p>
            <w:pPr>
              <w:spacing w:after="0"/>
              <w:rPr>
                <w:sz w:val="16"/>
                <w:szCs w:val="16"/>
                <w:color w:val="auto"/>
              </w:rPr>
            </w:pPr>
          </w:p>
        </w:tc>
      </w:tr>
      <w:tr>
        <w:trPr>
          <w:trHeight w:val="300"/>
        </w:trPr>
        <w:tc>
          <w:tcPr>
            <w:tcW w:w="2100" w:type="dxa"/>
            <w:vAlign w:val="bottom"/>
          </w:tcPr>
          <w:p>
            <w:pPr>
              <w:spacing w:after="0"/>
              <w:rPr>
                <w:sz w:val="24"/>
                <w:szCs w:val="24"/>
                <w:color w:val="auto"/>
              </w:rPr>
            </w:pPr>
          </w:p>
        </w:tc>
        <w:tc>
          <w:tcPr>
            <w:tcW w:w="5100" w:type="dxa"/>
            <w:vAlign w:val="bottom"/>
          </w:tcPr>
          <w:p>
            <w:pPr>
              <w:jc w:val="center"/>
              <w:ind w:right="58"/>
              <w:spacing w:after="0"/>
              <w:rPr>
                <w:sz w:val="20"/>
                <w:szCs w:val="20"/>
                <w:color w:val="auto"/>
              </w:rPr>
            </w:pPr>
            <w:r>
              <w:rPr>
                <w:rFonts w:ascii="Arial" w:cs="Arial" w:eastAsia="Arial" w:hAnsi="Arial"/>
                <w:sz w:val="18"/>
                <w:szCs w:val="18"/>
                <w:b w:val="1"/>
                <w:bCs w:val="1"/>
                <w:color w:val="auto"/>
                <w:w w:val="90"/>
              </w:rPr>
              <w:t>Not applicable</w:t>
            </w:r>
          </w:p>
        </w:tc>
        <w:tc>
          <w:tcPr>
            <w:tcW w:w="1680" w:type="dxa"/>
            <w:vAlign w:val="bottom"/>
          </w:tcPr>
          <w:p>
            <w:pPr>
              <w:spacing w:after="0"/>
              <w:rPr>
                <w:sz w:val="24"/>
                <w:szCs w:val="24"/>
                <w:color w:val="auto"/>
              </w:rPr>
            </w:pPr>
          </w:p>
        </w:tc>
      </w:tr>
      <w:tr>
        <w:trPr>
          <w:trHeight w:val="186"/>
        </w:trPr>
        <w:tc>
          <w:tcPr>
            <w:tcW w:w="2100" w:type="dxa"/>
            <w:vAlign w:val="bottom"/>
          </w:tcPr>
          <w:p>
            <w:pPr>
              <w:spacing w:after="0"/>
              <w:rPr>
                <w:sz w:val="16"/>
                <w:szCs w:val="16"/>
                <w:color w:val="auto"/>
              </w:rPr>
            </w:pPr>
          </w:p>
        </w:tc>
        <w:tc>
          <w:tcPr>
            <w:tcW w:w="5100" w:type="dxa"/>
            <w:vAlign w:val="bottom"/>
          </w:tcPr>
          <w:p>
            <w:pPr>
              <w:jc w:val="center"/>
              <w:ind w:right="38"/>
              <w:spacing w:after="0"/>
              <w:rPr>
                <w:sz w:val="20"/>
                <w:szCs w:val="20"/>
                <w:color w:val="auto"/>
              </w:rPr>
            </w:pPr>
            <w:r>
              <w:rPr>
                <w:rFonts w:ascii="Arial" w:cs="Arial" w:eastAsia="Arial" w:hAnsi="Arial"/>
                <w:sz w:val="14"/>
                <w:szCs w:val="14"/>
                <w:b w:val="1"/>
                <w:bCs w:val="1"/>
                <w:color w:val="auto"/>
                <w:w w:val="93"/>
              </w:rPr>
              <w:t>(Former Name or Former Address, if Changed Since Last Report)</w:t>
            </w:r>
          </w:p>
        </w:tc>
        <w:tc>
          <w:tcPr>
            <w:tcW w:w="1680" w:type="dxa"/>
            <w:vAlign w:val="bottom"/>
          </w:tcPr>
          <w:p>
            <w:pPr>
              <w:spacing w:after="0"/>
              <w:rPr>
                <w:sz w:val="16"/>
                <w:szCs w:val="16"/>
                <w:color w:val="auto"/>
              </w:rPr>
            </w:pPr>
          </w:p>
        </w:tc>
      </w:tr>
    </w:tbl>
    <w:p>
      <w:pPr>
        <w:spacing w:after="0" w:line="92" w:lineRule="exact"/>
        <w:rPr>
          <w:sz w:val="24"/>
          <w:szCs w:val="24"/>
          <w:color w:val="auto"/>
        </w:rPr>
      </w:pPr>
    </w:p>
    <w:p>
      <w:pPr>
        <w:ind w:right="680"/>
        <w:spacing w:after="0" w:line="262"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34" w:lineRule="exact"/>
        <w:rPr>
          <w:sz w:val="24"/>
          <w:szCs w:val="24"/>
          <w:color w:val="auto"/>
        </w:rPr>
      </w:pPr>
    </w:p>
    <w:p>
      <w:pPr>
        <w:ind w:left="420" w:hanging="394"/>
        <w:spacing w:after="0"/>
        <w:tabs>
          <w:tab w:leader="none" w:pos="4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44" w:lineRule="exact"/>
        <w:rPr>
          <w:rFonts w:ascii="MS PGothic" w:cs="MS PGothic" w:eastAsia="MS PGothic" w:hAnsi="MS PGothic"/>
          <w:sz w:val="18"/>
          <w:szCs w:val="18"/>
          <w:color w:val="auto"/>
        </w:rPr>
      </w:pPr>
    </w:p>
    <w:p>
      <w:pPr>
        <w:ind w:left="420" w:hanging="394"/>
        <w:spacing w:after="0"/>
        <w:tabs>
          <w:tab w:leader="none" w:pos="4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44" w:lineRule="exact"/>
        <w:rPr>
          <w:rFonts w:ascii="MS PGothic" w:cs="MS PGothic" w:eastAsia="MS PGothic" w:hAnsi="MS PGothic"/>
          <w:sz w:val="18"/>
          <w:szCs w:val="18"/>
          <w:color w:val="auto"/>
        </w:rPr>
      </w:pPr>
    </w:p>
    <w:p>
      <w:pPr>
        <w:ind w:left="420" w:hanging="394"/>
        <w:spacing w:after="0"/>
        <w:tabs>
          <w:tab w:leader="none" w:pos="4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44" w:lineRule="exact"/>
        <w:rPr>
          <w:rFonts w:ascii="MS PGothic" w:cs="MS PGothic" w:eastAsia="MS PGothic" w:hAnsi="MS PGothic"/>
          <w:sz w:val="18"/>
          <w:szCs w:val="18"/>
          <w:color w:val="auto"/>
        </w:rPr>
      </w:pPr>
    </w:p>
    <w:p>
      <w:pPr>
        <w:ind w:left="420" w:hanging="394"/>
        <w:spacing w:after="0"/>
        <w:tabs>
          <w:tab w:leader="none" w:pos="4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12"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55" w:lineRule="exact"/>
        <w:rPr>
          <w:sz w:val="24"/>
          <w:szCs w:val="24"/>
          <w:color w:val="auto"/>
        </w:rPr>
      </w:pPr>
    </w:p>
    <w:tbl>
      <w:tblPr>
        <w:tblLayout w:type="fixed"/>
        <w:tblInd w:w="0" w:type="dxa"/>
        <w:tblCellMar>
          <w:top w:w="0" w:type="dxa"/>
          <w:left w:w="0" w:type="dxa"/>
          <w:bottom w:w="0" w:type="dxa"/>
          <w:right w:w="0" w:type="dxa"/>
        </w:tblCellMar>
      </w:tblPr>
      <w:tr>
        <w:trPr>
          <w:trHeight w:val="162"/>
        </w:trPr>
        <w:tc>
          <w:tcPr>
            <w:tcW w:w="3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680" w:type="dxa"/>
            <w:vAlign w:val="bottom"/>
            <w:gridSpan w:val="2"/>
          </w:tcPr>
          <w:p>
            <w:pPr>
              <w:ind w:left="1520"/>
              <w:spacing w:after="0"/>
              <w:rPr>
                <w:sz w:val="20"/>
                <w:szCs w:val="20"/>
                <w:color w:val="auto"/>
              </w:rPr>
            </w:pPr>
            <w:r>
              <w:rPr>
                <w:rFonts w:ascii="Arial" w:cs="Arial" w:eastAsia="Arial" w:hAnsi="Arial"/>
                <w:sz w:val="14"/>
                <w:szCs w:val="14"/>
                <w:b w:val="1"/>
                <w:bCs w:val="1"/>
                <w:color w:val="auto"/>
              </w:rPr>
              <w:t>Trading</w:t>
            </w:r>
          </w:p>
        </w:tc>
        <w:tc>
          <w:tcPr>
            <w:tcW w:w="3600" w:type="dxa"/>
            <w:vAlign w:val="bottom"/>
          </w:tcPr>
          <w:p>
            <w:pPr>
              <w:jc w:val="center"/>
              <w:spacing w:after="0"/>
              <w:rPr>
                <w:sz w:val="20"/>
                <w:szCs w:val="20"/>
                <w:color w:val="auto"/>
              </w:rPr>
            </w:pPr>
            <w:r>
              <w:rPr>
                <w:rFonts w:ascii="Arial" w:cs="Arial" w:eastAsia="Arial" w:hAnsi="Arial"/>
                <w:sz w:val="14"/>
                <w:szCs w:val="14"/>
                <w:b w:val="1"/>
                <w:bCs w:val="1"/>
                <w:color w:val="auto"/>
                <w:w w:val="90"/>
              </w:rPr>
              <w:t>Name of each exchange</w:t>
            </w:r>
          </w:p>
        </w:tc>
      </w:tr>
      <w:tr>
        <w:trPr>
          <w:trHeight w:val="200"/>
        </w:trPr>
        <w:tc>
          <w:tcPr>
            <w:tcW w:w="39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9"/>
              </w:rPr>
              <w:t>Title of each class</w:t>
            </w:r>
          </w:p>
        </w:tc>
        <w:tc>
          <w:tcPr>
            <w:tcW w:w="3680" w:type="dxa"/>
            <w:vAlign w:val="bottom"/>
            <w:gridSpan w:val="2"/>
          </w:tcPr>
          <w:p>
            <w:pPr>
              <w:ind w:left="1520"/>
              <w:spacing w:after="0"/>
              <w:rPr>
                <w:sz w:val="20"/>
                <w:szCs w:val="20"/>
                <w:color w:val="auto"/>
              </w:rPr>
            </w:pPr>
            <w:r>
              <w:rPr>
                <w:rFonts w:ascii="Arial" w:cs="Arial" w:eastAsia="Arial" w:hAnsi="Arial"/>
                <w:sz w:val="14"/>
                <w:szCs w:val="14"/>
                <w:b w:val="1"/>
                <w:bCs w:val="1"/>
                <w:color w:val="auto"/>
              </w:rPr>
              <w:t>Symbols</w:t>
            </w:r>
          </w:p>
        </w:tc>
        <w:tc>
          <w:tcPr>
            <w:tcW w:w="3600" w:type="dxa"/>
            <w:vAlign w:val="bottom"/>
          </w:tcPr>
          <w:p>
            <w:pPr>
              <w:jc w:val="center"/>
              <w:spacing w:after="0"/>
              <w:rPr>
                <w:sz w:val="20"/>
                <w:szCs w:val="20"/>
                <w:color w:val="auto"/>
              </w:rPr>
            </w:pPr>
            <w:r>
              <w:rPr>
                <w:rFonts w:ascii="Arial" w:cs="Arial" w:eastAsia="Arial" w:hAnsi="Arial"/>
                <w:sz w:val="14"/>
                <w:szCs w:val="14"/>
                <w:b w:val="1"/>
                <w:bCs w:val="1"/>
                <w:color w:val="auto"/>
                <w:w w:val="90"/>
              </w:rPr>
              <w:t>on which registered</w:t>
            </w:r>
          </w:p>
        </w:tc>
      </w:tr>
      <w:tr>
        <w:trPr>
          <w:trHeight w:val="25"/>
        </w:trPr>
        <w:tc>
          <w:tcPr>
            <w:tcW w:w="38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35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3600" w:type="dxa"/>
            <w:vAlign w:val="bottom"/>
            <w:tcBorders>
              <w:bottom w:val="single" w:sz="8" w:color="auto"/>
            </w:tcBorders>
          </w:tcPr>
          <w:p>
            <w:pPr>
              <w:spacing w:after="0"/>
              <w:rPr>
                <w:sz w:val="2"/>
                <w:szCs w:val="2"/>
                <w:color w:val="auto"/>
              </w:rPr>
            </w:pPr>
          </w:p>
        </w:tc>
      </w:tr>
      <w:tr>
        <w:trPr>
          <w:trHeight w:val="205"/>
        </w:trPr>
        <w:tc>
          <w:tcPr>
            <w:tcW w:w="3960" w:type="dxa"/>
            <w:vAlign w:val="bottom"/>
            <w:gridSpan w:val="2"/>
          </w:tcPr>
          <w:p>
            <w:pPr>
              <w:jc w:val="center"/>
              <w:ind w:right="140"/>
              <w:spacing w:after="0" w:line="205" w:lineRule="exact"/>
              <w:rPr>
                <w:sz w:val="20"/>
                <w:szCs w:val="20"/>
                <w:color w:val="auto"/>
              </w:rPr>
            </w:pPr>
            <w:r>
              <w:rPr>
                <w:rFonts w:ascii="Arial" w:cs="Arial" w:eastAsia="Arial" w:hAnsi="Arial"/>
                <w:sz w:val="18"/>
                <w:szCs w:val="18"/>
                <w:b w:val="1"/>
                <w:bCs w:val="1"/>
                <w:color w:val="auto"/>
                <w:w w:val="90"/>
              </w:rPr>
              <w:t>Class A Common Stock, par value $0.0001 per</w:t>
            </w:r>
          </w:p>
        </w:tc>
        <w:tc>
          <w:tcPr>
            <w:tcW w:w="3680" w:type="dxa"/>
            <w:vAlign w:val="bottom"/>
            <w:gridSpan w:val="2"/>
          </w:tcPr>
          <w:p>
            <w:pPr>
              <w:ind w:left="1520"/>
              <w:spacing w:after="0" w:line="205" w:lineRule="exact"/>
              <w:rPr>
                <w:sz w:val="20"/>
                <w:szCs w:val="20"/>
                <w:color w:val="auto"/>
              </w:rPr>
            </w:pPr>
            <w:r>
              <w:rPr>
                <w:rFonts w:ascii="Arial" w:cs="Arial" w:eastAsia="Arial" w:hAnsi="Arial"/>
                <w:sz w:val="18"/>
                <w:szCs w:val="18"/>
                <w:b w:val="1"/>
                <w:bCs w:val="1"/>
                <w:color w:val="auto"/>
              </w:rPr>
              <w:t>EXFY</w:t>
            </w:r>
          </w:p>
        </w:tc>
        <w:tc>
          <w:tcPr>
            <w:tcW w:w="3600" w:type="dxa"/>
            <w:vAlign w:val="bottom"/>
          </w:tcPr>
          <w:p>
            <w:pPr>
              <w:jc w:val="center"/>
              <w:spacing w:after="0" w:line="205" w:lineRule="exact"/>
              <w:rPr>
                <w:sz w:val="20"/>
                <w:szCs w:val="20"/>
                <w:color w:val="auto"/>
              </w:rPr>
            </w:pPr>
            <w:r>
              <w:rPr>
                <w:rFonts w:ascii="Arial" w:cs="Arial" w:eastAsia="Arial" w:hAnsi="Arial"/>
                <w:sz w:val="18"/>
                <w:szCs w:val="18"/>
                <w:b w:val="1"/>
                <w:bCs w:val="1"/>
                <w:color w:val="auto"/>
                <w:w w:val="94"/>
              </w:rPr>
              <w:t>The Nasdaq Stock Market LLC</w:t>
            </w:r>
          </w:p>
        </w:tc>
      </w:tr>
      <w:tr>
        <w:trPr>
          <w:trHeight w:val="234"/>
        </w:trPr>
        <w:tc>
          <w:tcPr>
            <w:tcW w:w="396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7"/>
              </w:rPr>
              <w:t>share</w:t>
            </w:r>
          </w:p>
        </w:tc>
        <w:tc>
          <w:tcPr>
            <w:tcW w:w="35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600" w:type="dxa"/>
            <w:vAlign w:val="bottom"/>
          </w:tcPr>
          <w:p>
            <w:pPr>
              <w:spacing w:after="0"/>
              <w:rPr>
                <w:sz w:val="20"/>
                <w:szCs w:val="20"/>
                <w:color w:val="auto"/>
              </w:rPr>
            </w:pPr>
          </w:p>
        </w:tc>
      </w:tr>
    </w:tbl>
    <w:p>
      <w:pPr>
        <w:spacing w:after="0" w:line="94" w:lineRule="exact"/>
        <w:rPr>
          <w:sz w:val="24"/>
          <w:szCs w:val="24"/>
          <w:color w:val="auto"/>
        </w:rPr>
      </w:pPr>
    </w:p>
    <w:p>
      <w:pPr>
        <w:ind w:right="5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30"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150" w:lineRule="exact"/>
        <w:rPr>
          <w:sz w:val="24"/>
          <w:szCs w:val="24"/>
          <w:color w:val="auto"/>
        </w:rPr>
      </w:pPr>
    </w:p>
    <w:p>
      <w:pPr>
        <w:ind w:right="16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ectPr>
          <w:pgSz w:w="11900" w:h="16838" w:orient="portrait"/>
          <w:cols w:equalWidth="0" w:num="1">
            <w:col w:w="11240"/>
          </w:cols>
          <w:pgMar w:left="320" w:top="1440" w:right="3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5.03. Amendments to Articles of Incorporation or Bylaws; Change in Fiscal Year.</w:t>
      </w:r>
    </w:p>
    <w:p>
      <w:pPr>
        <w:spacing w:after="0" w:line="108" w:lineRule="exact"/>
        <w:rPr>
          <w:sz w:val="20"/>
          <w:szCs w:val="20"/>
          <w:color w:val="auto"/>
        </w:rPr>
      </w:pPr>
    </w:p>
    <w:p>
      <w:pPr>
        <w:ind w:right="60"/>
        <w:spacing w:after="0" w:line="262" w:lineRule="auto"/>
        <w:rPr>
          <w:sz w:val="20"/>
          <w:szCs w:val="20"/>
          <w:color w:val="auto"/>
        </w:rPr>
      </w:pPr>
      <w:r>
        <w:rPr>
          <w:rFonts w:ascii="Arial" w:cs="Arial" w:eastAsia="Arial" w:hAnsi="Arial"/>
          <w:sz w:val="17"/>
          <w:szCs w:val="17"/>
          <w:color w:val="auto"/>
        </w:rPr>
        <w:t>On November 15, 2021, Expensify, Inc. (the “Company”) filed an Amended and Restated Certificate of Incorporation (the “Certificate of Incorporation”) with the Secretary of State of the State of Delaware and the Company’s Amended and Restated Bylaws (the “Bylaws”) became effective on such date. The Company’s board of directors and, with respect to the Certificate of Incorporation, stockholders previously approved the amendment and restatement of these documents to be effective prior to the closing of the Company’s initial public offering.</w:t>
      </w:r>
    </w:p>
    <w:p>
      <w:pPr>
        <w:spacing w:after="0" w:line="172"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The Certificate of Incorporation and the Bylaws are filed herewith as Exhibits 3.1 and 3.2, respectively, and are incorporated herein by reference. The terms of the Certificate of Incorporation and the Bylaws are substantially the same as the terms set forth in the forms previously filed as Exhibits 3.3 and 3.5, respectively, to the Company’s registration statement on Form S-1 (File No. 333-260297), as amended (the “Registration Statement”).</w:t>
      </w: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8.01. Other Events.</w:t>
      </w:r>
    </w:p>
    <w:p>
      <w:pPr>
        <w:spacing w:after="0" w:line="108" w:lineRule="exact"/>
        <w:rPr>
          <w:sz w:val="20"/>
          <w:szCs w:val="20"/>
          <w:color w:val="auto"/>
        </w:rPr>
      </w:pPr>
    </w:p>
    <w:p>
      <w:pPr>
        <w:ind w:right="100"/>
        <w:spacing w:after="0" w:line="255" w:lineRule="auto"/>
        <w:rPr>
          <w:sz w:val="20"/>
          <w:szCs w:val="20"/>
          <w:color w:val="auto"/>
        </w:rPr>
      </w:pPr>
      <w:r>
        <w:rPr>
          <w:rFonts w:ascii="Arial" w:cs="Arial" w:eastAsia="Arial" w:hAnsi="Arial"/>
          <w:sz w:val="17"/>
          <w:szCs w:val="17"/>
          <w:color w:val="auto"/>
        </w:rPr>
        <w:t>On November 15, 2021, the Company issued a press release announcing the closing of its initial public offering of 11,190,392 shares of the Company’s Class A common stock, $0.0001 par value per share (the “Class A Common Stock”) at a public offering price of $27.00 per share, pursuant to the Registration Statement. The Company sold 2,608,696 shares of Class A Common Stock, and the selling stockholders sold 8,581,696 shares of Class A Common Stock, including the full exercise of the underwriters’ option to purchase an additional 1,459,616 shares of Class A Common Stock from certain selling stockholders. The gross proceeds to the Company from the initial public offering were approximately $70.4 million, before deducting underwriting discounts and commissions and estimated offering expenses payable by the Company. The Company did not receive any proceeds from the sale of shares of Class A Common Stock in the offering by the selling stockholders.</w:t>
      </w:r>
    </w:p>
    <w:p>
      <w:pPr>
        <w:spacing w:after="0" w:line="72" w:lineRule="exact"/>
        <w:rPr>
          <w:sz w:val="20"/>
          <w:szCs w:val="20"/>
          <w:color w:val="auto"/>
        </w:rPr>
      </w:pPr>
    </w:p>
    <w:p>
      <w:pPr>
        <w:spacing w:after="0"/>
        <w:rPr>
          <w:sz w:val="20"/>
          <w:szCs w:val="20"/>
          <w:color w:val="auto"/>
        </w:rPr>
      </w:pPr>
      <w:r>
        <w:rPr>
          <w:rFonts w:ascii="Arial" w:cs="Arial" w:eastAsia="Arial" w:hAnsi="Arial"/>
          <w:sz w:val="16"/>
          <w:szCs w:val="16"/>
          <w:color w:val="auto"/>
        </w:rPr>
        <w:t>A copy of the Company’s press release announcing the closing of the offering is attached hereto as Exhibit 99.1 and is incorporated herein by reference.</w:t>
      </w:r>
    </w:p>
    <w:p>
      <w:pPr>
        <w:spacing w:after="0" w:line="3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108" w:lineRule="exact"/>
        <w:rPr>
          <w:sz w:val="20"/>
          <w:szCs w:val="20"/>
          <w:color w:val="auto"/>
        </w:rPr>
      </w:pPr>
    </w:p>
    <w:p>
      <w:pPr>
        <w:ind w:left="260" w:hanging="252"/>
        <w:spacing w:after="0"/>
        <w:tabs>
          <w:tab w:leader="none" w:pos="260" w:val="left"/>
        </w:tabs>
        <w:numPr>
          <w:ilvl w:val="0"/>
          <w:numId w:val="2"/>
        </w:numPr>
        <w:rPr>
          <w:rFonts w:ascii="Arial" w:cs="Arial" w:eastAsia="Arial" w:hAnsi="Arial"/>
          <w:sz w:val="18"/>
          <w:szCs w:val="18"/>
          <w:color w:val="auto"/>
        </w:rPr>
      </w:pPr>
      <w:r>
        <w:rPr>
          <w:rFonts w:ascii="Arial" w:cs="Arial" w:eastAsia="Arial" w:hAnsi="Arial"/>
          <w:sz w:val="18"/>
          <w:szCs w:val="18"/>
          <w:u w:val="single" w:color="auto"/>
          <w:color w:val="auto"/>
        </w:rPr>
        <w:t>Exhibits</w:t>
      </w:r>
      <w:r>
        <w:rPr>
          <w:rFonts w:ascii="Arial" w:cs="Arial" w:eastAsia="Arial" w:hAnsi="Arial"/>
          <w:sz w:val="18"/>
          <w:szCs w:val="18"/>
          <w:color w:val="auto"/>
        </w:rPr>
        <w:t>.</w:t>
      </w:r>
    </w:p>
    <w:p>
      <w:pPr>
        <w:spacing w:after="0" w:line="203" w:lineRule="exact"/>
        <w:rPr>
          <w:sz w:val="20"/>
          <w:szCs w:val="20"/>
          <w:color w:val="auto"/>
        </w:rPr>
      </w:pPr>
    </w:p>
    <w:p>
      <w:pPr>
        <w:ind w:left="80"/>
        <w:spacing w:after="0"/>
        <w:tabs>
          <w:tab w:leader="none" w:pos="940" w:val="left"/>
        </w:tabs>
        <w:rPr>
          <w:sz w:val="20"/>
          <w:szCs w:val="20"/>
          <w:color w:val="auto"/>
        </w:rPr>
      </w:pPr>
      <w:r>
        <w:rPr>
          <w:rFonts w:ascii="Arial" w:cs="Arial" w:eastAsia="Arial" w:hAnsi="Arial"/>
          <w:sz w:val="14"/>
          <w:szCs w:val="14"/>
          <w:b w:val="1"/>
          <w:bCs w:val="1"/>
          <w:color w:val="auto"/>
        </w:rPr>
        <w:t>Exhibit No.</w:t>
      </w:r>
      <w:r>
        <w:rPr>
          <w:sz w:val="20"/>
          <w:szCs w:val="20"/>
          <w:color w:val="auto"/>
        </w:rPr>
        <w:tab/>
      </w:r>
      <w:r>
        <w:rPr>
          <w:rFonts w:ascii="Arial" w:cs="Arial" w:eastAsia="Arial" w:hAnsi="Arial"/>
          <w:sz w:val="12"/>
          <w:szCs w:val="12"/>
          <w:b w:val="1"/>
          <w:bCs w:val="1"/>
          <w:color w:val="auto"/>
        </w:rPr>
        <w:t>Description</w:t>
      </w:r>
    </w:p>
    <w:p>
      <w:pPr>
        <w:spacing w:after="0" w:line="117" w:lineRule="exact"/>
        <w:rPr>
          <w:sz w:val="20"/>
          <w:szCs w:val="20"/>
          <w:color w:val="auto"/>
        </w:rPr>
      </w:pPr>
    </w:p>
    <w:p>
      <w:pPr>
        <w:ind w:left="320"/>
        <w:spacing w:after="0"/>
        <w:tabs>
          <w:tab w:leader="none" w:pos="940" w:val="left"/>
        </w:tabs>
        <w:rPr>
          <w:rFonts w:ascii="Arial" w:cs="Arial" w:eastAsia="Arial" w:hAnsi="Arial"/>
          <w:sz w:val="16"/>
          <w:szCs w:val="16"/>
          <w:u w:val="single" w:color="auto"/>
          <w:color w:val="0000FF"/>
        </w:rPr>
      </w:pPr>
      <w:r>
        <w:rPr>
          <w:rFonts w:ascii="Arial" w:cs="Arial" w:eastAsia="Arial" w:hAnsi="Arial"/>
          <w:sz w:val="18"/>
          <w:szCs w:val="18"/>
          <w:color w:val="auto"/>
        </w:rPr>
        <w:t>3.1</w:t>
      </w:r>
      <w:r>
        <w:rPr>
          <w:sz w:val="20"/>
          <w:szCs w:val="20"/>
          <w:color w:val="auto"/>
        </w:rPr>
        <w:tab/>
      </w:r>
      <w:hyperlink w:anchor="page4">
        <w:r>
          <w:rPr>
            <w:rFonts w:ascii="Arial" w:cs="Arial" w:eastAsia="Arial" w:hAnsi="Arial"/>
            <w:sz w:val="16"/>
            <w:szCs w:val="16"/>
            <w:u w:val="single" w:color="auto"/>
            <w:color w:val="0000FF"/>
          </w:rPr>
          <w:t>Amended and Restated Certificate of Incorporation of Expensify, Inc.</w:t>
        </w:r>
      </w:hyperlink>
    </w:p>
    <w:p>
      <w:pPr>
        <w:spacing w:after="0" w:line="104" w:lineRule="exact"/>
        <w:rPr>
          <w:sz w:val="20"/>
          <w:szCs w:val="20"/>
          <w:color w:val="auto"/>
        </w:rPr>
      </w:pPr>
    </w:p>
    <w:p>
      <w:pPr>
        <w:ind w:left="320"/>
        <w:spacing w:after="0"/>
        <w:tabs>
          <w:tab w:leader="none" w:pos="940" w:val="left"/>
        </w:tabs>
        <w:rPr>
          <w:rFonts w:ascii="Arial" w:cs="Arial" w:eastAsia="Arial" w:hAnsi="Arial"/>
          <w:sz w:val="16"/>
          <w:szCs w:val="16"/>
          <w:u w:val="single" w:color="auto"/>
          <w:color w:val="0000FF"/>
        </w:rPr>
      </w:pPr>
      <w:r>
        <w:rPr>
          <w:rFonts w:ascii="Arial" w:cs="Arial" w:eastAsia="Arial" w:hAnsi="Arial"/>
          <w:sz w:val="18"/>
          <w:szCs w:val="18"/>
          <w:color w:val="auto"/>
        </w:rPr>
        <w:t>3.2</w:t>
      </w:r>
      <w:r>
        <w:rPr>
          <w:sz w:val="20"/>
          <w:szCs w:val="20"/>
          <w:color w:val="auto"/>
        </w:rPr>
        <w:tab/>
      </w:r>
      <w:hyperlink w:anchor="page19">
        <w:r>
          <w:rPr>
            <w:rFonts w:ascii="Arial" w:cs="Arial" w:eastAsia="Arial" w:hAnsi="Arial"/>
            <w:sz w:val="16"/>
            <w:szCs w:val="16"/>
            <w:u w:val="single" w:color="auto"/>
            <w:color w:val="0000FF"/>
          </w:rPr>
          <w:t>Amended and Restated Bylaws of Expensify, Inc.</w:t>
        </w:r>
      </w:hyperlink>
    </w:p>
    <w:p>
      <w:pPr>
        <w:spacing w:after="0" w:line="104" w:lineRule="exact"/>
        <w:rPr>
          <w:sz w:val="20"/>
          <w:szCs w:val="20"/>
          <w:color w:val="auto"/>
        </w:rPr>
      </w:pPr>
    </w:p>
    <w:p>
      <w:pPr>
        <w:ind w:left="260"/>
        <w:spacing w:after="0"/>
        <w:tabs>
          <w:tab w:leader="none" w:pos="940" w:val="left"/>
        </w:tabs>
        <w:rPr>
          <w:rFonts w:ascii="Arial" w:cs="Arial" w:eastAsia="Arial" w:hAnsi="Arial"/>
          <w:sz w:val="15"/>
          <w:szCs w:val="15"/>
          <w:u w:val="single" w:color="auto"/>
          <w:color w:val="0000FF"/>
        </w:rPr>
      </w:pPr>
      <w:r>
        <w:rPr>
          <w:rFonts w:ascii="Arial" w:cs="Arial" w:eastAsia="Arial" w:hAnsi="Arial"/>
          <w:sz w:val="18"/>
          <w:szCs w:val="18"/>
          <w:color w:val="auto"/>
        </w:rPr>
        <w:t>99.1</w:t>
      </w:r>
      <w:r>
        <w:rPr>
          <w:sz w:val="20"/>
          <w:szCs w:val="20"/>
          <w:color w:val="auto"/>
        </w:rPr>
        <w:tab/>
      </w:r>
      <w:hyperlink w:anchor="page52">
        <w:r>
          <w:rPr>
            <w:rFonts w:ascii="Arial" w:cs="Arial" w:eastAsia="Arial" w:hAnsi="Arial"/>
            <w:sz w:val="15"/>
            <w:szCs w:val="15"/>
            <w:u w:val="single" w:color="auto"/>
            <w:color w:val="0000FF"/>
          </w:rPr>
          <w:t>Press Release</w:t>
        </w:r>
      </w:hyperlink>
    </w:p>
    <w:p>
      <w:pPr>
        <w:sectPr>
          <w:pgSz w:w="11900" w:h="16838" w:orient="portrait"/>
          <w:cols w:equalWidth="0" w:num="1">
            <w:col w:w="11220"/>
          </w:cols>
          <w:pgMar w:left="320" w:top="1417" w:right="359" w:bottom="1440" w:gutter="0" w:footer="0" w:header="0"/>
        </w:sectPr>
      </w:pPr>
    </w:p>
    <w:bookmarkStart w:id="2" w:name="page3"/>
    <w:bookmarkEnd w:id="2"/>
    <w:p>
      <w:pPr>
        <w:jc w:val="center"/>
        <w:ind w:right="-39"/>
        <w:spacing w:after="0"/>
        <w:rPr>
          <w:sz w:val="20"/>
          <w:szCs w:val="20"/>
          <w:color w:val="auto"/>
        </w:rPr>
      </w:pPr>
      <w:r>
        <w:rPr>
          <w:rFonts w:ascii="Arial" w:cs="Arial" w:eastAsia="Arial" w:hAnsi="Arial"/>
          <w:sz w:val="18"/>
          <w:szCs w:val="18"/>
          <w:b w:val="1"/>
          <w:bCs w:val="1"/>
          <w:u w:val="single" w:color="auto"/>
          <w:color w:val="auto"/>
        </w:rPr>
        <w:t>SIGNATURE</w:t>
      </w:r>
    </w:p>
    <w:p>
      <w:pPr>
        <w:spacing w:after="0" w:line="216"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9" w:lineRule="exact"/>
        <w:rPr>
          <w:sz w:val="20"/>
          <w:szCs w:val="20"/>
          <w:color w:val="auto"/>
        </w:rPr>
      </w:pPr>
    </w:p>
    <w:p>
      <w:pPr>
        <w:ind w:left="8700"/>
        <w:spacing w:after="0"/>
        <w:rPr>
          <w:sz w:val="20"/>
          <w:szCs w:val="20"/>
          <w:color w:val="auto"/>
        </w:rPr>
      </w:pPr>
      <w:r>
        <w:rPr>
          <w:rFonts w:ascii="Arial" w:cs="Arial" w:eastAsia="Arial" w:hAnsi="Arial"/>
          <w:sz w:val="18"/>
          <w:szCs w:val="18"/>
          <w:color w:val="auto"/>
        </w:rPr>
        <w:t>Expensify, Inc.</w:t>
      </w:r>
    </w:p>
    <w:p>
      <w:pPr>
        <w:spacing w:after="0" w:line="266" w:lineRule="exact"/>
        <w:rPr>
          <w:sz w:val="20"/>
          <w:szCs w:val="20"/>
          <w:color w:val="auto"/>
        </w:rPr>
      </w:pPr>
    </w:p>
    <w:p>
      <w:pPr>
        <w:ind w:left="8700"/>
        <w:spacing w:after="0"/>
        <w:tabs>
          <w:tab w:leader="none" w:pos="93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Ryan Schaffer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23495</wp:posOffset>
            </wp:positionV>
            <wp:extent cx="123444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30" w:lineRule="exact"/>
        <w:rPr>
          <w:sz w:val="20"/>
          <w:szCs w:val="20"/>
          <w:color w:val="auto"/>
        </w:rPr>
      </w:pPr>
    </w:p>
    <w:p>
      <w:pPr>
        <w:ind w:left="8700"/>
        <w:spacing w:after="0"/>
        <w:tabs>
          <w:tab w:leader="none" w:pos="930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6"/>
          <w:szCs w:val="16"/>
          <w:color w:val="auto"/>
        </w:rPr>
        <w:t>Ryan Schaffer</w:t>
      </w:r>
    </w:p>
    <w:p>
      <w:pPr>
        <w:spacing w:after="0" w:line="63" w:lineRule="exact"/>
        <w:rPr>
          <w:sz w:val="20"/>
          <w:szCs w:val="20"/>
          <w:color w:val="auto"/>
        </w:rPr>
      </w:pPr>
    </w:p>
    <w:p>
      <w:pPr>
        <w:ind w:left="8700"/>
        <w:spacing w:after="0"/>
        <w:tabs>
          <w:tab w:leader="none" w:pos="9300" w:val="left"/>
        </w:tabs>
        <w:rPr>
          <w:sz w:val="20"/>
          <w:szCs w:val="20"/>
          <w:color w:val="auto"/>
        </w:rPr>
      </w:pPr>
      <w:r>
        <w:rPr>
          <w:rFonts w:ascii="Arial" w:cs="Arial" w:eastAsia="Arial" w:hAnsi="Arial"/>
          <w:sz w:val="18"/>
          <w:szCs w:val="18"/>
          <w:color w:val="auto"/>
        </w:rPr>
        <w:t>Title:</w:t>
        <w:tab/>
        <w:t>Chief Financial Officer</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Date: November 15, 2021</w:t>
      </w:r>
    </w:p>
    <w:p>
      <w:pPr>
        <w:sectPr>
          <w:pgSz w:w="11900" w:h="16838" w:orient="portrait"/>
          <w:cols w:equalWidth="0" w:num="1">
            <w:col w:w="11200"/>
          </w:cols>
          <w:pgMar w:left="320" w:top="1417" w:right="37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AMENDED AND RESTATED</w:t>
      </w:r>
    </w:p>
    <w:p>
      <w:pPr>
        <w:spacing w:after="0" w:line="24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CERTIFICATE OF INCORPORATION OF</w:t>
      </w:r>
    </w:p>
    <w:p>
      <w:pPr>
        <w:spacing w:after="0" w:line="247" w:lineRule="exact"/>
        <w:rPr>
          <w:sz w:val="20"/>
          <w:szCs w:val="20"/>
          <w:color w:val="auto"/>
        </w:rPr>
      </w:pPr>
    </w:p>
    <w:p>
      <w:pPr>
        <w:ind w:left="4740"/>
        <w:spacing w:after="0"/>
        <w:rPr>
          <w:sz w:val="20"/>
          <w:szCs w:val="20"/>
          <w:color w:val="auto"/>
        </w:rPr>
      </w:pPr>
      <w:r>
        <w:rPr>
          <w:rFonts w:ascii="Arial" w:cs="Arial" w:eastAsia="Arial" w:hAnsi="Arial"/>
          <w:sz w:val="22"/>
          <w:szCs w:val="22"/>
          <w:b w:val="1"/>
          <w:bCs w:val="1"/>
          <w:color w:val="auto"/>
        </w:rPr>
        <w:t>EXPENSIFY, INC.</w:t>
      </w:r>
    </w:p>
    <w:p>
      <w:pPr>
        <w:spacing w:after="0" w:line="226" w:lineRule="exact"/>
        <w:rPr>
          <w:sz w:val="20"/>
          <w:szCs w:val="20"/>
          <w:color w:val="auto"/>
        </w:rPr>
      </w:pPr>
    </w:p>
    <w:p>
      <w:pPr>
        <w:ind w:left="20"/>
        <w:spacing w:after="0"/>
        <w:rPr>
          <w:sz w:val="20"/>
          <w:szCs w:val="20"/>
          <w:color w:val="auto"/>
        </w:rPr>
      </w:pPr>
      <w:r>
        <w:rPr>
          <w:rFonts w:ascii="Arial" w:cs="Arial" w:eastAsia="Arial" w:hAnsi="Arial"/>
          <w:sz w:val="19"/>
          <w:szCs w:val="19"/>
          <w:color w:val="auto"/>
        </w:rPr>
        <w:t>Expensify, Inc., a corporation organized and existing under the General Corporation Law of the State of Delaware (the “</w:t>
      </w:r>
      <w:r>
        <w:rPr>
          <w:rFonts w:ascii="Arial" w:cs="Arial" w:eastAsia="Arial" w:hAnsi="Arial"/>
          <w:sz w:val="19"/>
          <w:szCs w:val="19"/>
          <w:u w:val="single" w:color="auto"/>
          <w:color w:val="auto"/>
        </w:rPr>
        <w:t>DGCL</w:t>
      </w:r>
      <w:r>
        <w:rPr>
          <w:rFonts w:ascii="Arial" w:cs="Arial" w:eastAsia="Arial" w:hAnsi="Arial"/>
          <w:sz w:val="19"/>
          <w:szCs w:val="19"/>
          <w:color w:val="auto"/>
        </w:rPr>
        <w:t>”),</w:t>
      </w:r>
    </w:p>
    <w:p>
      <w:pPr>
        <w:spacing w:after="0" w:line="4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hereby certifies as follows:</w:t>
      </w:r>
    </w:p>
    <w:p>
      <w:pPr>
        <w:spacing w:after="0" w:line="188" w:lineRule="exact"/>
        <w:rPr>
          <w:sz w:val="20"/>
          <w:szCs w:val="20"/>
          <w:color w:val="auto"/>
        </w:rPr>
      </w:pPr>
    </w:p>
    <w:p>
      <w:pPr>
        <w:jc w:val="center"/>
        <w:ind w:left="2900" w:right="400" w:hanging="2499"/>
        <w:spacing w:after="0" w:line="274" w:lineRule="auto"/>
        <w:tabs>
          <w:tab w:leader="none" w:pos="619" w:val="left"/>
        </w:tabs>
        <w:numPr>
          <w:ilvl w:val="1"/>
          <w:numId w:val="3"/>
        </w:numPr>
        <w:rPr>
          <w:rFonts w:ascii="Arial" w:cs="Arial" w:eastAsia="Arial" w:hAnsi="Arial"/>
          <w:sz w:val="21"/>
          <w:szCs w:val="21"/>
          <w:color w:val="auto"/>
        </w:rPr>
      </w:pPr>
      <w:r>
        <w:rPr>
          <w:rFonts w:ascii="Arial" w:cs="Arial" w:eastAsia="Arial" w:hAnsi="Arial"/>
          <w:sz w:val="21"/>
          <w:szCs w:val="21"/>
          <w:color w:val="auto"/>
        </w:rPr>
        <w:t>The name of the corporation is Expensify, Inc. The date of the filing of its original certificate of incorporation with the Secretary of State of the State of Delaware was April 29, 2009.</w:t>
      </w:r>
    </w:p>
    <w:p>
      <w:pPr>
        <w:spacing w:after="0" w:line="150" w:lineRule="exact"/>
        <w:rPr>
          <w:rFonts w:ascii="Arial" w:cs="Arial" w:eastAsia="Arial" w:hAnsi="Arial"/>
          <w:sz w:val="21"/>
          <w:szCs w:val="21"/>
          <w:color w:val="auto"/>
        </w:rPr>
      </w:pPr>
    </w:p>
    <w:p>
      <w:pPr>
        <w:ind w:left="100" w:right="100" w:firstLine="90"/>
        <w:spacing w:after="0" w:line="287" w:lineRule="auto"/>
        <w:tabs>
          <w:tab w:leader="none" w:pos="403" w:val="left"/>
        </w:tabs>
        <w:numPr>
          <w:ilvl w:val="0"/>
          <w:numId w:val="4"/>
        </w:numPr>
        <w:rPr>
          <w:rFonts w:ascii="Arial" w:cs="Arial" w:eastAsia="Arial" w:hAnsi="Arial"/>
          <w:sz w:val="19"/>
          <w:szCs w:val="19"/>
          <w:color w:val="auto"/>
        </w:rPr>
      </w:pPr>
      <w:r>
        <w:rPr>
          <w:rFonts w:ascii="Arial" w:cs="Arial" w:eastAsia="Arial" w:hAnsi="Arial"/>
          <w:sz w:val="19"/>
          <w:szCs w:val="19"/>
          <w:color w:val="auto"/>
        </w:rPr>
        <w:t>This Amended and Restated Certificate of Incorporation (this “</w:t>
      </w:r>
      <w:r>
        <w:rPr>
          <w:rFonts w:ascii="Arial" w:cs="Arial" w:eastAsia="Arial" w:hAnsi="Arial"/>
          <w:sz w:val="19"/>
          <w:szCs w:val="19"/>
          <w:u w:val="single" w:color="auto"/>
          <w:color w:val="auto"/>
        </w:rPr>
        <w:t>Certificate of Incorporation</w:t>
      </w:r>
      <w:r>
        <w:rPr>
          <w:rFonts w:ascii="Arial" w:cs="Arial" w:eastAsia="Arial" w:hAnsi="Arial"/>
          <w:sz w:val="19"/>
          <w:szCs w:val="19"/>
          <w:color w:val="auto"/>
        </w:rPr>
        <w:t>”), which restates, integrates and further amends the certificate of incorporation of this corporation as heretofore amended and restated, has been duly adopted by the corporation in accordance with Sections 242 and 245 of the DGCL and has been adopted by the requisite vote of the stockholders of the corporation, acting by written consent in lieu of a meeting in accordance with Section 228 of the DGCL.</w:t>
      </w:r>
    </w:p>
    <w:p>
      <w:pPr>
        <w:spacing w:after="0" w:line="142" w:lineRule="exact"/>
        <w:rPr>
          <w:rFonts w:ascii="Arial" w:cs="Arial" w:eastAsia="Arial" w:hAnsi="Arial"/>
          <w:sz w:val="19"/>
          <w:szCs w:val="19"/>
          <w:color w:val="auto"/>
        </w:rPr>
      </w:pPr>
    </w:p>
    <w:p>
      <w:pPr>
        <w:ind w:left="760" w:hanging="222"/>
        <w:spacing w:after="0"/>
        <w:tabs>
          <w:tab w:leader="none" w:pos="760" w:val="left"/>
        </w:tabs>
        <w:numPr>
          <w:ilvl w:val="2"/>
          <w:numId w:val="4"/>
        </w:numPr>
        <w:rPr>
          <w:rFonts w:ascii="Arial" w:cs="Arial" w:eastAsia="Arial" w:hAnsi="Arial"/>
          <w:sz w:val="19"/>
          <w:szCs w:val="19"/>
          <w:color w:val="auto"/>
        </w:rPr>
      </w:pPr>
      <w:r>
        <w:rPr>
          <w:rFonts w:ascii="Arial" w:cs="Arial" w:eastAsia="Arial" w:hAnsi="Arial"/>
          <w:sz w:val="19"/>
          <w:szCs w:val="19"/>
          <w:color w:val="auto"/>
        </w:rPr>
        <w:t>The certificate of incorporation of this corporation is hereby amended and restated in its entirety to read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2430780</wp:posOffset>
            </wp:positionH>
            <wp:positionV relativeFrom="paragraph">
              <wp:posOffset>217805</wp:posOffset>
            </wp:positionV>
            <wp:extent cx="228028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28028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5060"/>
        <w:spacing w:after="0"/>
        <w:rPr>
          <w:sz w:val="20"/>
          <w:szCs w:val="20"/>
          <w:color w:val="auto"/>
        </w:rPr>
      </w:pPr>
      <w:r>
        <w:rPr>
          <w:rFonts w:ascii="Arial" w:cs="Arial" w:eastAsia="Arial" w:hAnsi="Arial"/>
          <w:sz w:val="22"/>
          <w:szCs w:val="22"/>
          <w:b w:val="1"/>
          <w:bCs w:val="1"/>
          <w:color w:val="auto"/>
        </w:rPr>
        <w:t>ARTICLE I</w:t>
      </w:r>
    </w:p>
    <w:p>
      <w:pPr>
        <w:spacing w:after="0" w:line="206" w:lineRule="exact"/>
        <w:rPr>
          <w:sz w:val="20"/>
          <w:szCs w:val="20"/>
          <w:color w:val="auto"/>
        </w:rPr>
      </w:pPr>
    </w:p>
    <w:p>
      <w:pPr>
        <w:ind w:left="5300"/>
        <w:spacing w:after="0"/>
        <w:rPr>
          <w:sz w:val="20"/>
          <w:szCs w:val="20"/>
          <w:color w:val="auto"/>
        </w:rPr>
      </w:pPr>
      <w:r>
        <w:rPr>
          <w:rFonts w:ascii="Arial" w:cs="Arial" w:eastAsia="Arial" w:hAnsi="Arial"/>
          <w:sz w:val="22"/>
          <w:szCs w:val="22"/>
          <w:b w:val="1"/>
          <w:bCs w:val="1"/>
          <w:u w:val="single" w:color="auto"/>
          <w:color w:val="auto"/>
        </w:rPr>
        <w:t>NAME</w:t>
      </w:r>
    </w:p>
    <w:p>
      <w:pPr>
        <w:spacing w:after="0" w:line="21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The name of the corporation is “Expensify, Inc.” (hereinafter called the “</w:t>
      </w:r>
      <w:r>
        <w:rPr>
          <w:rFonts w:ascii="Arial" w:cs="Arial" w:eastAsia="Arial" w:hAnsi="Arial"/>
          <w:sz w:val="22"/>
          <w:szCs w:val="22"/>
          <w:u w:val="single" w:color="auto"/>
          <w:color w:val="auto"/>
        </w:rPr>
        <w:t>Corporation</w:t>
      </w:r>
      <w:r>
        <w:rPr>
          <w:rFonts w:ascii="Arial" w:cs="Arial" w:eastAsia="Arial" w:hAnsi="Arial"/>
          <w:sz w:val="22"/>
          <w:szCs w:val="22"/>
          <w:color w:val="auto"/>
        </w:rPr>
        <w:t>”).</w:t>
      </w:r>
    </w:p>
    <w:p>
      <w:pPr>
        <w:spacing w:after="0" w:line="200" w:lineRule="exact"/>
        <w:rPr>
          <w:sz w:val="20"/>
          <w:szCs w:val="20"/>
          <w:color w:val="auto"/>
        </w:rPr>
      </w:pPr>
    </w:p>
    <w:p>
      <w:pPr>
        <w:ind w:left="5020"/>
        <w:spacing w:after="0"/>
        <w:rPr>
          <w:sz w:val="20"/>
          <w:szCs w:val="20"/>
          <w:color w:val="auto"/>
        </w:rPr>
      </w:pPr>
      <w:r>
        <w:rPr>
          <w:rFonts w:ascii="Arial" w:cs="Arial" w:eastAsia="Arial" w:hAnsi="Arial"/>
          <w:sz w:val="22"/>
          <w:szCs w:val="22"/>
          <w:b w:val="1"/>
          <w:bCs w:val="1"/>
          <w:color w:val="auto"/>
        </w:rPr>
        <w:t>ARTICLE II</w:t>
      </w:r>
    </w:p>
    <w:p>
      <w:pPr>
        <w:spacing w:after="0" w:line="206" w:lineRule="exact"/>
        <w:rPr>
          <w:sz w:val="20"/>
          <w:szCs w:val="20"/>
          <w:color w:val="auto"/>
        </w:rPr>
      </w:pPr>
    </w:p>
    <w:p>
      <w:pPr>
        <w:ind w:left="3800"/>
        <w:spacing w:after="0"/>
        <w:rPr>
          <w:sz w:val="20"/>
          <w:szCs w:val="20"/>
          <w:color w:val="auto"/>
        </w:rPr>
      </w:pPr>
      <w:r>
        <w:rPr>
          <w:rFonts w:ascii="Arial" w:cs="Arial" w:eastAsia="Arial" w:hAnsi="Arial"/>
          <w:sz w:val="22"/>
          <w:szCs w:val="22"/>
          <w:b w:val="1"/>
          <w:bCs w:val="1"/>
          <w:u w:val="single" w:color="auto"/>
          <w:color w:val="auto"/>
        </w:rPr>
        <w:t>REGISTERED OFFICE AND AGENT</w:t>
      </w:r>
    </w:p>
    <w:p>
      <w:pPr>
        <w:spacing w:after="0" w:line="212" w:lineRule="exact"/>
        <w:rPr>
          <w:sz w:val="20"/>
          <w:szCs w:val="20"/>
          <w:color w:val="auto"/>
        </w:rPr>
      </w:pPr>
    </w:p>
    <w:p>
      <w:pPr>
        <w:ind w:firstLine="648"/>
        <w:spacing w:after="0" w:line="328" w:lineRule="auto"/>
        <w:rPr>
          <w:sz w:val="20"/>
          <w:szCs w:val="20"/>
          <w:color w:val="auto"/>
        </w:rPr>
      </w:pPr>
      <w:r>
        <w:rPr>
          <w:rFonts w:ascii="Arial" w:cs="Arial" w:eastAsia="Arial" w:hAnsi="Arial"/>
          <w:sz w:val="19"/>
          <w:szCs w:val="19"/>
          <w:color w:val="auto"/>
        </w:rPr>
        <w:t>The address of the Corporation’s registered office in the State of Delaware is 3500 South DuPont Highway, Dover, Delaware, County of Kent, 19901. The name of its registered agent at such address is Incorporating Services, Ltd.</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III</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PURPOSE</w:t>
      </w:r>
    </w:p>
    <w:p>
      <w:pPr>
        <w:spacing w:after="0" w:line="212" w:lineRule="exact"/>
        <w:rPr>
          <w:sz w:val="20"/>
          <w:szCs w:val="20"/>
          <w:color w:val="auto"/>
        </w:rPr>
      </w:pPr>
    </w:p>
    <w:p>
      <w:pPr>
        <w:ind w:right="20" w:firstLine="648"/>
        <w:spacing w:after="0" w:line="250" w:lineRule="auto"/>
        <w:rPr>
          <w:sz w:val="20"/>
          <w:szCs w:val="20"/>
          <w:color w:val="auto"/>
        </w:rPr>
      </w:pPr>
      <w:r>
        <w:rPr>
          <w:rFonts w:ascii="Arial" w:cs="Arial" w:eastAsia="Arial" w:hAnsi="Arial"/>
          <w:sz w:val="22"/>
          <w:szCs w:val="22"/>
          <w:color w:val="auto"/>
        </w:rPr>
        <w:t>The purpose of the Corporation is to engage in any lawful act or activity for which corporations may be organized under the DGCL.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w:t>
      </w:r>
    </w:p>
    <w:p>
      <w:pPr>
        <w:sectPr>
          <w:pgSz w:w="11900" w:h="16838" w:orient="portrait"/>
          <w:cols w:equalWidth="0" w:num="1">
            <w:col w:w="11240"/>
          </w:cols>
          <w:pgMar w:left="320" w:top="121" w:right="339" w:bottom="1440" w:gutter="0" w:footer="0" w:header="0"/>
        </w:sectPr>
      </w:pPr>
    </w:p>
    <w:bookmarkStart w:id="4" w:name="page5"/>
    <w:bookmarkEnd w:id="4"/>
    <w:p>
      <w:pPr>
        <w:spacing w:after="0" w:line="14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IV</w:t>
      </w: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u w:val="single" w:color="auto"/>
          <w:color w:val="auto"/>
        </w:rPr>
        <w:t>CAPITAL STOCK</w:t>
      </w:r>
    </w:p>
    <w:p>
      <w:pPr>
        <w:spacing w:after="0" w:line="212" w:lineRule="exact"/>
        <w:rPr>
          <w:sz w:val="20"/>
          <w:szCs w:val="20"/>
          <w:color w:val="auto"/>
        </w:rPr>
      </w:pPr>
    </w:p>
    <w:p>
      <w:pPr>
        <w:ind w:left="660"/>
        <w:spacing w:after="0"/>
        <w:tabs>
          <w:tab w:leader="none" w:pos="1720" w:val="left"/>
        </w:tabs>
        <w:rPr>
          <w:sz w:val="20"/>
          <w:szCs w:val="20"/>
          <w:color w:val="auto"/>
        </w:rPr>
      </w:pPr>
      <w:r>
        <w:rPr>
          <w:rFonts w:ascii="Arial" w:cs="Arial" w:eastAsia="Arial" w:hAnsi="Arial"/>
          <w:sz w:val="22"/>
          <w:szCs w:val="22"/>
          <w:color w:val="auto"/>
        </w:rPr>
        <w:t>Section 1.</w:t>
      </w:r>
      <w:r>
        <w:rPr>
          <w:sz w:val="20"/>
          <w:szCs w:val="20"/>
          <w:color w:val="auto"/>
        </w:rPr>
        <w:tab/>
      </w:r>
      <w:r>
        <w:rPr>
          <w:rFonts w:ascii="Arial" w:cs="Arial" w:eastAsia="Arial" w:hAnsi="Arial"/>
          <w:sz w:val="19"/>
          <w:szCs w:val="19"/>
          <w:u w:val="single" w:color="auto"/>
          <w:color w:val="auto"/>
        </w:rPr>
        <w:t>Authorized Shares</w:t>
      </w:r>
      <w:r>
        <w:rPr>
          <w:rFonts w:ascii="Arial" w:cs="Arial" w:eastAsia="Arial" w:hAnsi="Arial"/>
          <w:sz w:val="19"/>
          <w:szCs w:val="19"/>
          <w:color w:val="auto"/>
        </w:rPr>
        <w:t>.</w:t>
      </w:r>
    </w:p>
    <w:p>
      <w:pPr>
        <w:spacing w:after="0" w:line="206"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9"/>
          <w:szCs w:val="19"/>
          <w:color w:val="auto"/>
        </w:rPr>
        <w:t>The total number of shares of all classes of capital stock which the Corporation shall have authority to issue is 1,060,000,000 shares, consisting of one billion (1,000,000,000) shares of Class A Common Stock, par value $0.0001 per share (“</w:t>
      </w:r>
      <w:r>
        <w:rPr>
          <w:rFonts w:ascii="Arial" w:cs="Arial" w:eastAsia="Arial" w:hAnsi="Arial"/>
          <w:sz w:val="19"/>
          <w:szCs w:val="19"/>
          <w:u w:val="single" w:color="auto"/>
          <w:color w:val="auto"/>
        </w:rPr>
        <w:t>Class A Common Stock</w:t>
      </w:r>
      <w:r>
        <w:rPr>
          <w:rFonts w:ascii="Arial" w:cs="Arial" w:eastAsia="Arial" w:hAnsi="Arial"/>
          <w:sz w:val="19"/>
          <w:szCs w:val="19"/>
          <w:color w:val="auto"/>
        </w:rPr>
        <w:t>”), 25 million (25,000,000) shares of LT10 Common Stock, par value $0.0001 per share (“</w:t>
      </w:r>
      <w:r>
        <w:rPr>
          <w:rFonts w:ascii="Arial" w:cs="Arial" w:eastAsia="Arial" w:hAnsi="Arial"/>
          <w:sz w:val="19"/>
          <w:szCs w:val="19"/>
          <w:u w:val="single" w:color="auto"/>
          <w:color w:val="auto"/>
        </w:rPr>
        <w:t>LT10</w:t>
      </w:r>
      <w:r>
        <w:rPr>
          <w:rFonts w:ascii="Arial" w:cs="Arial" w:eastAsia="Arial" w:hAnsi="Arial"/>
          <w:sz w:val="19"/>
          <w:szCs w:val="19"/>
          <w:color w:val="auto"/>
        </w:rPr>
        <w:t xml:space="preserve"> </w:t>
      </w:r>
      <w:r>
        <w:rPr>
          <w:rFonts w:ascii="Arial" w:cs="Arial" w:eastAsia="Arial" w:hAnsi="Arial"/>
          <w:sz w:val="19"/>
          <w:szCs w:val="19"/>
          <w:u w:val="single" w:color="auto"/>
          <w:color w:val="auto"/>
        </w:rPr>
        <w:t>Common Stock</w:t>
      </w:r>
      <w:r>
        <w:rPr>
          <w:rFonts w:ascii="Arial" w:cs="Arial" w:eastAsia="Arial" w:hAnsi="Arial"/>
          <w:sz w:val="19"/>
          <w:szCs w:val="19"/>
          <w:color w:val="auto"/>
        </w:rPr>
        <w:t>”), 25 million (25,000,000) shares of LT50 Common Stock, par value $0.0001 per share (“</w:t>
      </w:r>
      <w:r>
        <w:rPr>
          <w:rFonts w:ascii="Arial" w:cs="Arial" w:eastAsia="Arial" w:hAnsi="Arial"/>
          <w:sz w:val="19"/>
          <w:szCs w:val="19"/>
          <w:u w:val="single" w:color="auto"/>
          <w:color w:val="auto"/>
        </w:rPr>
        <w:t>LT50 Common Stock</w:t>
      </w:r>
      <w:r>
        <w:rPr>
          <w:rFonts w:ascii="Arial" w:cs="Arial" w:eastAsia="Arial" w:hAnsi="Arial"/>
          <w:sz w:val="19"/>
          <w:szCs w:val="19"/>
          <w:color w:val="auto"/>
        </w:rPr>
        <w:t>,” and together with the LT10 Common Stock, the “</w:t>
      </w:r>
      <w:r>
        <w:rPr>
          <w:rFonts w:ascii="Arial" w:cs="Arial" w:eastAsia="Arial" w:hAnsi="Arial"/>
          <w:sz w:val="19"/>
          <w:szCs w:val="19"/>
          <w:u w:val="single" w:color="auto"/>
          <w:color w:val="auto"/>
        </w:rPr>
        <w:t>LT Common Stock</w:t>
      </w:r>
      <w:r>
        <w:rPr>
          <w:rFonts w:ascii="Arial" w:cs="Arial" w:eastAsia="Arial" w:hAnsi="Arial"/>
          <w:sz w:val="19"/>
          <w:szCs w:val="19"/>
          <w:color w:val="auto"/>
        </w:rPr>
        <w:t>,” and together with the Class A Common Stock, the “</w:t>
      </w:r>
      <w:r>
        <w:rPr>
          <w:rFonts w:ascii="Arial" w:cs="Arial" w:eastAsia="Arial" w:hAnsi="Arial"/>
          <w:sz w:val="19"/>
          <w:szCs w:val="19"/>
          <w:u w:val="single" w:color="auto"/>
          <w:color w:val="auto"/>
        </w:rPr>
        <w:t>Common Stock</w:t>
      </w:r>
      <w:r>
        <w:rPr>
          <w:rFonts w:ascii="Arial" w:cs="Arial" w:eastAsia="Arial" w:hAnsi="Arial"/>
          <w:sz w:val="19"/>
          <w:szCs w:val="19"/>
          <w:color w:val="auto"/>
        </w:rPr>
        <w:t>”), and ten million (10,000,000) shares of Preferred Stock, par value $0.0001 per share (“</w:t>
      </w:r>
      <w:r>
        <w:rPr>
          <w:rFonts w:ascii="Arial" w:cs="Arial" w:eastAsia="Arial" w:hAnsi="Arial"/>
          <w:sz w:val="19"/>
          <w:szCs w:val="19"/>
          <w:u w:val="single" w:color="auto"/>
          <w:color w:val="auto"/>
        </w:rPr>
        <w:t>Preferred Stock</w:t>
      </w:r>
      <w:r>
        <w:rPr>
          <w:rFonts w:ascii="Arial" w:cs="Arial" w:eastAsia="Arial" w:hAnsi="Arial"/>
          <w:sz w:val="19"/>
          <w:szCs w:val="19"/>
          <w:color w:val="auto"/>
        </w:rPr>
        <w:t>”). Subject to the rights of holders of any series of Preferred Stock, the number of authorized shares of Class A Common Stock, LT10 Common Stock and LT50 Common Stock or Preferred Stock may be increased or decreased (but not below (i) the number of shares thereof then outstanding and (ii) with respect to the Class A Common Stock, the number of shares of Class A Common Stock reserved pursuant to Section 3(G)(ix) of this Article IV) by the affirmative vote of the holders of capital stock representing a majority of the voting power of all the then-outstanding shares of capital stock of the Corporation entitled to vote thereon irrespective of the provisions of Section 242(b)(2) of the DGCL.</w:t>
      </w:r>
    </w:p>
    <w:p>
      <w:pPr>
        <w:spacing w:after="0" w:line="200" w:lineRule="exact"/>
        <w:rPr>
          <w:sz w:val="20"/>
          <w:szCs w:val="20"/>
          <w:color w:val="auto"/>
        </w:rPr>
      </w:pPr>
    </w:p>
    <w:p>
      <w:pPr>
        <w:spacing w:after="0" w:line="208" w:lineRule="exact"/>
        <w:rPr>
          <w:sz w:val="20"/>
          <w:szCs w:val="20"/>
          <w:color w:val="auto"/>
        </w:rPr>
      </w:pPr>
    </w:p>
    <w:p>
      <w:pPr>
        <w:ind w:left="660"/>
        <w:spacing w:after="0"/>
        <w:tabs>
          <w:tab w:leader="none" w:pos="1720" w:val="left"/>
        </w:tabs>
        <w:rPr>
          <w:sz w:val="20"/>
          <w:szCs w:val="20"/>
          <w:color w:val="auto"/>
        </w:rPr>
      </w:pPr>
      <w:r>
        <w:rPr>
          <w:rFonts w:ascii="Arial" w:cs="Arial" w:eastAsia="Arial" w:hAnsi="Arial"/>
          <w:sz w:val="22"/>
          <w:szCs w:val="22"/>
          <w:color w:val="auto"/>
        </w:rPr>
        <w:t>Section 2.</w:t>
      </w:r>
      <w:r>
        <w:rPr>
          <w:sz w:val="20"/>
          <w:szCs w:val="20"/>
          <w:color w:val="auto"/>
        </w:rPr>
        <w:tab/>
      </w:r>
      <w:r>
        <w:rPr>
          <w:rFonts w:ascii="Arial" w:cs="Arial" w:eastAsia="Arial" w:hAnsi="Arial"/>
          <w:sz w:val="19"/>
          <w:szCs w:val="19"/>
          <w:u w:val="single" w:color="auto"/>
          <w:color w:val="auto"/>
        </w:rPr>
        <w:t>Preferred Stock</w:t>
      </w:r>
    </w:p>
    <w:p>
      <w:pPr>
        <w:spacing w:after="0" w:line="206"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22"/>
          <w:szCs w:val="22"/>
          <w:color w:val="auto"/>
        </w:rPr>
        <w:t>Preferred Stock may be issued from time to time in one or more series, each of such series to have such terms as stated or expressed herein and in the resolution or resolutions providing for the issue of such series adopted by the Board of Directors of the Corporation (the “</w:t>
      </w:r>
      <w:r>
        <w:rPr>
          <w:rFonts w:ascii="Arial" w:cs="Arial" w:eastAsia="Arial" w:hAnsi="Arial"/>
          <w:sz w:val="22"/>
          <w:szCs w:val="22"/>
          <w:u w:val="single" w:color="auto"/>
          <w:color w:val="auto"/>
        </w:rPr>
        <w:t>Board</w:t>
      </w:r>
      <w:r>
        <w:rPr>
          <w:rFonts w:ascii="Arial" w:cs="Arial" w:eastAsia="Arial" w:hAnsi="Arial"/>
          <w:sz w:val="22"/>
          <w:szCs w:val="22"/>
          <w:color w:val="auto"/>
        </w:rPr>
        <w:t>”) as hereinafter provided. Subject to the rights of the holders of any series of Preferred Stock and except as otherwise provided by law, any shares of Preferred Stock that may be redeemed, purchased or acquired by the Corporation may be reissued by the Corporation.</w:t>
      </w:r>
    </w:p>
    <w:p>
      <w:pPr>
        <w:spacing w:after="0" w:line="187"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9"/>
          <w:szCs w:val="19"/>
          <w:color w:val="auto"/>
        </w:rPr>
        <w:t>Authority is hereby expressly granted to the Board from time to time to issue the Preferred Stock in one or more series and in connection with the creation of any such series, by adopting a resolution or resolutions providing for the issuance of the shares thereof and by filing a certificate of designations relating thereto in accordance with the DGCL, to determine and fix the number of shares of such series and such voting powers, full or limited, or no voting powers, and such designations, preferences and relative participating, optional or other special rights, and qualifications, limitations or restrictions thereof, including without limitation thereof, dividend rights, conversion rights, redemption privileges and liquidation preferences, as shall be stated and expressed in such resolutions, all to the full extent now or hereafter permitted by the DGCL. Without limiting the generality of the foregoing, the resolutions providing for issuance of any series of Preferred Stock may provide that such series shall be superior, equal or junior to any other series of Preferred Stock to the extent permitted by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240"/>
          </w:cols>
          <w:pgMar w:left="320" w:top="1440" w:right="339" w:bottom="1440" w:gutter="0" w:footer="0" w:header="0"/>
        </w:sectPr>
      </w:pPr>
    </w:p>
    <w:bookmarkStart w:id="5" w:name="page6"/>
    <w:bookmarkEnd w:id="5"/>
    <w:p>
      <w:pPr>
        <w:spacing w:after="0" w:line="150" w:lineRule="exact"/>
        <w:rPr>
          <w:sz w:val="20"/>
          <w:szCs w:val="20"/>
          <w:color w:val="auto"/>
        </w:rPr>
      </w:pPr>
    </w:p>
    <w:p>
      <w:pPr>
        <w:ind w:left="660"/>
        <w:spacing w:after="0"/>
        <w:tabs>
          <w:tab w:leader="none" w:pos="1720" w:val="left"/>
        </w:tabs>
        <w:rPr>
          <w:sz w:val="20"/>
          <w:szCs w:val="20"/>
          <w:color w:val="auto"/>
        </w:rPr>
      </w:pPr>
      <w:r>
        <w:rPr>
          <w:rFonts w:ascii="Arial" w:cs="Arial" w:eastAsia="Arial" w:hAnsi="Arial"/>
          <w:sz w:val="22"/>
          <w:szCs w:val="22"/>
          <w:color w:val="auto"/>
        </w:rPr>
        <w:t>Section 3.</w:t>
      </w:r>
      <w:r>
        <w:rPr>
          <w:sz w:val="20"/>
          <w:szCs w:val="20"/>
          <w:color w:val="auto"/>
        </w:rPr>
        <w:tab/>
      </w:r>
      <w:r>
        <w:rPr>
          <w:rFonts w:ascii="Arial" w:cs="Arial" w:eastAsia="Arial" w:hAnsi="Arial"/>
          <w:sz w:val="19"/>
          <w:szCs w:val="19"/>
          <w:u w:val="single" w:color="auto"/>
          <w:color w:val="auto"/>
        </w:rPr>
        <w:t>Common Stock</w:t>
      </w:r>
    </w:p>
    <w:p>
      <w:pPr>
        <w:spacing w:after="0" w:line="206" w:lineRule="exact"/>
        <w:rPr>
          <w:sz w:val="20"/>
          <w:szCs w:val="20"/>
          <w:color w:val="auto"/>
        </w:rPr>
      </w:pPr>
    </w:p>
    <w:p>
      <w:pPr>
        <w:jc w:val="both"/>
        <w:ind w:firstLine="656"/>
        <w:spacing w:after="0" w:line="248" w:lineRule="auto"/>
        <w:tabs>
          <w:tab w:leader="none" w:pos="1177" w:val="left"/>
        </w:tabs>
        <w:numPr>
          <w:ilvl w:val="1"/>
          <w:numId w:val="5"/>
        </w:numPr>
        <w:rPr>
          <w:rFonts w:ascii="Arial" w:cs="Arial" w:eastAsia="Arial" w:hAnsi="Arial"/>
          <w:sz w:val="21"/>
          <w:szCs w:val="21"/>
          <w:color w:val="auto"/>
        </w:rPr>
      </w:pPr>
      <w:r>
        <w:rPr>
          <w:rFonts w:ascii="Arial" w:cs="Arial" w:eastAsia="Arial" w:hAnsi="Arial"/>
          <w:sz w:val="21"/>
          <w:szCs w:val="21"/>
          <w:u w:val="single" w:color="auto"/>
          <w:color w:val="auto"/>
        </w:rPr>
        <w:t>Equal Status</w:t>
      </w:r>
      <w:r>
        <w:rPr>
          <w:rFonts w:ascii="Arial" w:cs="Arial" w:eastAsia="Arial" w:hAnsi="Arial"/>
          <w:sz w:val="21"/>
          <w:szCs w:val="21"/>
          <w:color w:val="auto"/>
        </w:rPr>
        <w:t>. Except as otherwise required by law or as expressly set forth in this Section 3 of Article IV, shares of Class A Common Stock, LT10 Common Stock and LT50 Common Stock shall have the same rights, privileges and powers, rank equally, share ratably and be identical in all respects as to all matters. The voting, dividend, liquidation and other rights, powers and preferences of the holders of Class A Common Stock, LT10 Common Stock and LT50 Common Stock are subject to, and qualified by, the rights, powers and preferences of holders of the Preferred Stock of any series as may be designated by the Board upon any issuance of the Preferred Stock of any series.</w:t>
      </w:r>
    </w:p>
    <w:p>
      <w:pPr>
        <w:spacing w:after="0" w:line="176" w:lineRule="exact"/>
        <w:rPr>
          <w:rFonts w:ascii="Arial" w:cs="Arial" w:eastAsia="Arial" w:hAnsi="Arial"/>
          <w:sz w:val="21"/>
          <w:szCs w:val="21"/>
          <w:color w:val="auto"/>
        </w:rPr>
      </w:pPr>
    </w:p>
    <w:p>
      <w:pPr>
        <w:jc w:val="both"/>
        <w:ind w:firstLine="656"/>
        <w:spacing w:after="0" w:line="276" w:lineRule="auto"/>
        <w:tabs>
          <w:tab w:leader="none" w:pos="1165" w:val="left"/>
        </w:tabs>
        <w:numPr>
          <w:ilvl w:val="1"/>
          <w:numId w:val="5"/>
        </w:numPr>
        <w:rPr>
          <w:rFonts w:ascii="Arial" w:cs="Arial" w:eastAsia="Arial" w:hAnsi="Arial"/>
          <w:sz w:val="19"/>
          <w:szCs w:val="19"/>
          <w:color w:val="auto"/>
        </w:rPr>
      </w:pPr>
      <w:r>
        <w:rPr>
          <w:rFonts w:ascii="Arial" w:cs="Arial" w:eastAsia="Arial" w:hAnsi="Arial"/>
          <w:sz w:val="19"/>
          <w:szCs w:val="19"/>
          <w:u w:val="single" w:color="auto"/>
          <w:color w:val="auto"/>
        </w:rPr>
        <w:t>Voting</w:t>
      </w:r>
      <w:r>
        <w:rPr>
          <w:rFonts w:ascii="Arial" w:cs="Arial" w:eastAsia="Arial" w:hAnsi="Arial"/>
          <w:sz w:val="19"/>
          <w:szCs w:val="19"/>
          <w:color w:val="auto"/>
        </w:rPr>
        <w:t>. Except as otherwise required by applicable law, at all meetings of stockholders and on all matters submitted to a vote of stockholders of the Corporation generally, each holder of Class A Common Stock, as such, shall have the right to one</w:t>
      </w:r>
    </w:p>
    <w:p>
      <w:pPr>
        <w:spacing w:after="0" w:line="1" w:lineRule="exact"/>
        <w:rPr>
          <w:rFonts w:ascii="Arial" w:cs="Arial" w:eastAsia="Arial" w:hAnsi="Arial"/>
          <w:sz w:val="19"/>
          <w:szCs w:val="19"/>
          <w:color w:val="auto"/>
        </w:rPr>
      </w:pPr>
    </w:p>
    <w:p>
      <w:pPr>
        <w:jc w:val="both"/>
        <w:ind w:firstLine="8"/>
        <w:spacing w:after="0" w:line="270" w:lineRule="auto"/>
        <w:tabs>
          <w:tab w:leader="none" w:pos="316" w:val="left"/>
        </w:tabs>
        <w:numPr>
          <w:ilvl w:val="0"/>
          <w:numId w:val="6"/>
        </w:numPr>
        <w:rPr>
          <w:rFonts w:ascii="Arial" w:cs="Arial" w:eastAsia="Arial" w:hAnsi="Arial"/>
          <w:sz w:val="19"/>
          <w:szCs w:val="19"/>
          <w:color w:val="auto"/>
        </w:rPr>
      </w:pPr>
      <w:r>
        <w:rPr>
          <w:rFonts w:ascii="Arial" w:cs="Arial" w:eastAsia="Arial" w:hAnsi="Arial"/>
          <w:sz w:val="19"/>
          <w:szCs w:val="19"/>
          <w:color w:val="auto"/>
        </w:rPr>
        <w:t>vote per share of Class A Common Stock held of record by such holder, each holder of LT10 Common Stock, as such, shall have the right to ten (10) votes per share of LT10 Common Stock held of record by such holder, and each holder of LT50 Common Stock, as such, shall have the right to fifty (50) votes per share of LT50 Common Stock held of record by such holder. Except as otherwise required by applicable law or provided in this Certificate of Incorporation, the holders of shares of Class A Common Stock, LT10 Common Stock and LT50 Common Stock, as such, shall (i) at all times vote together as a single class on all matters (including the election of directors) submitted to a vote of the stockholders of the Corporation generally, (ii) be entitled to notice of any stockholders’ meeting in accordance with the Amended and Restated Bylaws of the Corporation (as the same may be amended and/or restated from time to time, the “</w:t>
      </w:r>
      <w:r>
        <w:rPr>
          <w:rFonts w:ascii="Arial" w:cs="Arial" w:eastAsia="Arial" w:hAnsi="Arial"/>
          <w:sz w:val="19"/>
          <w:szCs w:val="19"/>
          <w:u w:val="single" w:color="auto"/>
          <w:color w:val="auto"/>
        </w:rPr>
        <w:t>Bylaws</w:t>
      </w:r>
      <w:r>
        <w:rPr>
          <w:rFonts w:ascii="Arial" w:cs="Arial" w:eastAsia="Arial" w:hAnsi="Arial"/>
          <w:sz w:val="19"/>
          <w:szCs w:val="19"/>
          <w:color w:val="auto"/>
        </w:rPr>
        <w:t xml:space="preserve">”), and (iii) be entitled to vote upon such matters and in such manner as may be provided by applicable law; </w:t>
      </w:r>
      <w:r>
        <w:rPr>
          <w:rFonts w:ascii="Arial" w:cs="Arial" w:eastAsia="Arial" w:hAnsi="Arial"/>
          <w:sz w:val="19"/>
          <w:szCs w:val="19"/>
          <w:i w:val="1"/>
          <w:iCs w:val="1"/>
          <w:color w:val="auto"/>
        </w:rPr>
        <w:t>provided, however</w:t>
      </w:r>
      <w:r>
        <w:rPr>
          <w:rFonts w:ascii="Arial" w:cs="Arial" w:eastAsia="Arial" w:hAnsi="Arial"/>
          <w:sz w:val="19"/>
          <w:szCs w:val="19"/>
          <w:color w:val="auto"/>
        </w:rPr>
        <w:t>, that, except as otherwise required by applicable law, holders of Class A Common Stock, LT10 Common Stock and LT50 Common Stock, as such, shall not be entitled to vote on any amendment to this Certificate of Incorporation that relates solely to the terms of one or more outstanding series of Preferred Stock if the holders of such affected series are entitled, either separately or together with the holders of one or more other such series, to vote thereon pursuant to this Certificate of Incorporation or applicable law. There shall be no cumulative voting.</w:t>
      </w:r>
    </w:p>
    <w:p>
      <w:pPr>
        <w:spacing w:after="0" w:line="161" w:lineRule="exact"/>
        <w:rPr>
          <w:rFonts w:ascii="Arial" w:cs="Arial" w:eastAsia="Arial" w:hAnsi="Arial"/>
          <w:sz w:val="19"/>
          <w:szCs w:val="19"/>
          <w:color w:val="auto"/>
        </w:rPr>
      </w:pPr>
    </w:p>
    <w:p>
      <w:pPr>
        <w:jc w:val="both"/>
        <w:ind w:firstLine="656"/>
        <w:spacing w:after="0" w:line="273" w:lineRule="auto"/>
        <w:tabs>
          <w:tab w:leader="none" w:pos="1287" w:val="left"/>
        </w:tabs>
        <w:numPr>
          <w:ilvl w:val="1"/>
          <w:numId w:val="6"/>
        </w:numPr>
        <w:rPr>
          <w:rFonts w:ascii="Arial" w:cs="Arial" w:eastAsia="Arial" w:hAnsi="Arial"/>
          <w:sz w:val="19"/>
          <w:szCs w:val="19"/>
          <w:color w:val="auto"/>
        </w:rPr>
      </w:pPr>
      <w:r>
        <w:rPr>
          <w:rFonts w:ascii="Arial" w:cs="Arial" w:eastAsia="Arial" w:hAnsi="Arial"/>
          <w:sz w:val="19"/>
          <w:szCs w:val="19"/>
          <w:u w:val="single" w:color="auto"/>
          <w:color w:val="auto"/>
        </w:rPr>
        <w:t>Dividend Rights</w:t>
      </w:r>
      <w:r>
        <w:rPr>
          <w:rFonts w:ascii="Arial" w:cs="Arial" w:eastAsia="Arial" w:hAnsi="Arial"/>
          <w:sz w:val="19"/>
          <w:szCs w:val="19"/>
          <w:color w:val="auto"/>
        </w:rPr>
        <w:t xml:space="preserve">. Subject to applicable law and the rights, if any, of the holders of any outstanding series of Preferred Stock or any class or series of stock having a preference over or the right to participate with the Class A Common Stock, LT10 Common Stock or LT50 Common Stock with respect to the payment of dividends in cash, property or shares of capital stock of the Corporation, dividends may be declared and paid on the shares of Class A Common Stock, LT10 Common Stock or LT50 Common Stock, out of any assets of the Corporation legally available therefore at such times and in such amounts as the Board in its discretion shall determine; </w:t>
      </w:r>
      <w:r>
        <w:rPr>
          <w:rFonts w:ascii="Arial" w:cs="Arial" w:eastAsia="Arial" w:hAnsi="Arial"/>
          <w:sz w:val="19"/>
          <w:szCs w:val="19"/>
          <w:i w:val="1"/>
          <w:iCs w:val="1"/>
          <w:color w:val="auto"/>
        </w:rPr>
        <w:t>provided, however,</w:t>
      </w:r>
      <w:r>
        <w:rPr>
          <w:rFonts w:ascii="Arial" w:cs="Arial" w:eastAsia="Arial" w:hAnsi="Arial"/>
          <w:sz w:val="19"/>
          <w:szCs w:val="19"/>
          <w:color w:val="auto"/>
        </w:rPr>
        <w:t xml:space="preserve"> that in the event a dividend is paid in the form of shares of Class A Common Stock, LT10 Common Stock or LT50 Common Stock (or in rights to acquire, or securities convertible into or exchangeable for, such shares), then holders of Class A Common Stock shall be entitled to receive shares of Class A Common Stock (or rights to acquire, or securities convertible into or exchangeable for, such shares, as the case may be), holders of LT10 Common Stock shall be entitled to receive shares of LT10 Common Stock (or rights to acquire, or securities convertible into or exchangeable for, such shares, as the case may be), and 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240"/>
          </w:cols>
          <w:pgMar w:left="320" w:top="1440" w:right="339" w:bottom="1440" w:gutter="0" w:footer="0" w:header="0"/>
        </w:sectPr>
      </w:pPr>
    </w:p>
    <w:bookmarkStart w:id="6" w:name="page7"/>
    <w:bookmarkEnd w:id="6"/>
    <w:p>
      <w:pPr>
        <w:spacing w:after="0" w:line="150" w:lineRule="exact"/>
        <w:rPr>
          <w:sz w:val="20"/>
          <w:szCs w:val="20"/>
          <w:color w:val="auto"/>
        </w:rPr>
      </w:pPr>
    </w:p>
    <w:p>
      <w:pPr>
        <w:jc w:val="both"/>
        <w:spacing w:after="0" w:line="274" w:lineRule="auto"/>
        <w:rPr>
          <w:sz w:val="20"/>
          <w:szCs w:val="20"/>
          <w:color w:val="auto"/>
        </w:rPr>
      </w:pPr>
      <w:r>
        <w:rPr>
          <w:rFonts w:ascii="Arial" w:cs="Arial" w:eastAsia="Arial" w:hAnsi="Arial"/>
          <w:sz w:val="19"/>
          <w:szCs w:val="19"/>
          <w:color w:val="auto"/>
        </w:rPr>
        <w:t>of LT50 Common Stock shall be entitled to receive shares of LT50 Common Stock (or rights to acquire, or securities convertible into or exchangeable for, such shares, as the case may be), with holders of shares of Class A Common Stock, LT10 Common Stock and LT50 Common Stock receiving, on a per share basis, an identical number of shares of Class A Common Stock, LT10 Common Stock or LT50 Common Stock as the case may be (or rights to acquire, or securities convertible into or exchangeable for, such shares, as the case may be), as applicable. Notwithstanding the foregoing, the Board may declare and the Corporation may pay a disparate dividend per share of Class A Common Stock, LT10 Common Stock or LT50 Common Stock (whether the disparity shall be in the amount of such dividend payable per share, the form in which such dividend is payable (whether it shall be payable in cash, shares of capital stock of the Corporation, other securities of the Corporation, or any combination of the foregoing), the timing of the payment, or otherwise).</w:t>
      </w:r>
    </w:p>
    <w:p>
      <w:pPr>
        <w:spacing w:after="0" w:line="158" w:lineRule="exact"/>
        <w:rPr>
          <w:sz w:val="20"/>
          <w:szCs w:val="20"/>
          <w:color w:val="auto"/>
        </w:rPr>
      </w:pPr>
    </w:p>
    <w:p>
      <w:pPr>
        <w:jc w:val="both"/>
        <w:ind w:firstLine="656"/>
        <w:spacing w:after="0" w:line="275" w:lineRule="auto"/>
        <w:tabs>
          <w:tab w:leader="none" w:pos="1272" w:val="left"/>
        </w:tabs>
        <w:numPr>
          <w:ilvl w:val="0"/>
          <w:numId w:val="7"/>
        </w:numPr>
        <w:rPr>
          <w:rFonts w:ascii="Arial" w:cs="Arial" w:eastAsia="Arial" w:hAnsi="Arial"/>
          <w:sz w:val="19"/>
          <w:szCs w:val="19"/>
          <w:color w:val="auto"/>
        </w:rPr>
      </w:pPr>
      <w:r>
        <w:rPr>
          <w:rFonts w:ascii="Arial" w:cs="Arial" w:eastAsia="Arial" w:hAnsi="Arial"/>
          <w:sz w:val="19"/>
          <w:szCs w:val="19"/>
          <w:u w:val="single" w:color="auto"/>
          <w:color w:val="auto"/>
        </w:rPr>
        <w:t>Subdivisions, Combinations or Reclassifications</w:t>
      </w:r>
      <w:r>
        <w:rPr>
          <w:rFonts w:ascii="Arial" w:cs="Arial" w:eastAsia="Arial" w:hAnsi="Arial"/>
          <w:sz w:val="19"/>
          <w:szCs w:val="19"/>
          <w:color w:val="auto"/>
        </w:rPr>
        <w:t xml:space="preserve">. Shares of Class A Common Stock, LT10 Common Stock and LT50 Common Stock may not be subdivided, combined or reclassified unless the shares of the other classes are concurrently therewith proportionately subdivided, combined or reclassified in a manner that maintains the same proportionate equity ownership between the holders of the outstanding Class A Common Stock, LT10 Common Stock and LT50 Common Stock on the record date for such subdivision, combination or reclassification; </w:t>
      </w:r>
      <w:r>
        <w:rPr>
          <w:rFonts w:ascii="Arial" w:cs="Arial" w:eastAsia="Arial" w:hAnsi="Arial"/>
          <w:sz w:val="19"/>
          <w:szCs w:val="19"/>
          <w:i w:val="1"/>
          <w:iCs w:val="1"/>
          <w:color w:val="auto"/>
        </w:rPr>
        <w:t>provided, however</w:t>
      </w:r>
      <w:r>
        <w:rPr>
          <w:rFonts w:ascii="Arial" w:cs="Arial" w:eastAsia="Arial" w:hAnsi="Arial"/>
          <w:sz w:val="19"/>
          <w:szCs w:val="19"/>
          <w:color w:val="auto"/>
        </w:rPr>
        <w:t>, that shares of one such class may be subdivided, combined or reclassified in a different or disproportionate manner if such subdivision, combination or reclassification is approved by the affirmative vote of the holders of a majority of the outstanding shares of Class A Common Stock, LT10 Common Stock and LT50 Common Stock, each voting separately as a class.</w:t>
      </w:r>
    </w:p>
    <w:p>
      <w:pPr>
        <w:spacing w:after="0" w:line="157" w:lineRule="exact"/>
        <w:rPr>
          <w:rFonts w:ascii="Arial" w:cs="Arial" w:eastAsia="Arial" w:hAnsi="Arial"/>
          <w:sz w:val="19"/>
          <w:szCs w:val="19"/>
          <w:color w:val="auto"/>
        </w:rPr>
      </w:pPr>
    </w:p>
    <w:p>
      <w:pPr>
        <w:jc w:val="both"/>
        <w:ind w:firstLine="656"/>
        <w:spacing w:after="0" w:line="246" w:lineRule="auto"/>
        <w:tabs>
          <w:tab w:leader="none" w:pos="1153" w:val="left"/>
        </w:tabs>
        <w:numPr>
          <w:ilvl w:val="0"/>
          <w:numId w:val="7"/>
        </w:numPr>
        <w:rPr>
          <w:rFonts w:ascii="Arial" w:cs="Arial" w:eastAsia="Arial" w:hAnsi="Arial"/>
          <w:sz w:val="21"/>
          <w:szCs w:val="21"/>
          <w:color w:val="auto"/>
        </w:rPr>
      </w:pPr>
      <w:r>
        <w:rPr>
          <w:rFonts w:ascii="Arial" w:cs="Arial" w:eastAsia="Arial" w:hAnsi="Arial"/>
          <w:sz w:val="21"/>
          <w:szCs w:val="21"/>
          <w:u w:val="single" w:color="auto"/>
          <w:color w:val="auto"/>
        </w:rPr>
        <w:t>Liquidation, Dissolution or Winding Up</w:t>
      </w:r>
      <w:r>
        <w:rPr>
          <w:rFonts w:ascii="Arial" w:cs="Arial" w:eastAsia="Arial" w:hAnsi="Arial"/>
          <w:sz w:val="21"/>
          <w:szCs w:val="21"/>
          <w:color w:val="auto"/>
        </w:rPr>
        <w:t>. Subject to the preferential or other rights of any holders of Preferred Stock then outstanding, upon the dissolution, distribution of assets, liquidation or winding up of the Corporation, whether voluntary or involuntary, holders of Class A Common Stock, LT10 Common Stock and LT50 Common Stock will be entitled to receive ratably all assets of the Corporation available for distribution to its stockholders unless disparate or different treatment of the shares of each such class with respect to distributions upon any such liquidation, dissolution, distribution of assets or winding up is approved by the affirmative vote of the holders of a majority of the outstanding shares of Class A Common Stock, LT10 Common Stock and LT50 Common Stock, each voting separately as a class.</w:t>
      </w:r>
    </w:p>
    <w:p>
      <w:pPr>
        <w:spacing w:after="0" w:line="184" w:lineRule="exact"/>
        <w:rPr>
          <w:rFonts w:ascii="Arial" w:cs="Arial" w:eastAsia="Arial" w:hAnsi="Arial"/>
          <w:sz w:val="21"/>
          <w:szCs w:val="21"/>
          <w:color w:val="auto"/>
        </w:rPr>
      </w:pPr>
    </w:p>
    <w:p>
      <w:pPr>
        <w:ind w:left="1140" w:hanging="484"/>
        <w:spacing w:after="0"/>
        <w:tabs>
          <w:tab w:leader="none" w:pos="1140" w:val="left"/>
        </w:tabs>
        <w:numPr>
          <w:ilvl w:val="0"/>
          <w:numId w:val="7"/>
        </w:numPr>
        <w:rPr>
          <w:rFonts w:ascii="Arial" w:cs="Arial" w:eastAsia="Arial" w:hAnsi="Arial"/>
          <w:sz w:val="22"/>
          <w:szCs w:val="22"/>
          <w:color w:val="auto"/>
        </w:rPr>
      </w:pPr>
      <w:r>
        <w:rPr>
          <w:rFonts w:ascii="Arial" w:cs="Arial" w:eastAsia="Arial" w:hAnsi="Arial"/>
          <w:sz w:val="22"/>
          <w:szCs w:val="22"/>
          <w:u w:val="single" w:color="auto"/>
          <w:color w:val="auto"/>
        </w:rPr>
        <w:t>Restrictions on Transfers of Shares of LT Common Stock</w:t>
      </w:r>
      <w:r>
        <w:rPr>
          <w:rFonts w:ascii="Arial" w:cs="Arial" w:eastAsia="Arial" w:hAnsi="Arial"/>
          <w:sz w:val="22"/>
          <w:szCs w:val="22"/>
          <w:color w:val="auto"/>
        </w:rPr>
        <w:t>.</w:t>
      </w:r>
    </w:p>
    <w:p>
      <w:pPr>
        <w:spacing w:after="0" w:line="206" w:lineRule="exact"/>
        <w:rPr>
          <w:rFonts w:ascii="Arial" w:cs="Arial" w:eastAsia="Arial" w:hAnsi="Arial"/>
          <w:sz w:val="22"/>
          <w:szCs w:val="22"/>
          <w:color w:val="auto"/>
        </w:rPr>
      </w:pPr>
    </w:p>
    <w:p>
      <w:pPr>
        <w:jc w:val="both"/>
        <w:ind w:firstLine="1304"/>
        <w:spacing w:after="0" w:line="246" w:lineRule="auto"/>
        <w:tabs>
          <w:tab w:leader="none" w:pos="1817" w:val="left"/>
        </w:tabs>
        <w:numPr>
          <w:ilvl w:val="1"/>
          <w:numId w:val="7"/>
        </w:numPr>
        <w:rPr>
          <w:rFonts w:ascii="Arial" w:cs="Arial" w:eastAsia="Arial" w:hAnsi="Arial"/>
          <w:sz w:val="21"/>
          <w:szCs w:val="21"/>
          <w:color w:val="auto"/>
        </w:rPr>
      </w:pPr>
      <w:r>
        <w:rPr>
          <w:rFonts w:ascii="Arial" w:cs="Arial" w:eastAsia="Arial" w:hAnsi="Arial"/>
          <w:sz w:val="21"/>
          <w:szCs w:val="21"/>
          <w:color w:val="auto"/>
        </w:rPr>
        <w:t>To the maximum extent permitted under applicable law, no holder of LT Common Stock shall Transfer any shares of LT Common Stock to any person or entity unless the requirements set forth in Section 3(H) of this Article IV have been satisfied. “Transfer” of a share of LT Common Stock means any sale, contract to sell, assignment, transfer, conveyance, hypothecation, pledge, sale of any option or contract to purchase, purchase of any option or contract to sell, grant of any option, right or warrant to purchase, hedging, swap or other agreement or transaction that transfers, in whole or in part, any of the economic consequences of ownership, (including, without limitation, any short sale or the purchase or sale of, or entry into, any put or call option, or combination thereof, forward, swap or any other derivative transaction or instrument, however described or defined), loan, or other transfer or disposition of such share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240"/>
          </w:cols>
          <w:pgMar w:left="320" w:top="1440" w:right="339" w:bottom="1440" w:gutter="0" w:footer="0" w:header="0"/>
        </w:sectPr>
      </w:pPr>
    </w:p>
    <w:bookmarkStart w:id="7" w:name="page8"/>
    <w:bookmarkEnd w:id="7"/>
    <w:p>
      <w:pPr>
        <w:spacing w:after="0" w:line="150" w:lineRule="exact"/>
        <w:rPr>
          <w:sz w:val="20"/>
          <w:szCs w:val="20"/>
          <w:color w:val="auto"/>
        </w:rPr>
      </w:pPr>
    </w:p>
    <w:p>
      <w:pPr>
        <w:jc w:val="both"/>
        <w:spacing w:after="0" w:line="270" w:lineRule="auto"/>
        <w:rPr>
          <w:sz w:val="20"/>
          <w:szCs w:val="20"/>
          <w:color w:val="auto"/>
        </w:rPr>
      </w:pPr>
      <w:r>
        <w:rPr>
          <w:rFonts w:ascii="Arial" w:cs="Arial" w:eastAsia="Arial" w:hAnsi="Arial"/>
          <w:sz w:val="19"/>
          <w:szCs w:val="19"/>
          <w:color w:val="auto"/>
        </w:rPr>
        <w:t xml:space="preserve">or any legal or beneficial interest in such share, whether or not for value, whether direct or indirect, whether any such transaction is to be settled by delivery of such share of LT Common Stock, in cash or otherwise, and whether voluntary or involuntary or by operation of law, and shall include, without limitation, (a) a transfer of a share of LT Common Stock to a broker or other nominee (regardless of whether or not there is a corresponding change in beneficial ownership) or (b) the transfer of, or entering into a binding agreement with respect to, the exclusive power (whether directly or indirectly) to vote or direct the voting of such share of LT Common Stock, including by proxy, voting agreement or otherwise; </w:t>
      </w:r>
      <w:r>
        <w:rPr>
          <w:rFonts w:ascii="Arial" w:cs="Arial" w:eastAsia="Arial" w:hAnsi="Arial"/>
          <w:sz w:val="19"/>
          <w:szCs w:val="19"/>
          <w:i w:val="1"/>
          <w:iCs w:val="1"/>
          <w:color w:val="auto"/>
        </w:rPr>
        <w:t>provided, however,</w:t>
      </w:r>
      <w:r>
        <w:rPr>
          <w:rFonts w:ascii="Arial" w:cs="Arial" w:eastAsia="Arial" w:hAnsi="Arial"/>
          <w:sz w:val="19"/>
          <w:szCs w:val="19"/>
          <w:color w:val="auto"/>
        </w:rPr>
        <w:t xml:space="preserve"> that a “Transfer” shall not include:</w:t>
      </w:r>
    </w:p>
    <w:p>
      <w:pPr>
        <w:spacing w:after="0" w:line="1" w:lineRule="exact"/>
        <w:rPr>
          <w:sz w:val="20"/>
          <w:szCs w:val="20"/>
          <w:color w:val="auto"/>
        </w:rPr>
      </w:pPr>
    </w:p>
    <w:p>
      <w:pPr>
        <w:jc w:val="both"/>
        <w:ind w:firstLine="8"/>
        <w:spacing w:after="0" w:line="243" w:lineRule="auto"/>
        <w:tabs>
          <w:tab w:leader="none" w:pos="324" w:val="left"/>
        </w:tabs>
        <w:numPr>
          <w:ilvl w:val="0"/>
          <w:numId w:val="8"/>
        </w:numPr>
        <w:rPr>
          <w:rFonts w:ascii="Arial" w:cs="Arial" w:eastAsia="Arial" w:hAnsi="Arial"/>
          <w:sz w:val="21"/>
          <w:szCs w:val="21"/>
          <w:color w:val="auto"/>
        </w:rPr>
      </w:pPr>
      <w:r>
        <w:rPr>
          <w:rFonts w:ascii="Arial" w:cs="Arial" w:eastAsia="Arial" w:hAnsi="Arial"/>
          <w:sz w:val="21"/>
          <w:szCs w:val="21"/>
          <w:color w:val="auto"/>
        </w:rPr>
        <w:t>the grant of a proxy to officers or directors of the Corporation at the request of the Board in connection with actions to be taken at an annual or special meeting of stockholders; (2) any Transfer to or by the trust (the “</w:t>
      </w:r>
      <w:r>
        <w:rPr>
          <w:rFonts w:ascii="Arial" w:cs="Arial" w:eastAsia="Arial" w:hAnsi="Arial"/>
          <w:sz w:val="21"/>
          <w:szCs w:val="21"/>
          <w:u w:val="single" w:color="auto"/>
          <w:color w:val="auto"/>
        </w:rPr>
        <w:t>Expensify Voting Trust</w:t>
      </w:r>
      <w:r>
        <w:rPr>
          <w:rFonts w:ascii="Arial" w:cs="Arial" w:eastAsia="Arial" w:hAnsi="Arial"/>
          <w:sz w:val="21"/>
          <w:szCs w:val="21"/>
          <w:color w:val="auto"/>
        </w:rPr>
        <w:t>”) established under that certain Voting Trust Agreement, dated as of November 9, 2021, by and between the Company and the holders named therein (as it may be amended and/or restated from time to time in accordance with its terms, the “</w:t>
      </w:r>
      <w:r>
        <w:rPr>
          <w:rFonts w:ascii="Arial" w:cs="Arial" w:eastAsia="Arial" w:hAnsi="Arial"/>
          <w:sz w:val="21"/>
          <w:szCs w:val="21"/>
          <w:u w:val="single" w:color="auto"/>
          <w:color w:val="auto"/>
        </w:rPr>
        <w:t>Voting Trust</w:t>
      </w:r>
      <w:r>
        <w:rPr>
          <w:rFonts w:ascii="Arial" w:cs="Arial" w:eastAsia="Arial" w:hAnsi="Arial"/>
          <w:sz w:val="21"/>
          <w:szCs w:val="21"/>
          <w:color w:val="auto"/>
        </w:rPr>
        <w:t xml:space="preserve"> </w:t>
      </w:r>
      <w:r>
        <w:rPr>
          <w:rFonts w:ascii="Arial" w:cs="Arial" w:eastAsia="Arial" w:hAnsi="Arial"/>
          <w:sz w:val="21"/>
          <w:szCs w:val="21"/>
          <w:u w:val="single" w:color="auto"/>
          <w:color w:val="auto"/>
        </w:rPr>
        <w:t>Agreement</w:t>
      </w:r>
      <w:r>
        <w:rPr>
          <w:rFonts w:ascii="Arial" w:cs="Arial" w:eastAsia="Arial" w:hAnsi="Arial"/>
          <w:sz w:val="21"/>
          <w:szCs w:val="21"/>
          <w:color w:val="auto"/>
        </w:rPr>
        <w:t>”); (3) a Transfer to a decedent’s estate upon the death of a holder of LT Common Stock; (4) an Exchange as defined in and pursuant to Section 3(H)(iii) of this Article IV; or (5) the fact that the spouse of any holder of LT Common Stock possesses or obtains an interest in such holder’s shares of LT Common Stock arising solely by reason of the application of the property transfer laws of any jurisdiction, so long as no other event or circumstance shall exist or have occurred that constitutes a Transfer of such shares of LT Common Stock.</w:t>
      </w:r>
    </w:p>
    <w:p>
      <w:pPr>
        <w:spacing w:after="0" w:line="184" w:lineRule="exact"/>
        <w:rPr>
          <w:rFonts w:ascii="Arial" w:cs="Arial" w:eastAsia="Arial" w:hAnsi="Arial"/>
          <w:sz w:val="21"/>
          <w:szCs w:val="21"/>
          <w:color w:val="auto"/>
        </w:rPr>
      </w:pPr>
    </w:p>
    <w:p>
      <w:pPr>
        <w:jc w:val="both"/>
        <w:ind w:right="20" w:firstLine="1304"/>
        <w:spacing w:after="0"/>
        <w:tabs>
          <w:tab w:leader="none" w:pos="1817" w:val="left"/>
        </w:tabs>
        <w:numPr>
          <w:ilvl w:val="2"/>
          <w:numId w:val="8"/>
        </w:numPr>
        <w:rPr>
          <w:rFonts w:ascii="Arial" w:cs="Arial" w:eastAsia="Arial" w:hAnsi="Arial"/>
          <w:sz w:val="22"/>
          <w:szCs w:val="22"/>
          <w:color w:val="auto"/>
        </w:rPr>
      </w:pPr>
      <w:r>
        <w:rPr>
          <w:rFonts w:ascii="Arial" w:cs="Arial" w:eastAsia="Arial" w:hAnsi="Arial"/>
          <w:sz w:val="22"/>
          <w:szCs w:val="22"/>
          <w:color w:val="auto"/>
        </w:rPr>
        <w:t>Notwithstanding the foregoing, the Board shall be able to waive, upon the affirmative vote of a majority of the members of the Board, any or all of the requirements of Section 3(H) of this Article IV with respect to the Transfer of any shares of LT Common Stock.</w:t>
      </w:r>
    </w:p>
    <w:p>
      <w:pPr>
        <w:spacing w:after="0" w:line="186" w:lineRule="exact"/>
        <w:rPr>
          <w:rFonts w:ascii="Arial" w:cs="Arial" w:eastAsia="Arial" w:hAnsi="Arial"/>
          <w:sz w:val="22"/>
          <w:szCs w:val="22"/>
          <w:color w:val="auto"/>
        </w:rPr>
      </w:pPr>
    </w:p>
    <w:p>
      <w:pPr>
        <w:jc w:val="both"/>
        <w:ind w:firstLine="1304"/>
        <w:spacing w:after="0"/>
        <w:tabs>
          <w:tab w:leader="none" w:pos="1899" w:val="left"/>
        </w:tabs>
        <w:numPr>
          <w:ilvl w:val="2"/>
          <w:numId w:val="8"/>
        </w:numPr>
        <w:rPr>
          <w:rFonts w:ascii="Arial" w:cs="Arial" w:eastAsia="Arial" w:hAnsi="Arial"/>
          <w:sz w:val="22"/>
          <w:szCs w:val="22"/>
          <w:color w:val="auto"/>
        </w:rPr>
      </w:pPr>
      <w:r>
        <w:rPr>
          <w:rFonts w:ascii="Arial" w:cs="Arial" w:eastAsia="Arial" w:hAnsi="Arial"/>
          <w:sz w:val="22"/>
          <w:szCs w:val="22"/>
          <w:color w:val="auto"/>
        </w:rPr>
        <w:t xml:space="preserve">Any Transfer of shares of LT Common Stock not made in accordance with this Section 3(F) and Section 3(H), or pursuant to Section 3(G), of this Article IV shall be void </w:t>
      </w:r>
      <w:r>
        <w:rPr>
          <w:rFonts w:ascii="Arial" w:cs="Arial" w:eastAsia="Arial" w:hAnsi="Arial"/>
          <w:sz w:val="22"/>
          <w:szCs w:val="22"/>
          <w:i w:val="1"/>
          <w:iCs w:val="1"/>
          <w:color w:val="auto"/>
        </w:rPr>
        <w:t>ab initio</w:t>
      </w:r>
      <w:r>
        <w:rPr>
          <w:rFonts w:ascii="Arial" w:cs="Arial" w:eastAsia="Arial" w:hAnsi="Arial"/>
          <w:sz w:val="22"/>
          <w:szCs w:val="22"/>
          <w:color w:val="auto"/>
        </w:rPr>
        <w:t>, and the Corporation shall not treat the transferee in such transaction as a holder of such shares for any purpose.</w:t>
      </w:r>
    </w:p>
    <w:p>
      <w:pPr>
        <w:spacing w:after="0" w:line="186" w:lineRule="exact"/>
        <w:rPr>
          <w:rFonts w:ascii="Arial" w:cs="Arial" w:eastAsia="Arial" w:hAnsi="Arial"/>
          <w:sz w:val="22"/>
          <w:szCs w:val="22"/>
          <w:color w:val="auto"/>
        </w:rPr>
      </w:pPr>
    </w:p>
    <w:p>
      <w:pPr>
        <w:ind w:left="1180" w:hanging="524"/>
        <w:spacing w:after="0"/>
        <w:tabs>
          <w:tab w:leader="none" w:pos="1180" w:val="left"/>
        </w:tabs>
        <w:numPr>
          <w:ilvl w:val="1"/>
          <w:numId w:val="8"/>
        </w:numPr>
        <w:rPr>
          <w:rFonts w:ascii="Arial" w:cs="Arial" w:eastAsia="Arial" w:hAnsi="Arial"/>
          <w:sz w:val="22"/>
          <w:szCs w:val="22"/>
          <w:color w:val="auto"/>
        </w:rPr>
      </w:pPr>
      <w:r>
        <w:rPr>
          <w:rFonts w:ascii="Arial" w:cs="Arial" w:eastAsia="Arial" w:hAnsi="Arial"/>
          <w:sz w:val="22"/>
          <w:szCs w:val="22"/>
          <w:u w:val="single" w:color="auto"/>
          <w:color w:val="auto"/>
        </w:rPr>
        <w:t>Conversion of LT Common Stock</w:t>
      </w:r>
      <w:r>
        <w:rPr>
          <w:rFonts w:ascii="Arial" w:cs="Arial" w:eastAsia="Arial" w:hAnsi="Arial"/>
          <w:sz w:val="22"/>
          <w:szCs w:val="22"/>
          <w:color w:val="auto"/>
        </w:rPr>
        <w:t>.</w:t>
      </w:r>
    </w:p>
    <w:p>
      <w:pPr>
        <w:spacing w:after="0" w:line="206" w:lineRule="exact"/>
        <w:rPr>
          <w:rFonts w:ascii="Arial" w:cs="Arial" w:eastAsia="Arial" w:hAnsi="Arial"/>
          <w:sz w:val="22"/>
          <w:szCs w:val="22"/>
          <w:color w:val="auto"/>
        </w:rPr>
      </w:pPr>
    </w:p>
    <w:p>
      <w:pPr>
        <w:jc w:val="both"/>
        <w:ind w:firstLine="1304"/>
        <w:spacing w:after="0"/>
        <w:tabs>
          <w:tab w:leader="none" w:pos="1729" w:val="left"/>
        </w:tabs>
        <w:numPr>
          <w:ilvl w:val="2"/>
          <w:numId w:val="9"/>
        </w:numPr>
        <w:rPr>
          <w:rFonts w:ascii="Arial" w:cs="Arial" w:eastAsia="Arial" w:hAnsi="Arial"/>
          <w:sz w:val="22"/>
          <w:szCs w:val="22"/>
          <w:color w:val="auto"/>
        </w:rPr>
      </w:pPr>
      <w:r>
        <w:rPr>
          <w:rFonts w:ascii="Arial" w:cs="Arial" w:eastAsia="Arial" w:hAnsi="Arial"/>
          <w:sz w:val="22"/>
          <w:szCs w:val="22"/>
          <w:u w:val="single" w:color="auto"/>
          <w:color w:val="auto"/>
        </w:rPr>
        <w:t>Optional Conversion by Holder of LT Common Stock</w:t>
      </w:r>
      <w:r>
        <w:rPr>
          <w:rFonts w:ascii="Arial" w:cs="Arial" w:eastAsia="Arial" w:hAnsi="Arial"/>
          <w:sz w:val="22"/>
          <w:szCs w:val="22"/>
          <w:color w:val="auto"/>
        </w:rPr>
        <w:t>. Each share of LT Common Stock shall be convertible into one (1) fully paid and nonassessable share of Class A Common Stock at the option of the holder thereof solely upon the satisfaction of and subject to the requirements set forth in Section 3(H) of this Article IV.</w:t>
      </w:r>
    </w:p>
    <w:p>
      <w:pPr>
        <w:spacing w:after="0" w:line="186" w:lineRule="exact"/>
        <w:rPr>
          <w:rFonts w:ascii="Arial" w:cs="Arial" w:eastAsia="Arial" w:hAnsi="Arial"/>
          <w:sz w:val="22"/>
          <w:szCs w:val="22"/>
          <w:color w:val="auto"/>
        </w:rPr>
      </w:pPr>
    </w:p>
    <w:p>
      <w:pPr>
        <w:jc w:val="both"/>
        <w:ind w:firstLine="1304"/>
        <w:spacing w:after="0" w:line="246" w:lineRule="auto"/>
        <w:tabs>
          <w:tab w:leader="none" w:pos="1789" w:val="left"/>
        </w:tabs>
        <w:numPr>
          <w:ilvl w:val="2"/>
          <w:numId w:val="9"/>
        </w:numPr>
        <w:rPr>
          <w:rFonts w:ascii="Arial" w:cs="Arial" w:eastAsia="Arial" w:hAnsi="Arial"/>
          <w:sz w:val="21"/>
          <w:szCs w:val="21"/>
          <w:color w:val="auto"/>
        </w:rPr>
      </w:pPr>
      <w:r>
        <w:rPr>
          <w:rFonts w:ascii="Arial" w:cs="Arial" w:eastAsia="Arial" w:hAnsi="Arial"/>
          <w:sz w:val="21"/>
          <w:szCs w:val="21"/>
          <w:u w:val="single" w:color="auto"/>
          <w:color w:val="auto"/>
        </w:rPr>
        <w:t>Automatic Conversion Upon Certain Transfers</w:t>
      </w:r>
      <w:r>
        <w:rPr>
          <w:rFonts w:ascii="Arial" w:cs="Arial" w:eastAsia="Arial" w:hAnsi="Arial"/>
          <w:sz w:val="21"/>
          <w:szCs w:val="21"/>
          <w:color w:val="auto"/>
        </w:rPr>
        <w:t xml:space="preserve">. Except in the case of a Non-Converting Transfer, each share of LT Common Stock shall automatically, without further action by the Corporation or the holder thereof, convert into one (1) fully paid and nonassessable share of Class A Common Stock upon the occurrence of a Transfer of such share of LT Common Stock, </w:t>
      </w:r>
      <w:r>
        <w:rPr>
          <w:rFonts w:ascii="Arial" w:cs="Arial" w:eastAsia="Arial" w:hAnsi="Arial"/>
          <w:sz w:val="21"/>
          <w:szCs w:val="21"/>
          <w:i w:val="1"/>
          <w:iCs w:val="1"/>
          <w:color w:val="auto"/>
        </w:rPr>
        <w:t>provided that</w:t>
      </w:r>
      <w:r>
        <w:rPr>
          <w:rFonts w:ascii="Arial" w:cs="Arial" w:eastAsia="Arial" w:hAnsi="Arial"/>
          <w:sz w:val="21"/>
          <w:szCs w:val="21"/>
          <w:color w:val="auto"/>
        </w:rPr>
        <w:t xml:space="preserve"> such Transfer is made in compliance with the requirements outlined in Section 3(F) and Section 3(H) of this Article IV. For the avoidance of doubt, any Transfer of shares of LT Common Stock not made in accordance with such provisions shall be void and the Corporation shall not treat the transferee in such transaction as a holder of such shares for any purposes. A “</w:t>
      </w:r>
      <w:r>
        <w:rPr>
          <w:rFonts w:ascii="Arial" w:cs="Arial" w:eastAsia="Arial" w:hAnsi="Arial"/>
          <w:sz w:val="21"/>
          <w:szCs w:val="21"/>
          <w:u w:val="single" w:color="auto"/>
          <w:color w:val="auto"/>
        </w:rPr>
        <w:t>Non-Converting Transfer</w:t>
      </w:r>
      <w:r>
        <w:rPr>
          <w:rFonts w:ascii="Arial" w:cs="Arial" w:eastAsia="Arial" w:hAnsi="Arial"/>
          <w:sz w:val="21"/>
          <w:szCs w:val="21"/>
          <w:color w:val="auto"/>
        </w:rPr>
        <w:t>” means a Transfer of shares of LT Common Stock (i) to be held in trust by the Trustees of the Expensify Voting Trust; (ii) in an Exchange as defined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1240"/>
          </w:cols>
          <w:pgMar w:left="320" w:top="1440" w:right="339" w:bottom="1440" w:gutter="0" w:footer="0" w:header="0"/>
        </w:sectPr>
      </w:pPr>
    </w:p>
    <w:bookmarkStart w:id="8" w:name="page9"/>
    <w:bookmarkEnd w:id="8"/>
    <w:p>
      <w:pPr>
        <w:spacing w:after="0" w:line="150" w:lineRule="exact"/>
        <w:rPr>
          <w:sz w:val="20"/>
          <w:szCs w:val="20"/>
          <w:color w:val="auto"/>
        </w:rPr>
      </w:pPr>
    </w:p>
    <w:p>
      <w:pPr>
        <w:ind w:right="20"/>
        <w:spacing w:after="0" w:line="250" w:lineRule="auto"/>
        <w:rPr>
          <w:sz w:val="20"/>
          <w:szCs w:val="20"/>
          <w:color w:val="auto"/>
        </w:rPr>
      </w:pPr>
      <w:r>
        <w:rPr>
          <w:rFonts w:ascii="Arial" w:cs="Arial" w:eastAsia="Arial" w:hAnsi="Arial"/>
          <w:sz w:val="22"/>
          <w:szCs w:val="22"/>
          <w:color w:val="auto"/>
        </w:rPr>
        <w:t>and pursuant to Section 3(H)(iii) of this Article IV; (iii) to the estate of a decedent holder of LT Common Stock, upon such holder’s death; or (iv) approved in advance by the affirmative vote of a majority of the members of the Board.</w:t>
      </w:r>
    </w:p>
    <w:p>
      <w:pPr>
        <w:spacing w:after="0" w:line="175" w:lineRule="exact"/>
        <w:rPr>
          <w:sz w:val="20"/>
          <w:szCs w:val="20"/>
          <w:color w:val="auto"/>
        </w:rPr>
      </w:pPr>
    </w:p>
    <w:p>
      <w:pPr>
        <w:jc w:val="both"/>
        <w:ind w:firstLine="1304"/>
        <w:spacing w:after="0" w:line="252" w:lineRule="auto"/>
        <w:tabs>
          <w:tab w:leader="none" w:pos="1957" w:val="left"/>
        </w:tabs>
        <w:numPr>
          <w:ilvl w:val="0"/>
          <w:numId w:val="10"/>
        </w:numPr>
        <w:rPr>
          <w:rFonts w:ascii="Arial" w:cs="Arial" w:eastAsia="Arial" w:hAnsi="Arial"/>
          <w:sz w:val="21"/>
          <w:szCs w:val="21"/>
          <w:color w:val="auto"/>
        </w:rPr>
      </w:pPr>
      <w:r>
        <w:rPr>
          <w:rFonts w:ascii="Arial" w:cs="Arial" w:eastAsia="Arial" w:hAnsi="Arial"/>
          <w:sz w:val="21"/>
          <w:szCs w:val="21"/>
          <w:u w:val="single" w:color="auto"/>
          <w:color w:val="auto"/>
        </w:rPr>
        <w:t>Automatic Conversion Upon Reduction in Outstanding Shares</w:t>
      </w:r>
      <w:r>
        <w:rPr>
          <w:rFonts w:ascii="Arial" w:cs="Arial" w:eastAsia="Arial" w:hAnsi="Arial"/>
          <w:sz w:val="21"/>
          <w:szCs w:val="21"/>
          <w:color w:val="auto"/>
        </w:rPr>
        <w:t>. Each outstanding share of LT Common Stock shall automatically, without further action by the Corporation or the holder thereof, convert into one (1) fully paid and nonassessable share of Class A Common Stock upon the first date on which the then-outstanding shares of LT Common Stock represent less than two percent (2%) of all then-outstanding shares of Common Stock.</w:t>
      </w:r>
    </w:p>
    <w:p>
      <w:pPr>
        <w:spacing w:after="0" w:line="173" w:lineRule="exact"/>
        <w:rPr>
          <w:rFonts w:ascii="Arial" w:cs="Arial" w:eastAsia="Arial" w:hAnsi="Arial"/>
          <w:sz w:val="21"/>
          <w:szCs w:val="21"/>
          <w:color w:val="auto"/>
        </w:rPr>
      </w:pPr>
    </w:p>
    <w:p>
      <w:pPr>
        <w:jc w:val="both"/>
        <w:ind w:firstLine="1304"/>
        <w:spacing w:after="0" w:line="275" w:lineRule="auto"/>
        <w:tabs>
          <w:tab w:leader="none" w:pos="1891" w:val="left"/>
        </w:tabs>
        <w:numPr>
          <w:ilvl w:val="0"/>
          <w:numId w:val="10"/>
        </w:numPr>
        <w:rPr>
          <w:rFonts w:ascii="Arial" w:cs="Arial" w:eastAsia="Arial" w:hAnsi="Arial"/>
          <w:sz w:val="19"/>
          <w:szCs w:val="19"/>
          <w:color w:val="auto"/>
        </w:rPr>
      </w:pPr>
      <w:r>
        <w:rPr>
          <w:rFonts w:ascii="Arial" w:cs="Arial" w:eastAsia="Arial" w:hAnsi="Arial"/>
          <w:sz w:val="19"/>
          <w:szCs w:val="19"/>
          <w:u w:val="single" w:color="auto"/>
          <w:color w:val="auto"/>
        </w:rPr>
        <w:t>Policies and Procedures</w:t>
      </w:r>
      <w:r>
        <w:rPr>
          <w:rFonts w:ascii="Arial" w:cs="Arial" w:eastAsia="Arial" w:hAnsi="Arial"/>
          <w:sz w:val="19"/>
          <w:szCs w:val="19"/>
          <w:color w:val="auto"/>
        </w:rPr>
        <w:t>. The Corporation may, from time to time, establish such policies and procedures, not in violation of applicable law or the other provisions of this Certificate of Incorporation, relating to the conversion of the LT Common Stock into Class A Common Stock and the general administration of this multi-class stock structure, including the issuance of stock certificates with respect thereto, as it may deem necessary or advisable, and may from time to time request that holders of shares of LT Common Stock furnish such certifications, affidavits or other proof to the Corporation as it deems necessary to verify the ownership of LT Common Stock and to confirm that a conversion to Class A Common Stock has not previously occurred. A determination by the Board that a Transfer has resulted or will result in a conversion of the LT Common Stock to Class A Common Stock shall be conclusive and binding on all persons to the fullest extent permitted by law.</w:t>
      </w:r>
    </w:p>
    <w:p>
      <w:pPr>
        <w:spacing w:after="0" w:line="157" w:lineRule="exact"/>
        <w:rPr>
          <w:rFonts w:ascii="Arial" w:cs="Arial" w:eastAsia="Arial" w:hAnsi="Arial"/>
          <w:sz w:val="19"/>
          <w:szCs w:val="19"/>
          <w:color w:val="auto"/>
        </w:rPr>
      </w:pPr>
    </w:p>
    <w:p>
      <w:pPr>
        <w:jc w:val="both"/>
        <w:ind w:firstLine="1304"/>
        <w:spacing w:after="0"/>
        <w:tabs>
          <w:tab w:leader="none" w:pos="1764" w:val="left"/>
        </w:tabs>
        <w:numPr>
          <w:ilvl w:val="0"/>
          <w:numId w:val="10"/>
        </w:numPr>
        <w:rPr>
          <w:rFonts w:ascii="Arial" w:cs="Arial" w:eastAsia="Arial" w:hAnsi="Arial"/>
          <w:sz w:val="22"/>
          <w:szCs w:val="22"/>
          <w:color w:val="auto"/>
        </w:rPr>
      </w:pPr>
      <w:r>
        <w:rPr>
          <w:rFonts w:ascii="Arial" w:cs="Arial" w:eastAsia="Arial" w:hAnsi="Arial"/>
          <w:sz w:val="22"/>
          <w:szCs w:val="22"/>
          <w:u w:val="single" w:color="auto"/>
          <w:color w:val="auto"/>
        </w:rPr>
        <w:t>Status of Converted Stock</w:t>
      </w:r>
      <w:r>
        <w:rPr>
          <w:rFonts w:ascii="Arial" w:cs="Arial" w:eastAsia="Arial" w:hAnsi="Arial"/>
          <w:sz w:val="22"/>
          <w:szCs w:val="22"/>
          <w:color w:val="auto"/>
        </w:rPr>
        <w:t>. In the event any shares of LT Common Stock are converted into shares of Class A Common Stock pursuant to this Section 3, the shares of LT Common Stock so converted shall be retired and shall not be reissued by the Corporation.</w:t>
      </w:r>
    </w:p>
    <w:p>
      <w:pPr>
        <w:spacing w:after="0" w:line="186" w:lineRule="exact"/>
        <w:rPr>
          <w:rFonts w:ascii="Arial" w:cs="Arial" w:eastAsia="Arial" w:hAnsi="Arial"/>
          <w:sz w:val="22"/>
          <w:szCs w:val="22"/>
          <w:color w:val="auto"/>
        </w:rPr>
      </w:pPr>
    </w:p>
    <w:p>
      <w:pPr>
        <w:jc w:val="both"/>
        <w:ind w:firstLine="1304"/>
        <w:spacing w:after="0" w:line="274" w:lineRule="auto"/>
        <w:tabs>
          <w:tab w:leader="none" w:pos="1905" w:val="left"/>
        </w:tabs>
        <w:numPr>
          <w:ilvl w:val="0"/>
          <w:numId w:val="10"/>
        </w:numPr>
        <w:rPr>
          <w:rFonts w:ascii="Arial" w:cs="Arial" w:eastAsia="Arial" w:hAnsi="Arial"/>
          <w:sz w:val="19"/>
          <w:szCs w:val="19"/>
          <w:color w:val="auto"/>
        </w:rPr>
      </w:pPr>
      <w:r>
        <w:rPr>
          <w:rFonts w:ascii="Arial" w:cs="Arial" w:eastAsia="Arial" w:hAnsi="Arial"/>
          <w:sz w:val="19"/>
          <w:szCs w:val="19"/>
          <w:u w:val="single" w:color="auto"/>
          <w:color w:val="auto"/>
        </w:rPr>
        <w:t>Effect of Conversion on Payment of Dividends</w:t>
      </w:r>
      <w:r>
        <w:rPr>
          <w:rFonts w:ascii="Arial" w:cs="Arial" w:eastAsia="Arial" w:hAnsi="Arial"/>
          <w:sz w:val="19"/>
          <w:szCs w:val="19"/>
          <w:color w:val="auto"/>
        </w:rPr>
        <w:t xml:space="preserve">. Notwithstanding anything to the contrary in this Section 3(G), if the date on which any share of LT Common Stock is converted into Class A Common Stock pursuant to the provisions of this Section 3(G) occurs after the record date for the determination of holders of LT Common Stock entitled to receive any dividend to be paid on the shares of LT Common Stock, the holder of such shares of LT Common Stock as of such record date will be entitled to receive such dividend on such payment date; </w:t>
      </w:r>
      <w:r>
        <w:rPr>
          <w:rFonts w:ascii="Arial" w:cs="Arial" w:eastAsia="Arial" w:hAnsi="Arial"/>
          <w:sz w:val="19"/>
          <w:szCs w:val="19"/>
          <w:i w:val="1"/>
          <w:iCs w:val="1"/>
          <w:color w:val="auto"/>
        </w:rPr>
        <w:t>provided</w:t>
      </w:r>
      <w:r>
        <w:rPr>
          <w:rFonts w:ascii="Arial" w:cs="Arial" w:eastAsia="Arial" w:hAnsi="Arial"/>
          <w:sz w:val="19"/>
          <w:szCs w:val="19"/>
          <w:color w:val="auto"/>
        </w:rPr>
        <w:t>, that, notwithstanding any other provision of this Certificate of Incorporation, to the extent that any such dividend is payable in shares of LT Common Stock (or rights to acquire, or securities convertible into or exchangeable for, such shares, as the case may be), such dividend shall be deemed to have been declared, and shall be payable in, shares of Class A Common Stock (or rights to acquire, or securities convertible into or exchangeable for, such shares, as the case may be), and no shares of LT Common Stock shall be issued in payment thereof.</w:t>
      </w:r>
    </w:p>
    <w:p>
      <w:pPr>
        <w:spacing w:after="0" w:line="158" w:lineRule="exact"/>
        <w:rPr>
          <w:sz w:val="20"/>
          <w:szCs w:val="20"/>
          <w:color w:val="auto"/>
        </w:rPr>
      </w:pPr>
    </w:p>
    <w:p>
      <w:pPr>
        <w:jc w:val="both"/>
        <w:ind w:firstLine="1304"/>
        <w:spacing w:after="0" w:line="252" w:lineRule="auto"/>
        <w:tabs>
          <w:tab w:leader="none" w:pos="1959" w:val="left"/>
        </w:tabs>
        <w:numPr>
          <w:ilvl w:val="0"/>
          <w:numId w:val="11"/>
        </w:numPr>
        <w:rPr>
          <w:rFonts w:ascii="Arial" w:cs="Arial" w:eastAsia="Arial" w:hAnsi="Arial"/>
          <w:sz w:val="21"/>
          <w:szCs w:val="21"/>
          <w:color w:val="auto"/>
        </w:rPr>
      </w:pPr>
      <w:r>
        <w:rPr>
          <w:rFonts w:ascii="Arial" w:cs="Arial" w:eastAsia="Arial" w:hAnsi="Arial"/>
          <w:sz w:val="21"/>
          <w:szCs w:val="21"/>
          <w:u w:val="single" w:color="auto"/>
          <w:color w:val="auto"/>
        </w:rPr>
        <w:t>Shares Reserved for Issuance</w:t>
      </w:r>
      <w:r>
        <w:rPr>
          <w:rFonts w:ascii="Arial" w:cs="Arial" w:eastAsia="Arial" w:hAnsi="Arial"/>
          <w:sz w:val="21"/>
          <w:szCs w:val="21"/>
          <w:color w:val="auto"/>
        </w:rPr>
        <w:t>. The Corporation shall at all times reserve and keep available out of its authorized but unissued shares of Class A Common Stock, solely for the purpose of effecting the conversion of the shares of LT Common Stock, such number of shares of Class A Common Stock as shall from time to time be sufficient to effect the conversion of all outstanding shares of LT Common Stock into shares of Class A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ectPr>
          <w:pgSz w:w="11900" w:h="16838" w:orient="portrait"/>
          <w:cols w:equalWidth="0" w:num="1">
            <w:col w:w="11240"/>
          </w:cols>
          <w:pgMar w:left="320" w:top="1440" w:right="339" w:bottom="1440" w:gutter="0" w:footer="0" w:header="0"/>
        </w:sectPr>
      </w:pPr>
    </w:p>
    <w:bookmarkStart w:id="9" w:name="page10"/>
    <w:bookmarkEnd w:id="9"/>
    <w:p>
      <w:pPr>
        <w:spacing w:after="0" w:line="150" w:lineRule="exact"/>
        <w:rPr>
          <w:sz w:val="20"/>
          <w:szCs w:val="20"/>
          <w:color w:val="auto"/>
        </w:rPr>
      </w:pPr>
    </w:p>
    <w:p>
      <w:pPr>
        <w:ind w:left="1180" w:hanging="524"/>
        <w:spacing w:after="0"/>
        <w:tabs>
          <w:tab w:leader="none" w:pos="1180" w:val="left"/>
        </w:tabs>
        <w:numPr>
          <w:ilvl w:val="0"/>
          <w:numId w:val="12"/>
        </w:numPr>
        <w:rPr>
          <w:rFonts w:ascii="Arial" w:cs="Arial" w:eastAsia="Arial" w:hAnsi="Arial"/>
          <w:sz w:val="22"/>
          <w:szCs w:val="22"/>
          <w:color w:val="auto"/>
        </w:rPr>
      </w:pPr>
      <w:r>
        <w:rPr>
          <w:rFonts w:ascii="Arial" w:cs="Arial" w:eastAsia="Arial" w:hAnsi="Arial"/>
          <w:sz w:val="22"/>
          <w:szCs w:val="22"/>
          <w:u w:val="single" w:color="auto"/>
          <w:color w:val="auto"/>
        </w:rPr>
        <w:t>LT Common Stock Transfer and Conversion Requirements</w:t>
      </w:r>
      <w:r>
        <w:rPr>
          <w:rFonts w:ascii="Arial" w:cs="Arial" w:eastAsia="Arial" w:hAnsi="Arial"/>
          <w:sz w:val="22"/>
          <w:szCs w:val="22"/>
          <w:color w:val="auto"/>
        </w:rPr>
        <w:t>.</w:t>
      </w:r>
    </w:p>
    <w:p>
      <w:pPr>
        <w:spacing w:after="0" w:line="206" w:lineRule="exact"/>
        <w:rPr>
          <w:rFonts w:ascii="Arial" w:cs="Arial" w:eastAsia="Arial" w:hAnsi="Arial"/>
          <w:sz w:val="22"/>
          <w:szCs w:val="22"/>
          <w:color w:val="auto"/>
        </w:rPr>
      </w:pPr>
    </w:p>
    <w:p>
      <w:pPr>
        <w:jc w:val="both"/>
        <w:ind w:firstLine="1304"/>
        <w:spacing w:after="0" w:line="245" w:lineRule="auto"/>
        <w:tabs>
          <w:tab w:leader="none" w:pos="1824" w:val="left"/>
        </w:tabs>
        <w:numPr>
          <w:ilvl w:val="1"/>
          <w:numId w:val="12"/>
        </w:numPr>
        <w:rPr>
          <w:rFonts w:ascii="Arial" w:cs="Arial" w:eastAsia="Arial" w:hAnsi="Arial"/>
          <w:sz w:val="21"/>
          <w:szCs w:val="21"/>
          <w:color w:val="auto"/>
        </w:rPr>
      </w:pPr>
      <w:r>
        <w:rPr>
          <w:rFonts w:ascii="Arial" w:cs="Arial" w:eastAsia="Arial" w:hAnsi="Arial"/>
          <w:sz w:val="21"/>
          <w:szCs w:val="21"/>
          <w:u w:val="single" w:color="auto"/>
          <w:color w:val="auto"/>
        </w:rPr>
        <w:t>Notice Requirement</w:t>
      </w:r>
      <w:r>
        <w:rPr>
          <w:rFonts w:ascii="Arial" w:cs="Arial" w:eastAsia="Arial" w:hAnsi="Arial"/>
          <w:sz w:val="21"/>
          <w:szCs w:val="21"/>
          <w:color w:val="auto"/>
        </w:rPr>
        <w:t>. Before any shares of LT Common Stock shall be converted into shares of Class A Common Stock pursuant to Section 3(G)(i) of this Article IV or Transferred pursuant to Section 3(F) of this Article IV, the holder of such shares, or if such shares are held in the Expensify Voting Trust, the beneficial holder of such shares, shall provide written notice of such conversion or Transfer intent, delivered simultaneously to the Trustees (as defined in the Voting Trust Agreement) of the Expensify Voting Trust in the manner set forth in the Voting Trust Agreement and to the Corporation at its principal corporate office, and shall state therein the number of shares of LT10 Common Stock and/or LT50 Common Stock to be so converted or Transferred. From and after the time that a holder of LT Common Stock is no longer an employee of or other service provider to the Corporation or any of its subsidiaries, the Corporation shall have the right to submit a written notice of conversion on such holder’s behalf, without the consent of such holder, delivered to the holder at the address of such holder set forth in the Company’s books and records.</w:t>
      </w:r>
    </w:p>
    <w:p>
      <w:pPr>
        <w:spacing w:after="0" w:line="180" w:lineRule="exact"/>
        <w:rPr>
          <w:rFonts w:ascii="Arial" w:cs="Arial" w:eastAsia="Arial" w:hAnsi="Arial"/>
          <w:sz w:val="21"/>
          <w:szCs w:val="21"/>
          <w:color w:val="auto"/>
        </w:rPr>
      </w:pPr>
    </w:p>
    <w:p>
      <w:pPr>
        <w:jc w:val="both"/>
        <w:ind w:firstLine="1304"/>
        <w:spacing w:after="0"/>
        <w:tabs>
          <w:tab w:leader="none" w:pos="1789" w:val="left"/>
        </w:tabs>
        <w:numPr>
          <w:ilvl w:val="1"/>
          <w:numId w:val="12"/>
        </w:numPr>
        <w:rPr>
          <w:rFonts w:ascii="Arial" w:cs="Arial" w:eastAsia="Arial" w:hAnsi="Arial"/>
          <w:sz w:val="22"/>
          <w:szCs w:val="22"/>
          <w:color w:val="auto"/>
        </w:rPr>
      </w:pPr>
      <w:r>
        <w:rPr>
          <w:rFonts w:ascii="Arial" w:cs="Arial" w:eastAsia="Arial" w:hAnsi="Arial"/>
          <w:sz w:val="22"/>
          <w:szCs w:val="22"/>
          <w:u w:val="single" w:color="auto"/>
          <w:color w:val="auto"/>
        </w:rPr>
        <w:t>Notice Period</w:t>
      </w:r>
      <w:r>
        <w:rPr>
          <w:rFonts w:ascii="Arial" w:cs="Arial" w:eastAsia="Arial" w:hAnsi="Arial"/>
          <w:sz w:val="22"/>
          <w:szCs w:val="22"/>
          <w:color w:val="auto"/>
        </w:rPr>
        <w:t>. The “Notice Period” for each share of LT10 Common Stock shall be ten (10) months, and for each share of LT50 Common Stock shall be fifty (50) months, following the receipt of notice as set forth in Section 3(H)(i) of this Article IV.</w:t>
      </w:r>
    </w:p>
    <w:p>
      <w:pPr>
        <w:spacing w:after="0" w:line="186" w:lineRule="exact"/>
        <w:rPr>
          <w:rFonts w:ascii="Arial" w:cs="Arial" w:eastAsia="Arial" w:hAnsi="Arial"/>
          <w:sz w:val="22"/>
          <w:szCs w:val="22"/>
          <w:color w:val="auto"/>
        </w:rPr>
      </w:pPr>
    </w:p>
    <w:p>
      <w:pPr>
        <w:jc w:val="both"/>
        <w:ind w:firstLine="1304"/>
        <w:spacing w:after="0" w:line="270" w:lineRule="auto"/>
        <w:tabs>
          <w:tab w:leader="none" w:pos="1876" w:val="left"/>
        </w:tabs>
        <w:numPr>
          <w:ilvl w:val="1"/>
          <w:numId w:val="12"/>
        </w:numPr>
        <w:rPr>
          <w:rFonts w:ascii="Arial" w:cs="Arial" w:eastAsia="Arial" w:hAnsi="Arial"/>
          <w:sz w:val="19"/>
          <w:szCs w:val="19"/>
          <w:color w:val="auto"/>
        </w:rPr>
      </w:pPr>
      <w:r>
        <w:rPr>
          <w:rFonts w:ascii="Arial" w:cs="Arial" w:eastAsia="Arial" w:hAnsi="Arial"/>
          <w:sz w:val="19"/>
          <w:szCs w:val="19"/>
          <w:u w:val="single" w:color="auto"/>
          <w:color w:val="auto"/>
        </w:rPr>
        <w:t>Exchange</w:t>
      </w:r>
      <w:r>
        <w:rPr>
          <w:rFonts w:ascii="Arial" w:cs="Arial" w:eastAsia="Arial" w:hAnsi="Arial"/>
          <w:sz w:val="19"/>
          <w:szCs w:val="19"/>
          <w:color w:val="auto"/>
        </w:rPr>
        <w:t>. During the applicable Notice Period, the Trustees shall attempt to identify a holder of shares of Class A Common Stock who is an employee of or other service provider to the Corporation or a subsidiary and is interested in exchanging shares of Class A Common Stock (a “</w:t>
      </w:r>
      <w:r>
        <w:rPr>
          <w:rFonts w:ascii="Arial" w:cs="Arial" w:eastAsia="Arial" w:hAnsi="Arial"/>
          <w:sz w:val="19"/>
          <w:szCs w:val="19"/>
          <w:u w:val="single" w:color="auto"/>
          <w:color w:val="auto"/>
        </w:rPr>
        <w:t>Class A Transferor</w:t>
      </w:r>
      <w:r>
        <w:rPr>
          <w:rFonts w:ascii="Arial" w:cs="Arial" w:eastAsia="Arial" w:hAnsi="Arial"/>
          <w:sz w:val="19"/>
          <w:szCs w:val="19"/>
          <w:color w:val="auto"/>
        </w:rPr>
        <w:t>”) for the shares of LT Common Stock subject to the notice, on a one-for-one basis (an “</w:t>
      </w:r>
      <w:r>
        <w:rPr>
          <w:rFonts w:ascii="Arial" w:cs="Arial" w:eastAsia="Arial" w:hAnsi="Arial"/>
          <w:sz w:val="19"/>
          <w:szCs w:val="19"/>
          <w:u w:val="single" w:color="auto"/>
          <w:color w:val="auto"/>
        </w:rPr>
        <w:t>Exchange</w:t>
      </w:r>
      <w:r>
        <w:rPr>
          <w:rFonts w:ascii="Arial" w:cs="Arial" w:eastAsia="Arial" w:hAnsi="Arial"/>
          <w:sz w:val="19"/>
          <w:szCs w:val="19"/>
          <w:color w:val="auto"/>
        </w:rPr>
        <w:t>”). If a Class A Transferor is identified, the Trustees shall provide written notice to the holder of shares of LT Common Stock seeking to convert or Transfer shares of LT Common Stock pursuant to this Section 3(H) (the “</w:t>
      </w:r>
      <w:r>
        <w:rPr>
          <w:rFonts w:ascii="Arial" w:cs="Arial" w:eastAsia="Arial" w:hAnsi="Arial"/>
          <w:sz w:val="19"/>
          <w:szCs w:val="19"/>
          <w:u w:val="single" w:color="auto"/>
          <w:color w:val="auto"/>
        </w:rPr>
        <w:t>LT Holder</w:t>
      </w:r>
      <w:r>
        <w:rPr>
          <w:rFonts w:ascii="Arial" w:cs="Arial" w:eastAsia="Arial" w:hAnsi="Arial"/>
          <w:sz w:val="19"/>
          <w:szCs w:val="19"/>
          <w:color w:val="auto"/>
        </w:rPr>
        <w:t>”), the Class A Transferor and the Corporation, at its principal corporate office, stating the names of such LT Holder and Class A Transferor, the date on which the applicable notice period expires (the “</w:t>
      </w:r>
      <w:r>
        <w:rPr>
          <w:rFonts w:ascii="Arial" w:cs="Arial" w:eastAsia="Arial" w:hAnsi="Arial"/>
          <w:sz w:val="19"/>
          <w:szCs w:val="19"/>
          <w:u w:val="single" w:color="auto"/>
          <w:color w:val="auto"/>
        </w:rPr>
        <w:t>Notice Expiration Date</w:t>
      </w:r>
      <w:r>
        <w:rPr>
          <w:rFonts w:ascii="Arial" w:cs="Arial" w:eastAsia="Arial" w:hAnsi="Arial"/>
          <w:sz w:val="19"/>
          <w:szCs w:val="19"/>
          <w:color w:val="auto"/>
        </w:rPr>
        <w:t xml:space="preserve">”), and any applicable instructions to facilitate the Exchange. Prior to the Notice Expiration Date, (x) the Class A Transferor shall be required to deliver to the Corporation a written instrument or instruments of transfer with respect to the shares of Class A Common Stock that are the subject of the Exchange, in form satisfactory to the Corporation, duly executed by such Class A Transferor, as well as, if applicable, a certificate or certificates representing such shares, </w:t>
      </w:r>
      <w:r>
        <w:rPr>
          <w:rFonts w:ascii="Arial" w:cs="Arial" w:eastAsia="Arial" w:hAnsi="Arial"/>
          <w:sz w:val="19"/>
          <w:szCs w:val="19"/>
          <w:i w:val="1"/>
          <w:iCs w:val="1"/>
          <w:color w:val="auto"/>
        </w:rPr>
        <w:t>provided, however,</w:t>
      </w:r>
      <w:r>
        <w:rPr>
          <w:rFonts w:ascii="Arial" w:cs="Arial" w:eastAsia="Arial" w:hAnsi="Arial"/>
          <w:sz w:val="19"/>
          <w:szCs w:val="19"/>
          <w:color w:val="auto"/>
        </w:rPr>
        <w:t xml:space="preserve"> that if such shares of Class A Common Stock are held in the Expensify Voting Trust, such items shall be provided by the Trustees, (y) the LT Holder shall be required to deliver to the Trustees any written instrument or instruments requested by the Trustees, and (z) if the Class A Transferor is not a party to the Voting Trust Agreement, the Class A Transferor shall deliver to the Trustees an executed joinder agreement such that following the Exchange the Class A Transferor shall be a party to the Voting Trust Agreement and the shares of LT Common Stock subject to the Exchange shall remain in the Voting Trust. The Exchange shall be deemed effective immediately prior to the close of business on the first business day following the Notice Expiration Date; </w:t>
      </w:r>
      <w:r>
        <w:rPr>
          <w:rFonts w:ascii="Arial" w:cs="Arial" w:eastAsia="Arial" w:hAnsi="Arial"/>
          <w:sz w:val="19"/>
          <w:szCs w:val="19"/>
          <w:i w:val="1"/>
          <w:iCs w:val="1"/>
          <w:color w:val="auto"/>
        </w:rPr>
        <w:t>provided, however,</w:t>
      </w:r>
      <w:r>
        <w:rPr>
          <w:rFonts w:ascii="Arial" w:cs="Arial" w:eastAsia="Arial" w:hAnsi="Arial"/>
          <w:sz w:val="19"/>
          <w:szCs w:val="19"/>
          <w:color w:val="auto"/>
        </w:rPr>
        <w:t xml:space="preserve"> that the Corporation may extend such effective date by up to five (5) days if necessary to effectuate the Exchange (such date, the “</w:t>
      </w:r>
      <w:r>
        <w:rPr>
          <w:rFonts w:ascii="Arial" w:cs="Arial" w:eastAsia="Arial" w:hAnsi="Arial"/>
          <w:sz w:val="19"/>
          <w:szCs w:val="19"/>
          <w:u w:val="single" w:color="auto"/>
          <w:color w:val="auto"/>
        </w:rPr>
        <w:t>Effective Date</w:t>
      </w:r>
      <w:r>
        <w:rPr>
          <w:rFonts w:ascii="Arial" w:cs="Arial" w:eastAsia="Arial" w:hAnsi="Arial"/>
          <w:sz w:val="19"/>
          <w:szCs w:val="19"/>
          <w:color w:val="auto"/>
        </w:rPr>
        <w:t>”). The Corporation shall, as soon as practicable after the Effective Date, issue and deliver to such LT Holder a certificate or certificates representing the number of shares of Class A Common Stock to which such holder is entitled upon the Exchange (if such shares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w:t>
      </w:r>
    </w:p>
    <w:p>
      <w:pPr>
        <w:sectPr>
          <w:pgSz w:w="11900" w:h="16838" w:orient="portrait"/>
          <w:cols w:equalWidth="0" w:num="1">
            <w:col w:w="11240"/>
          </w:cols>
          <w:pgMar w:left="320" w:top="1440" w:right="339" w:bottom="1440" w:gutter="0" w:footer="0" w:header="0"/>
        </w:sectPr>
      </w:pPr>
    </w:p>
    <w:bookmarkStart w:id="10" w:name="page11"/>
    <w:bookmarkEnd w:id="10"/>
    <w:p>
      <w:pPr>
        <w:spacing w:after="0" w:line="150" w:lineRule="exact"/>
        <w:rPr>
          <w:sz w:val="20"/>
          <w:szCs w:val="20"/>
          <w:color w:val="auto"/>
        </w:rPr>
      </w:pPr>
    </w:p>
    <w:p>
      <w:pPr>
        <w:jc w:val="both"/>
        <w:spacing w:after="0"/>
        <w:rPr>
          <w:sz w:val="20"/>
          <w:szCs w:val="20"/>
          <w:color w:val="auto"/>
        </w:rPr>
      </w:pPr>
      <w:r>
        <w:rPr>
          <w:rFonts w:ascii="Arial" w:cs="Arial" w:eastAsia="Arial" w:hAnsi="Arial"/>
          <w:sz w:val="22"/>
          <w:szCs w:val="22"/>
          <w:color w:val="auto"/>
        </w:rPr>
        <w:t>Class A Common Stock are certificated) or shall register such shares of Class A Common Stock in book-entry form (if such shares of Class A Common Stock are uncertificated), and the Trustees shall revise the Trust Register (as defined in the Voting Trust Agreement) accordingly, in each case effective as of the Effective Date.</w:t>
      </w:r>
    </w:p>
    <w:p>
      <w:pPr>
        <w:spacing w:after="0" w:line="186" w:lineRule="exact"/>
        <w:rPr>
          <w:sz w:val="20"/>
          <w:szCs w:val="20"/>
          <w:color w:val="auto"/>
        </w:rPr>
      </w:pPr>
    </w:p>
    <w:p>
      <w:pPr>
        <w:jc w:val="both"/>
        <w:ind w:firstLine="1304"/>
        <w:spacing w:after="0" w:line="269" w:lineRule="auto"/>
        <w:tabs>
          <w:tab w:leader="none" w:pos="1999" w:val="left"/>
        </w:tabs>
        <w:numPr>
          <w:ilvl w:val="0"/>
          <w:numId w:val="13"/>
        </w:numPr>
        <w:rPr>
          <w:rFonts w:ascii="Arial" w:cs="Arial" w:eastAsia="Arial" w:hAnsi="Arial"/>
          <w:sz w:val="19"/>
          <w:szCs w:val="19"/>
          <w:color w:val="auto"/>
        </w:rPr>
      </w:pPr>
      <w:r>
        <w:rPr>
          <w:rFonts w:ascii="Arial" w:cs="Arial" w:eastAsia="Arial" w:hAnsi="Arial"/>
          <w:sz w:val="19"/>
          <w:szCs w:val="19"/>
          <w:u w:val="single" w:color="auto"/>
          <w:color w:val="auto"/>
        </w:rPr>
        <w:t>Conversion of LT Common Stock if No Exchange</w:t>
      </w:r>
      <w:r>
        <w:rPr>
          <w:rFonts w:ascii="Arial" w:cs="Arial" w:eastAsia="Arial" w:hAnsi="Arial"/>
          <w:sz w:val="19"/>
          <w:szCs w:val="19"/>
          <w:color w:val="auto"/>
        </w:rPr>
        <w:t>. If the Trustees are unable to identify a Class A Transferor to participate in an Exchange prior to the Notice Expiration Date, they shall provide written notice to the Corporation no later than one business day prior to the Notice Expiration Date, and the Corporation shall, as soon as practicable following the Notice Expiration Date, effectuate the conversion of the shares of LT Common Stock subject to the notice into shares of Class A Common Stock on a one-for-one basis in accordance with this Section 3(H)(iv). In the event of such a conversion, as soon as practicable following the Notice Expiration Date, the holder of record of LT Common Stock shall surrender the certificate or certificates therefor (if any), duly endorsed, at the principal corporate office of the Corporation and shall provide written notice (the “</w:t>
      </w:r>
      <w:r>
        <w:rPr>
          <w:rFonts w:ascii="Arial" w:cs="Arial" w:eastAsia="Arial" w:hAnsi="Arial"/>
          <w:sz w:val="19"/>
          <w:szCs w:val="19"/>
          <w:u w:val="single" w:color="auto"/>
          <w:color w:val="auto"/>
        </w:rPr>
        <w:t>Conversion Notice</w:t>
      </w:r>
      <w:r>
        <w:rPr>
          <w:rFonts w:ascii="Arial" w:cs="Arial" w:eastAsia="Arial" w:hAnsi="Arial"/>
          <w:sz w:val="19"/>
          <w:szCs w:val="19"/>
          <w:color w:val="auto"/>
        </w:rPr>
        <w:t>”) to the Corporation at its principal corporate office stating therein the name or names (i) in which the certificate or certificates representing the shares of Class A Common Stock into which the shares of LT Common Stock being converted are to be issued (if such shares of Class A Common Stock are certificated), or (ii) in which such shares of Class A Common Stock are to be registered in book-entry form (if such shares of Class A Common Stock are uncertificated). If the shares of Class A Common Stock into which shares of LT Common Stock are to be converted are to be issued in a name or names other than the name of the beneficial holder of the shares of LT Common Stock being converted, such notice shall be accompanied by a written instrument or instruments of transfer, in form satisfactory to the Corporation, duly executed by the holder. The Corporation shall, as soon as practicable thereafter, issue and deliver to such holder, or to the nominee or nominees of such holder, a certificate or certificates representing the number of shares of Class A Common Stock to which such holder shall be entitled upon conversion (if such shares of Class A Common Stock are certificated) or shall register such shares of Class A Common Stock in book-entry form (if such shares of Class A Common Stock are uncertificated). Any such conversion shall be deemed effective immediately prior to the close of business on the date of such surrender of the shares of LT Common Stock to be converted(the “</w:t>
      </w:r>
      <w:r>
        <w:rPr>
          <w:rFonts w:ascii="Arial" w:cs="Arial" w:eastAsia="Arial" w:hAnsi="Arial"/>
          <w:sz w:val="19"/>
          <w:szCs w:val="19"/>
          <w:u w:val="single" w:color="auto"/>
          <w:color w:val="auto"/>
        </w:rPr>
        <w:t>Conversion Effective Time</w:t>
      </w:r>
      <w:r>
        <w:rPr>
          <w:rFonts w:ascii="Arial" w:cs="Arial" w:eastAsia="Arial" w:hAnsi="Arial"/>
          <w:sz w:val="19"/>
          <w:szCs w:val="19"/>
          <w:color w:val="auto"/>
        </w:rPr>
        <w:t>”), which may occur following or contemporaneously with the provision of the Conversion Notice. The shares of Class A Common Stock issuable upon such conversion shall be deemed outstanding as of the Conversion Effective Time, and the person or persons entitled to receive the shares of Class A Common Stock issuable upon such conversion shall be deemed to be the record holder or holders of such shares of Class A Common Stock as of the Conversion Effective Time.</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V</w:t>
      </w:r>
    </w:p>
    <w:p>
      <w:pPr>
        <w:spacing w:after="0" w:line="247"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AMENDMENT OF THE CERTIFICATE OF INCORPORATION</w:t>
      </w:r>
    </w:p>
    <w:p>
      <w:pPr>
        <w:spacing w:after="0" w:line="226"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9"/>
          <w:szCs w:val="19"/>
          <w:color w:val="auto"/>
        </w:rPr>
        <w:t xml:space="preserve">The Corporation reserves the right to amend, alter, change, adopt or repeal any provision contained in this Certificate of Incorporation, in the manner now or hereafter prescribed by statute, and all rights conferred upon stockholders herein are granted subject to this reservation; </w:t>
      </w:r>
      <w:r>
        <w:rPr>
          <w:rFonts w:ascii="Arial" w:cs="Arial" w:eastAsia="Arial" w:hAnsi="Arial"/>
          <w:sz w:val="19"/>
          <w:szCs w:val="19"/>
          <w:i w:val="1"/>
          <w:iCs w:val="1"/>
          <w:color w:val="auto"/>
        </w:rPr>
        <w:t>provided, however,</w:t>
      </w:r>
      <w:r>
        <w:rPr>
          <w:rFonts w:ascii="Arial" w:cs="Arial" w:eastAsia="Arial" w:hAnsi="Arial"/>
          <w:sz w:val="19"/>
          <w:szCs w:val="19"/>
          <w:color w:val="auto"/>
        </w:rPr>
        <w:t xml:space="preserve"> that notwithstanding any other provision of this Certificate of Incorporation or any provision of law that might otherwise permit a lesser vote or no vote, but in addition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w:t>
      </w:r>
    </w:p>
    <w:p>
      <w:pPr>
        <w:sectPr>
          <w:pgSz w:w="11900" w:h="16838" w:orient="portrait"/>
          <w:cols w:equalWidth="0" w:num="1">
            <w:col w:w="11240"/>
          </w:cols>
          <w:pgMar w:left="320" w:top="1440" w:right="339" w:bottom="1440" w:gutter="0" w:footer="0" w:header="0"/>
        </w:sectPr>
      </w:pPr>
    </w:p>
    <w:bookmarkStart w:id="11" w:name="page12"/>
    <w:bookmarkEnd w:id="11"/>
    <w:p>
      <w:pPr>
        <w:spacing w:after="0" w:line="150" w:lineRule="exact"/>
        <w:rPr>
          <w:sz w:val="20"/>
          <w:szCs w:val="20"/>
          <w:color w:val="auto"/>
        </w:rPr>
      </w:pPr>
    </w:p>
    <w:p>
      <w:pPr>
        <w:spacing w:after="0"/>
        <w:rPr>
          <w:sz w:val="20"/>
          <w:szCs w:val="20"/>
          <w:color w:val="auto"/>
        </w:rPr>
      </w:pPr>
      <w:r>
        <w:rPr>
          <w:rFonts w:ascii="Arial" w:cs="Arial" w:eastAsia="Arial" w:hAnsi="Arial"/>
          <w:sz w:val="19"/>
          <w:szCs w:val="19"/>
          <w:color w:val="auto"/>
        </w:rPr>
        <w:t>any vote of the holders of shares of any class or series of capital stock of the Corporation required by law or by this Certificate of</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Incorporation:</w:t>
      </w:r>
    </w:p>
    <w:p>
      <w:pPr>
        <w:spacing w:after="0" w:line="188" w:lineRule="exact"/>
        <w:rPr>
          <w:sz w:val="20"/>
          <w:szCs w:val="20"/>
          <w:color w:val="auto"/>
        </w:rPr>
      </w:pPr>
    </w:p>
    <w:p>
      <w:pPr>
        <w:jc w:val="both"/>
        <w:ind w:firstLine="656"/>
        <w:spacing w:after="0" w:line="272" w:lineRule="auto"/>
        <w:tabs>
          <w:tab w:leader="none" w:pos="1042" w:val="left"/>
        </w:tabs>
        <w:numPr>
          <w:ilvl w:val="0"/>
          <w:numId w:val="14"/>
        </w:numPr>
        <w:rPr>
          <w:rFonts w:ascii="Arial" w:cs="Arial" w:eastAsia="Arial" w:hAnsi="Arial"/>
          <w:sz w:val="19"/>
          <w:szCs w:val="19"/>
          <w:color w:val="auto"/>
        </w:rPr>
      </w:pPr>
      <w:r>
        <w:rPr>
          <w:rFonts w:ascii="Arial" w:cs="Arial" w:eastAsia="Arial" w:hAnsi="Arial"/>
          <w:sz w:val="19"/>
          <w:szCs w:val="19"/>
          <w:color w:val="auto"/>
        </w:rPr>
        <w:t>so long as any shares of LT10 Common Stock remain outstanding, the Corporation shall not, without the prior affirmative vote of the holders of a majority of the outstanding shares of LT10 Common Stock, voting as a separate class, in addition to any other vote required by applicable law or this Certificate of Incorporation, directly or indirectly, whether by amendment, or through merger, recapitalization, consolidation or otherwise, amend, alter, change, repeal or adopt any provision of this Certificate of Incorporation (1) that alters or changes, any of the voting, conversion, dividend or liquidation provisions of the shares of LT10 Common Stock or other rights, powers, preferences or privileges of the shares of LT10 Common Stock; (2) to provide for each share of LT50 Common Stock to have more than fifty (50) votes per share or for each share of Class A Common Stock to have more than one (1) vote per share or any rights to a separate class vote of the holders of the LT50 Common Stock or the shares of Class A Common Stock other than as provided by this Certificate of Incorporation or required by the DGCL; or (3) to otherwise adversely impact the rights, powers, preferences or privileges of the shares of LT10 Common Stock in a manner that is disparate from the manner in which it affects the rights, powers, preferences or privileges of the shares of LT50 Common Stock or the shares of Class A Common Stock;</w:t>
      </w:r>
    </w:p>
    <w:p>
      <w:pPr>
        <w:spacing w:after="0" w:line="200" w:lineRule="exact"/>
        <w:rPr>
          <w:rFonts w:ascii="Arial" w:cs="Arial" w:eastAsia="Arial" w:hAnsi="Arial"/>
          <w:sz w:val="19"/>
          <w:szCs w:val="19"/>
          <w:color w:val="auto"/>
        </w:rPr>
      </w:pPr>
    </w:p>
    <w:p>
      <w:pPr>
        <w:spacing w:after="0" w:line="208" w:lineRule="exact"/>
        <w:rPr>
          <w:rFonts w:ascii="Arial" w:cs="Arial" w:eastAsia="Arial" w:hAnsi="Arial"/>
          <w:sz w:val="19"/>
          <w:szCs w:val="19"/>
          <w:color w:val="auto"/>
        </w:rPr>
      </w:pPr>
    </w:p>
    <w:p>
      <w:pPr>
        <w:jc w:val="both"/>
        <w:ind w:firstLine="656"/>
        <w:spacing w:after="0" w:line="272" w:lineRule="auto"/>
        <w:tabs>
          <w:tab w:leader="none" w:pos="1030" w:val="left"/>
        </w:tabs>
        <w:numPr>
          <w:ilvl w:val="0"/>
          <w:numId w:val="14"/>
        </w:numPr>
        <w:rPr>
          <w:rFonts w:ascii="Arial" w:cs="Arial" w:eastAsia="Arial" w:hAnsi="Arial"/>
          <w:sz w:val="19"/>
          <w:szCs w:val="19"/>
          <w:color w:val="auto"/>
        </w:rPr>
      </w:pPr>
      <w:r>
        <w:rPr>
          <w:rFonts w:ascii="Arial" w:cs="Arial" w:eastAsia="Arial" w:hAnsi="Arial"/>
          <w:sz w:val="19"/>
          <w:szCs w:val="19"/>
          <w:color w:val="auto"/>
        </w:rPr>
        <w:t>so long as any shares of LT50 Common Stock remain outstanding, the Corporation shall not, without the prior affirmative vote of the holders of a majority of the outstanding shares of LT50 Common Stock, voting as a separate class, in addition to any other vote required by applicable law or this Certificate of Incorporation, directly or indirectly, whether by amendment, or through merger, recapitalization, consolidation or otherwise, amend, alter, change, repeal or adopt any provision of this Certificate of Incorporation (1) that alters or changes, any of the voting, conversion, dividend or liquidation provisions of the shares of LT50 Common Stock or other rights, powers, preferences or privileges of the shares of LT50 Common Stock; (2) to provide for each share of LT10 Common Stock to have more than ten (10) votes per share or for each share of Class A Common Stock to have more than one (1) vote per share or any rights to a separate class vote of the holders of the LT10 Common Stock or the shares of Class A Common Stock other than as provided by this Certificate of Incorporation or required by the DGCL; or (3) to otherwise adversely impact the rights, powers, preferences or privileges of the shares of LT50 Common Stock in a manner that is disparate from the manner in which it affects the rights, powers, preferences or privileges of the shares of LT10 Common Stock or the shares of Class A Common Stock; and</w:t>
      </w:r>
    </w:p>
    <w:p>
      <w:pPr>
        <w:spacing w:after="0" w:line="200" w:lineRule="exact"/>
        <w:rPr>
          <w:rFonts w:ascii="Arial" w:cs="Arial" w:eastAsia="Arial" w:hAnsi="Arial"/>
          <w:sz w:val="19"/>
          <w:szCs w:val="19"/>
          <w:color w:val="auto"/>
        </w:rPr>
      </w:pPr>
    </w:p>
    <w:p>
      <w:pPr>
        <w:spacing w:after="0" w:line="208" w:lineRule="exact"/>
        <w:rPr>
          <w:rFonts w:ascii="Arial" w:cs="Arial" w:eastAsia="Arial" w:hAnsi="Arial"/>
          <w:sz w:val="19"/>
          <w:szCs w:val="19"/>
          <w:color w:val="auto"/>
        </w:rPr>
      </w:pPr>
    </w:p>
    <w:p>
      <w:pPr>
        <w:jc w:val="both"/>
        <w:ind w:firstLine="656"/>
        <w:spacing w:after="0" w:line="277" w:lineRule="auto"/>
        <w:tabs>
          <w:tab w:leader="none" w:pos="1016" w:val="left"/>
        </w:tabs>
        <w:numPr>
          <w:ilvl w:val="0"/>
          <w:numId w:val="14"/>
        </w:numPr>
        <w:rPr>
          <w:rFonts w:ascii="Arial" w:cs="Arial" w:eastAsia="Arial" w:hAnsi="Arial"/>
          <w:sz w:val="19"/>
          <w:szCs w:val="19"/>
          <w:color w:val="auto"/>
        </w:rPr>
      </w:pPr>
      <w:r>
        <w:rPr>
          <w:rFonts w:ascii="Arial" w:cs="Arial" w:eastAsia="Arial" w:hAnsi="Arial"/>
          <w:sz w:val="19"/>
          <w:szCs w:val="19"/>
          <w:color w:val="auto"/>
        </w:rPr>
        <w:t>so long as any shares of Class A Common Stock remain outstanding, the Corporation shall not, without the prior affirmative vote of the holders of a majority of the outstanding shares of Class A Common Stock, voting as a separate class, in addition to any other vote required by applicable law or this Certificate of Incorporation, directly or indirectly, whether by amendment, or through merger, recapitalization, consolidation or otherwise, amend, alter, change, repeal or adopt any provision of this Certificate of Incorporation to provide for each share of LT10 Common Stock to have more than ten (10) votes per share or for each share of LT50 Common Stock to have more than fifty (50) votes per share or for any rights to a separate class vote of the holders of shares of LT10 Common Stock or LT50 Common Stock, or of LT10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w:t>
      </w:r>
    </w:p>
    <w:p>
      <w:pPr>
        <w:sectPr>
          <w:pgSz w:w="11900" w:h="16838" w:orient="portrait"/>
          <w:cols w:equalWidth="0" w:num="1">
            <w:col w:w="11240"/>
          </w:cols>
          <w:pgMar w:left="320" w:top="1440" w:right="339" w:bottom="1440" w:gutter="0" w:footer="0" w:header="0"/>
        </w:sectPr>
      </w:pPr>
    </w:p>
    <w:bookmarkStart w:id="12" w:name="page13"/>
    <w:bookmarkEnd w:id="12"/>
    <w:p>
      <w:pPr>
        <w:spacing w:after="0" w:line="150"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and LT50 Common Stock voting together as a single class, other than as provided by this Certificate of Incorporation or required by the DGCL.</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VI</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AMENDMENT OF BYLAWS</w:t>
      </w:r>
    </w:p>
    <w:p>
      <w:pPr>
        <w:spacing w:after="0" w:line="212"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1"/>
          <w:szCs w:val="21"/>
          <w:color w:val="auto"/>
        </w:rPr>
        <w:t>In furtherance and not in limitation of the powers conferred by the DGCL, the Board shall have the power to adopt, amend, alter or repeal the Bylaws. The stockholders shall also have the power to adopt, amend, alter or repeal the Bylaws; provided, however, that in addition to any vote of the holders of any class or series of stock of the Corporation required by law or by this Certificate of Incorporation, such action by stockholders shall require the affirmative vote of the holders of at least a majority of the voting power of all of the then-outstanding shares of capital stock of the corporation entitled to vote generally in the election of directors, voting together as a single class.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VII</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BOARD OF DIRECTORS</w:t>
      </w:r>
    </w:p>
    <w:p>
      <w:pPr>
        <w:spacing w:after="0" w:line="212" w:lineRule="exact"/>
        <w:rPr>
          <w:sz w:val="20"/>
          <w:szCs w:val="20"/>
          <w:color w:val="auto"/>
        </w:rPr>
      </w:pPr>
    </w:p>
    <w:p>
      <w:pPr>
        <w:ind w:left="660"/>
        <w:spacing w:after="0"/>
        <w:tabs>
          <w:tab w:leader="none" w:pos="1720" w:val="left"/>
        </w:tabs>
        <w:rPr>
          <w:sz w:val="20"/>
          <w:szCs w:val="20"/>
          <w:color w:val="auto"/>
        </w:rPr>
      </w:pPr>
      <w:r>
        <w:rPr>
          <w:rFonts w:ascii="Arial" w:cs="Arial" w:eastAsia="Arial" w:hAnsi="Arial"/>
          <w:sz w:val="22"/>
          <w:szCs w:val="22"/>
          <w:color w:val="auto"/>
        </w:rPr>
        <w:t>Section 1.</w:t>
      </w:r>
      <w:r>
        <w:rPr>
          <w:sz w:val="20"/>
          <w:szCs w:val="20"/>
          <w:color w:val="auto"/>
        </w:rPr>
        <w:tab/>
      </w:r>
      <w:r>
        <w:rPr>
          <w:rFonts w:ascii="Arial" w:cs="Arial" w:eastAsia="Arial" w:hAnsi="Arial"/>
          <w:sz w:val="19"/>
          <w:szCs w:val="19"/>
          <w:u w:val="single" w:color="auto"/>
          <w:color w:val="auto"/>
        </w:rPr>
        <w:t>Number of Directors</w:t>
      </w:r>
      <w:r>
        <w:rPr>
          <w:rFonts w:ascii="Arial" w:cs="Arial" w:eastAsia="Arial" w:hAnsi="Arial"/>
          <w:sz w:val="19"/>
          <w:szCs w:val="19"/>
          <w:color w:val="auto"/>
        </w:rPr>
        <w:t>.</w:t>
      </w:r>
    </w:p>
    <w:p>
      <w:pPr>
        <w:spacing w:after="0" w:line="206" w:lineRule="exact"/>
        <w:rPr>
          <w:sz w:val="20"/>
          <w:szCs w:val="20"/>
          <w:color w:val="auto"/>
        </w:rPr>
      </w:pPr>
    </w:p>
    <w:p>
      <w:pPr>
        <w:ind w:right="20" w:firstLine="656"/>
        <w:spacing w:after="0" w:line="250" w:lineRule="auto"/>
        <w:tabs>
          <w:tab w:leader="none" w:pos="1315" w:val="left"/>
        </w:tabs>
        <w:numPr>
          <w:ilvl w:val="0"/>
          <w:numId w:val="15"/>
        </w:numPr>
        <w:rPr>
          <w:rFonts w:ascii="Arial" w:cs="Arial" w:eastAsia="Arial" w:hAnsi="Arial"/>
          <w:sz w:val="22"/>
          <w:szCs w:val="22"/>
          <w:color w:val="auto"/>
        </w:rPr>
      </w:pPr>
      <w:r>
        <w:rPr>
          <w:rFonts w:ascii="Arial" w:cs="Arial" w:eastAsia="Arial" w:hAnsi="Arial"/>
          <w:sz w:val="22"/>
          <w:szCs w:val="22"/>
          <w:color w:val="auto"/>
        </w:rPr>
        <w:t>The business and affairs of the Corporation shall be managed by or under the direction of the Board, except as otherwise provided by law.</w:t>
      </w:r>
    </w:p>
    <w:p>
      <w:pPr>
        <w:spacing w:after="0" w:line="174" w:lineRule="exact"/>
        <w:rPr>
          <w:rFonts w:ascii="Arial" w:cs="Arial" w:eastAsia="Arial" w:hAnsi="Arial"/>
          <w:sz w:val="22"/>
          <w:szCs w:val="22"/>
          <w:color w:val="auto"/>
        </w:rPr>
      </w:pPr>
    </w:p>
    <w:p>
      <w:pPr>
        <w:jc w:val="both"/>
        <w:ind w:firstLine="656"/>
        <w:spacing w:after="0" w:line="297" w:lineRule="auto"/>
        <w:tabs>
          <w:tab w:leader="none" w:pos="1174" w:val="left"/>
        </w:tabs>
        <w:numPr>
          <w:ilvl w:val="0"/>
          <w:numId w:val="15"/>
        </w:numPr>
        <w:rPr>
          <w:rFonts w:ascii="Arial" w:cs="Arial" w:eastAsia="Arial" w:hAnsi="Arial"/>
          <w:sz w:val="19"/>
          <w:szCs w:val="19"/>
          <w:color w:val="auto"/>
        </w:rPr>
      </w:pPr>
      <w:r>
        <w:rPr>
          <w:rFonts w:ascii="Arial" w:cs="Arial" w:eastAsia="Arial" w:hAnsi="Arial"/>
          <w:sz w:val="19"/>
          <w:szCs w:val="19"/>
          <w:color w:val="auto"/>
        </w:rPr>
        <w:t>Subject to the rights of holders of any series of Preferred Stock to elect directors, the number of the directors of the Corporation shall be fixed from time to time by resolution of the Board, but shall initially be eight (8) members. Unless and except to the extent that the Bylaws shall so require, the election of directors of the Corporation need not be by written ballot.</w:t>
      </w:r>
    </w:p>
    <w:p>
      <w:pPr>
        <w:spacing w:after="0" w:line="134" w:lineRule="exact"/>
        <w:rPr>
          <w:sz w:val="20"/>
          <w:szCs w:val="20"/>
          <w:color w:val="auto"/>
        </w:rPr>
      </w:pPr>
    </w:p>
    <w:p>
      <w:pPr>
        <w:ind w:left="660"/>
        <w:spacing w:after="0"/>
        <w:tabs>
          <w:tab w:leader="none" w:pos="1720" w:val="left"/>
        </w:tabs>
        <w:rPr>
          <w:sz w:val="20"/>
          <w:szCs w:val="20"/>
          <w:color w:val="auto"/>
        </w:rPr>
      </w:pPr>
      <w:r>
        <w:rPr>
          <w:rFonts w:ascii="Arial" w:cs="Arial" w:eastAsia="Arial" w:hAnsi="Arial"/>
          <w:sz w:val="22"/>
          <w:szCs w:val="22"/>
          <w:color w:val="auto"/>
        </w:rPr>
        <w:t>Section 2.</w:t>
      </w:r>
      <w:r>
        <w:rPr>
          <w:sz w:val="20"/>
          <w:szCs w:val="20"/>
          <w:color w:val="auto"/>
        </w:rPr>
        <w:tab/>
      </w:r>
      <w:r>
        <w:rPr>
          <w:rFonts w:ascii="Arial" w:cs="Arial" w:eastAsia="Arial" w:hAnsi="Arial"/>
          <w:sz w:val="19"/>
          <w:szCs w:val="19"/>
          <w:u w:val="single" w:color="auto"/>
          <w:color w:val="auto"/>
        </w:rPr>
        <w:t>Terms of Office</w:t>
      </w:r>
      <w:r>
        <w:rPr>
          <w:rFonts w:ascii="Arial" w:cs="Arial" w:eastAsia="Arial" w:hAnsi="Arial"/>
          <w:sz w:val="19"/>
          <w:szCs w:val="19"/>
          <w:color w:val="auto"/>
        </w:rPr>
        <w:t>.</w:t>
      </w:r>
    </w:p>
    <w:p>
      <w:pPr>
        <w:spacing w:after="0" w:line="206"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21"/>
          <w:szCs w:val="21"/>
          <w:color w:val="auto"/>
        </w:rPr>
        <w:t xml:space="preserve">Subject to the rights of holders of any series of Preferred Stock to elect directors, each director shall serve for a term ending on the date of the next annual meeting of stockholders following the annual meeting of stockholders at which such director was elected; </w:t>
      </w:r>
      <w:r>
        <w:rPr>
          <w:rFonts w:ascii="Arial" w:cs="Arial" w:eastAsia="Arial" w:hAnsi="Arial"/>
          <w:sz w:val="21"/>
          <w:szCs w:val="21"/>
          <w:i w:val="1"/>
          <w:iCs w:val="1"/>
          <w:color w:val="auto"/>
        </w:rPr>
        <w:t>provided, further,</w:t>
      </w:r>
      <w:r>
        <w:rPr>
          <w:rFonts w:ascii="Arial" w:cs="Arial" w:eastAsia="Arial" w:hAnsi="Arial"/>
          <w:sz w:val="21"/>
          <w:szCs w:val="21"/>
          <w:color w:val="auto"/>
        </w:rPr>
        <w:t xml:space="preserve"> that the term of each director shall continue until the election and qualification of his or her successor and be subject to his or her earlier death, disqualification, resignation or removal.</w:t>
      </w:r>
    </w:p>
    <w:p>
      <w:pPr>
        <w:spacing w:after="0" w:line="174" w:lineRule="exact"/>
        <w:rPr>
          <w:sz w:val="20"/>
          <w:szCs w:val="20"/>
          <w:color w:val="auto"/>
        </w:rPr>
      </w:pPr>
    </w:p>
    <w:p>
      <w:pPr>
        <w:ind w:left="660"/>
        <w:spacing w:after="0"/>
        <w:tabs>
          <w:tab w:leader="none" w:pos="1720" w:val="left"/>
        </w:tabs>
        <w:rPr>
          <w:sz w:val="20"/>
          <w:szCs w:val="20"/>
          <w:color w:val="auto"/>
        </w:rPr>
      </w:pPr>
      <w:r>
        <w:rPr>
          <w:rFonts w:ascii="Arial" w:cs="Arial" w:eastAsia="Arial" w:hAnsi="Arial"/>
          <w:sz w:val="22"/>
          <w:szCs w:val="22"/>
          <w:color w:val="auto"/>
        </w:rPr>
        <w:t>Section 3.</w:t>
      </w:r>
      <w:r>
        <w:rPr>
          <w:sz w:val="20"/>
          <w:szCs w:val="20"/>
          <w:color w:val="auto"/>
        </w:rPr>
        <w:tab/>
      </w:r>
      <w:r>
        <w:rPr>
          <w:rFonts w:ascii="Arial" w:cs="Arial" w:eastAsia="Arial" w:hAnsi="Arial"/>
          <w:sz w:val="18"/>
          <w:szCs w:val="18"/>
          <w:u w:val="single" w:color="auto"/>
          <w:color w:val="auto"/>
        </w:rPr>
        <w:t>Vacancies</w:t>
      </w:r>
    </w:p>
    <w:p>
      <w:pPr>
        <w:spacing w:after="0" w:line="206"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1"/>
          <w:szCs w:val="21"/>
          <w:color w:val="auto"/>
        </w:rPr>
        <w:t>Subject to the rights of holders of any series of Preferred Stock, any newly created directorship that results from an increase in the number of directors or any vacancies on the Board that result from the death, resignation, disqualification or removal from office or from any other cause shall be filled solely by the affirmative vote of a majority of the members of the Board then in office, even if less than a quorum of the Board, or by a sole remaining director, and shall not be filled by the stockholders. Any director so chosen shall hold office until his or her successor shall be duly elected and qualified or until his or her earlier death, disqualification, resignation or removal.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w:t>
      </w:r>
    </w:p>
    <w:p>
      <w:pPr>
        <w:sectPr>
          <w:pgSz w:w="11900" w:h="16838" w:orient="portrait"/>
          <w:cols w:equalWidth="0" w:num="1">
            <w:col w:w="11240"/>
          </w:cols>
          <w:pgMar w:left="320" w:top="1440" w:right="339" w:bottom="1440" w:gutter="0" w:footer="0" w:header="0"/>
        </w:sectPr>
      </w:pPr>
    </w:p>
    <w:bookmarkStart w:id="13" w:name="page14"/>
    <w:bookmarkEnd w:id="13"/>
    <w:p>
      <w:pPr>
        <w:spacing w:after="0" w:line="150" w:lineRule="exact"/>
        <w:rPr>
          <w:sz w:val="20"/>
          <w:szCs w:val="20"/>
          <w:color w:val="auto"/>
        </w:rPr>
      </w:pPr>
    </w:p>
    <w:p>
      <w:pPr>
        <w:ind w:left="660"/>
        <w:spacing w:after="0"/>
        <w:tabs>
          <w:tab w:leader="none" w:pos="1720" w:val="left"/>
        </w:tabs>
        <w:rPr>
          <w:sz w:val="20"/>
          <w:szCs w:val="20"/>
          <w:color w:val="auto"/>
        </w:rPr>
      </w:pPr>
      <w:r>
        <w:rPr>
          <w:rFonts w:ascii="Arial" w:cs="Arial" w:eastAsia="Arial" w:hAnsi="Arial"/>
          <w:sz w:val="22"/>
          <w:szCs w:val="22"/>
          <w:color w:val="auto"/>
        </w:rPr>
        <w:t>Section 4.</w:t>
      </w:r>
      <w:r>
        <w:rPr>
          <w:sz w:val="20"/>
          <w:szCs w:val="20"/>
          <w:color w:val="auto"/>
        </w:rPr>
        <w:tab/>
      </w:r>
      <w:r>
        <w:rPr>
          <w:rFonts w:ascii="Arial" w:cs="Arial" w:eastAsia="Arial" w:hAnsi="Arial"/>
          <w:sz w:val="19"/>
          <w:szCs w:val="19"/>
          <w:u w:val="single" w:color="auto"/>
          <w:color w:val="auto"/>
        </w:rPr>
        <w:t>Removal</w:t>
      </w:r>
    </w:p>
    <w:p>
      <w:pPr>
        <w:spacing w:after="0" w:line="206"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9"/>
          <w:szCs w:val="19"/>
          <w:color w:val="auto"/>
        </w:rPr>
        <w:t>Subject to the rights of the holders of any series of Preferred Stock, any director may be removed from office at any time, with or without cause, by the affirmative vote of stockholders holding at least a majority in voting power of the shares of capital stock of the Corporation then entitled to vote generally in the election of directors, voting together as a single class.</w:t>
      </w:r>
    </w:p>
    <w:p>
      <w:pPr>
        <w:spacing w:after="0" w:line="134" w:lineRule="exact"/>
        <w:rPr>
          <w:sz w:val="20"/>
          <w:szCs w:val="20"/>
          <w:color w:val="auto"/>
        </w:rPr>
      </w:pPr>
    </w:p>
    <w:p>
      <w:pPr>
        <w:ind w:left="660"/>
        <w:spacing w:after="0"/>
        <w:tabs>
          <w:tab w:leader="none" w:pos="1720" w:val="left"/>
        </w:tabs>
        <w:rPr>
          <w:sz w:val="20"/>
          <w:szCs w:val="20"/>
          <w:color w:val="auto"/>
        </w:rPr>
      </w:pPr>
      <w:r>
        <w:rPr>
          <w:rFonts w:ascii="Arial" w:cs="Arial" w:eastAsia="Arial" w:hAnsi="Arial"/>
          <w:sz w:val="22"/>
          <w:szCs w:val="22"/>
          <w:color w:val="auto"/>
        </w:rPr>
        <w:t>Section 5.</w:t>
      </w:r>
      <w:r>
        <w:rPr>
          <w:sz w:val="20"/>
          <w:szCs w:val="20"/>
          <w:color w:val="auto"/>
        </w:rPr>
        <w:tab/>
      </w:r>
      <w:r>
        <w:rPr>
          <w:rFonts w:ascii="Arial" w:cs="Arial" w:eastAsia="Arial" w:hAnsi="Arial"/>
          <w:sz w:val="19"/>
          <w:szCs w:val="19"/>
          <w:u w:val="single" w:color="auto"/>
          <w:color w:val="auto"/>
        </w:rPr>
        <w:t>Committees</w:t>
      </w:r>
    </w:p>
    <w:p>
      <w:pPr>
        <w:spacing w:after="0" w:line="206" w:lineRule="exact"/>
        <w:rPr>
          <w:sz w:val="20"/>
          <w:szCs w:val="20"/>
          <w:color w:val="auto"/>
        </w:rPr>
      </w:pPr>
    </w:p>
    <w:p>
      <w:pPr>
        <w:jc w:val="both"/>
        <w:ind w:firstLine="648"/>
        <w:spacing w:after="0" w:line="245" w:lineRule="auto"/>
        <w:rPr>
          <w:sz w:val="20"/>
          <w:szCs w:val="20"/>
          <w:color w:val="auto"/>
        </w:rPr>
      </w:pPr>
      <w:r>
        <w:rPr>
          <w:rFonts w:ascii="Arial" w:cs="Arial" w:eastAsia="Arial" w:hAnsi="Arial"/>
          <w:sz w:val="21"/>
          <w:szCs w:val="21"/>
          <w:color w:val="auto"/>
        </w:rPr>
        <w:t xml:space="preserve">For as long as the Expensify Voting Trust holds securities representing at least 50% of the voting power of outstanding capital stock of the Corporation, there shall be an Executive Committee of the Board, consisting of five (5) directors of the Corporation, which shall have and may exercise all the powers and authority of the Board in the management of the business and affairs of the Corporation, and may authorize the seal of the Corporation to be affixed to all papers that may require it;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that such committee shall not have power or authority in reference to the following matters: (i) matters that must be approved by an Audit Committee of the Board, (ii) matters that must be approved by a committee qualified to grant equity to persons subject to Section 16 of the Securities and Exchange Act of 1934, as amended, for purposes of exempting transactions pursuant to Section 16b-3 thereunder, (iii) matters required under the DGCL to be approved by the full Board, or (iv) as otherwise required by SEC rules and the Stock Exchange Rules. The Executive Committee may not delegate any or all of its powers and authority to a subcommittee.</w:t>
      </w:r>
    </w:p>
    <w:p>
      <w:pPr>
        <w:spacing w:after="0" w:line="181" w:lineRule="exact"/>
        <w:rPr>
          <w:sz w:val="20"/>
          <w:szCs w:val="20"/>
          <w:color w:val="auto"/>
        </w:rPr>
      </w:pPr>
    </w:p>
    <w:p>
      <w:pPr>
        <w:ind w:left="660"/>
        <w:spacing w:after="0"/>
        <w:tabs>
          <w:tab w:leader="none" w:pos="1720" w:val="left"/>
        </w:tabs>
        <w:rPr>
          <w:sz w:val="20"/>
          <w:szCs w:val="20"/>
          <w:color w:val="auto"/>
        </w:rPr>
      </w:pPr>
      <w:r>
        <w:rPr>
          <w:rFonts w:ascii="Arial" w:cs="Arial" w:eastAsia="Arial" w:hAnsi="Arial"/>
          <w:sz w:val="22"/>
          <w:szCs w:val="22"/>
          <w:color w:val="auto"/>
        </w:rPr>
        <w:t>Section 6.</w:t>
      </w:r>
      <w:r>
        <w:rPr>
          <w:sz w:val="20"/>
          <w:szCs w:val="20"/>
          <w:color w:val="auto"/>
        </w:rPr>
        <w:tab/>
      </w:r>
      <w:r>
        <w:rPr>
          <w:rFonts w:ascii="Arial" w:cs="Arial" w:eastAsia="Arial" w:hAnsi="Arial"/>
          <w:sz w:val="19"/>
          <w:szCs w:val="19"/>
          <w:u w:val="single" w:color="auto"/>
          <w:color w:val="auto"/>
        </w:rPr>
        <w:t>Stockholder Nominations and Introduction of Business</w:t>
      </w:r>
      <w:r>
        <w:rPr>
          <w:rFonts w:ascii="Arial" w:cs="Arial" w:eastAsia="Arial" w:hAnsi="Arial"/>
          <w:sz w:val="19"/>
          <w:szCs w:val="19"/>
          <w:color w:val="auto"/>
        </w:rPr>
        <w:t>.</w:t>
      </w:r>
    </w:p>
    <w:p>
      <w:pPr>
        <w:spacing w:after="0" w:line="206" w:lineRule="exact"/>
        <w:rPr>
          <w:sz w:val="20"/>
          <w:szCs w:val="20"/>
          <w:color w:val="auto"/>
        </w:rPr>
      </w:pPr>
    </w:p>
    <w:p>
      <w:pPr>
        <w:jc w:val="both"/>
        <w:ind w:right="20" w:firstLine="648"/>
        <w:spacing w:after="0" w:line="250" w:lineRule="auto"/>
        <w:rPr>
          <w:sz w:val="20"/>
          <w:szCs w:val="20"/>
          <w:color w:val="auto"/>
        </w:rPr>
      </w:pPr>
      <w:r>
        <w:rPr>
          <w:rFonts w:ascii="Arial" w:cs="Arial" w:eastAsia="Arial" w:hAnsi="Arial"/>
          <w:sz w:val="22"/>
          <w:szCs w:val="22"/>
          <w:color w:val="auto"/>
        </w:rPr>
        <w:t>Advance notice of stockholder nominations for election of directors and other business to be brought by stockholders before a meeting of stockholders shall be given in the manner provided by the Bylaws.</w:t>
      </w:r>
    </w:p>
    <w:p>
      <w:pPr>
        <w:spacing w:after="0" w:line="175" w:lineRule="exact"/>
        <w:rPr>
          <w:sz w:val="20"/>
          <w:szCs w:val="20"/>
          <w:color w:val="auto"/>
        </w:rPr>
      </w:pPr>
    </w:p>
    <w:p>
      <w:pPr>
        <w:ind w:left="660"/>
        <w:spacing w:after="0"/>
        <w:tabs>
          <w:tab w:leader="none" w:pos="1720" w:val="left"/>
        </w:tabs>
        <w:rPr>
          <w:sz w:val="20"/>
          <w:szCs w:val="20"/>
          <w:color w:val="auto"/>
        </w:rPr>
      </w:pPr>
      <w:r>
        <w:rPr>
          <w:rFonts w:ascii="Arial" w:cs="Arial" w:eastAsia="Arial" w:hAnsi="Arial"/>
          <w:sz w:val="22"/>
          <w:szCs w:val="22"/>
          <w:color w:val="auto"/>
        </w:rPr>
        <w:t>Section 7.</w:t>
      </w:r>
      <w:r>
        <w:rPr>
          <w:sz w:val="20"/>
          <w:szCs w:val="20"/>
          <w:color w:val="auto"/>
        </w:rPr>
        <w:tab/>
      </w:r>
      <w:r>
        <w:rPr>
          <w:rFonts w:ascii="Arial" w:cs="Arial" w:eastAsia="Arial" w:hAnsi="Arial"/>
          <w:sz w:val="19"/>
          <w:szCs w:val="19"/>
          <w:u w:val="single" w:color="auto"/>
          <w:color w:val="auto"/>
        </w:rPr>
        <w:t>Preferred Stock Directors</w:t>
      </w:r>
      <w:r>
        <w:rPr>
          <w:rFonts w:ascii="Arial" w:cs="Arial" w:eastAsia="Arial" w:hAnsi="Arial"/>
          <w:sz w:val="19"/>
          <w:szCs w:val="19"/>
          <w:color w:val="auto"/>
        </w:rPr>
        <w:t>.</w:t>
      </w:r>
    </w:p>
    <w:p>
      <w:pPr>
        <w:spacing w:after="0" w:line="206"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1"/>
          <w:szCs w:val="21"/>
          <w:color w:val="auto"/>
        </w:rPr>
        <w:t>During any period when the holders of any series of Preferred Stock have the right to elect additional directors as provided for or fixed pursuant to the provisions of Article IV hereof or any certificate of designation of any series of Preferred Stock, then upon commencement and for the duration of the period during which such right continues: (i) the then otherwise total number of authorized directors of the Corporation shall automatically be increased by such specified number of directors, and the holders of such Preferred Stock shall be entitled to elect the additional directors so provided for or fixed pursuant to said provisions, and (ii) each such additional director shall serve until such director’s successor shall have been duly elected and qualified, or until such director’s right to hold such office terminates pursuant to said provisions, whichever occurs earlier, subject to his earlier death, disqualification, resignation or removal. Except as otherwise provided for or fixed pursuant to the provisions of Article IV hereof or any certificate of designation of any series of Preferred Stock, whenever the holders of any series of Preferred Stock having such right to elect additional directors are divested of such right pursuant to the provisions of such stock, all such additional directors elected by the holders of such stock, or elected or appointed to fill any vacancies resulting from the death, resignation, disqualification or removal of such additional directors shall automatically cease to be qualified as directors,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w:t>
      </w:r>
    </w:p>
    <w:p>
      <w:pPr>
        <w:sectPr>
          <w:pgSz w:w="11900" w:h="16838" w:orient="portrait"/>
          <w:cols w:equalWidth="0" w:num="1">
            <w:col w:w="11240"/>
          </w:cols>
          <w:pgMar w:left="320" w:top="1440" w:right="339" w:bottom="1440" w:gutter="0" w:footer="0" w:header="0"/>
        </w:sectPr>
      </w:pPr>
    </w:p>
    <w:bookmarkStart w:id="14" w:name="page15"/>
    <w:bookmarkEnd w:id="14"/>
    <w:p>
      <w:pPr>
        <w:spacing w:after="0" w:line="150"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terms of office of all such directors shall forthwith terminate and the total authorized number of directors of the Corporation shall be reduced accordingly.</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VIII</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LIMITATION OF DIRECTOR LIABILITY</w:t>
      </w:r>
    </w:p>
    <w:p>
      <w:pPr>
        <w:spacing w:after="0" w:line="212"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9"/>
          <w:szCs w:val="19"/>
          <w:color w:val="auto"/>
        </w:rPr>
        <w:t xml:space="preserve">To the fullest extent permitted by the DGCL as the same exists or as may hereafter be amended, a director of the Corporation shall not be personally liable to the Corporation or its stockholders for monetary damages for breach of fiduciary duty as a director; </w:t>
      </w:r>
      <w:r>
        <w:rPr>
          <w:rFonts w:ascii="Arial" w:cs="Arial" w:eastAsia="Arial" w:hAnsi="Arial"/>
          <w:sz w:val="19"/>
          <w:szCs w:val="19"/>
          <w:i w:val="1"/>
          <w:iCs w:val="1"/>
          <w:color w:val="auto"/>
        </w:rPr>
        <w:t>provided, however</w:t>
      </w:r>
      <w:r>
        <w:rPr>
          <w:rFonts w:ascii="Arial" w:cs="Arial" w:eastAsia="Arial" w:hAnsi="Arial"/>
          <w:sz w:val="19"/>
          <w:szCs w:val="19"/>
          <w:color w:val="auto"/>
        </w:rPr>
        <w:t>, that nothing contained in this Article VIII shall eliminate or limit the liability of a director</w:t>
      </w:r>
    </w:p>
    <w:p>
      <w:pPr>
        <w:spacing w:after="0" w:line="1" w:lineRule="exact"/>
        <w:rPr>
          <w:sz w:val="20"/>
          <w:szCs w:val="20"/>
          <w:color w:val="auto"/>
        </w:rPr>
      </w:pPr>
    </w:p>
    <w:p>
      <w:pPr>
        <w:jc w:val="both"/>
        <w:ind w:firstLine="8"/>
        <w:spacing w:after="0" w:line="243" w:lineRule="auto"/>
        <w:tabs>
          <w:tab w:leader="none" w:pos="277" w:val="left"/>
        </w:tabs>
        <w:numPr>
          <w:ilvl w:val="0"/>
          <w:numId w:val="16"/>
        </w:numPr>
        <w:rPr>
          <w:rFonts w:ascii="Arial" w:cs="Arial" w:eastAsia="Arial" w:hAnsi="Arial"/>
          <w:sz w:val="21"/>
          <w:szCs w:val="21"/>
          <w:color w:val="auto"/>
        </w:rPr>
      </w:pPr>
      <w:r>
        <w:rPr>
          <w:rFonts w:ascii="Arial" w:cs="Arial" w:eastAsia="Arial" w:hAnsi="Arial"/>
          <w:sz w:val="21"/>
          <w:szCs w:val="21"/>
          <w:color w:val="auto"/>
        </w:rPr>
        <w:t>for any breach of the director’s duty of loyalty to the Corporation or its stockholders, (ii) for acts or omissions not in good faith or which involve intentional misconduct or a knowing violation of law, (iii) pursuant to the provisions of Section 174 of the DGCL, or (iv) for any transaction from which the director derived an improper personal benefit. If the DGCL is amended to authorize corporate action further eliminating or limiting the personal liability of directors, then the liability of a director of the Corporation shall be eliminated or limited to the fullest extent permitted by the DGCL, as so amended. No amendment, repeal or modification of this Article VIII shall apply to or have any adverse effect on any right or protection of, or any limitation of the liability of, a director of the Corporation existing at the time of such amendment, repeal or modification with respect to acts or omissions occurring prior to such repeal or modification.</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IX</w:t>
      </w:r>
    </w:p>
    <w:p>
      <w:pPr>
        <w:spacing w:after="0" w:line="247"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INDEMNIFICATION</w:t>
      </w:r>
    </w:p>
    <w:p>
      <w:pPr>
        <w:spacing w:after="0" w:line="226" w:lineRule="exact"/>
        <w:rPr>
          <w:sz w:val="20"/>
          <w:szCs w:val="20"/>
          <w:color w:val="auto"/>
        </w:rPr>
      </w:pPr>
    </w:p>
    <w:p>
      <w:pPr>
        <w:jc w:val="both"/>
        <w:ind w:right="20" w:firstLine="648"/>
        <w:spacing w:after="0" w:line="297" w:lineRule="auto"/>
        <w:rPr>
          <w:sz w:val="20"/>
          <w:szCs w:val="20"/>
          <w:color w:val="auto"/>
        </w:rPr>
      </w:pPr>
      <w:r>
        <w:rPr>
          <w:rFonts w:ascii="Arial" w:cs="Arial" w:eastAsia="Arial" w:hAnsi="Arial"/>
          <w:sz w:val="19"/>
          <w:szCs w:val="19"/>
          <w:color w:val="auto"/>
        </w:rPr>
        <w:t>The Corporation shall have the power to provide rights to indemnification and advancement of expenses to its current and former officers, directors, employees and agents and to any person who is or was serving at the request of the Corporation as a director, officer, employee or agent of another corporation, partnership, joint venture, trust or other enterprise.</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X</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CONSENT OF STOCKHOLDERS IN LIEU OF MEETING</w:t>
      </w:r>
    </w:p>
    <w:p>
      <w:pPr>
        <w:spacing w:after="0" w:line="212"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9"/>
          <w:szCs w:val="19"/>
          <w:color w:val="auto"/>
        </w:rPr>
        <w:t>Subject to the terms of any series of Preferred Stock, (i) prior to the date on which the Expensify Voting Trust ceases to hold securities representing at least a majority of the voting power of outstanding capital stock of the Corporation, any action required or permitted to be taken by the stockholders of the Corporation may be effected by consent in lieu of a meeting and (ii) following such date, any action required or permitted to be taken by the stockholders of the Corporation must be effected at an annual or special meeting of the stockholders and may not be effected by consent in lieu of a meeting.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w:t>
      </w:r>
    </w:p>
    <w:p>
      <w:pPr>
        <w:sectPr>
          <w:pgSz w:w="11900" w:h="16838" w:orient="portrait"/>
          <w:cols w:equalWidth="0" w:num="1">
            <w:col w:w="11240"/>
          </w:cols>
          <w:pgMar w:left="320" w:top="1440" w:right="339" w:bottom="1440" w:gutter="0" w:footer="0" w:header="0"/>
        </w:sectPr>
      </w:pPr>
    </w:p>
    <w:bookmarkStart w:id="15" w:name="page16"/>
    <w:bookmarkEnd w:id="15"/>
    <w:p>
      <w:pPr>
        <w:spacing w:after="0" w:line="14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XI</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SPECIAL MEETING OF STOCKHOLDERS</w:t>
      </w:r>
    </w:p>
    <w:p>
      <w:pPr>
        <w:spacing w:after="0" w:line="212"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9"/>
          <w:szCs w:val="19"/>
          <w:color w:val="auto"/>
        </w:rPr>
        <w:t>Subject to the terms of any series of Preferred Stock, special meetings of stockholders for any purpose or purposes may be called at any time by or at the direction of (i) the Board, (ii) the Chairman of the Board, (iii) the Chief Executive Officer of the Corporation or (iv) prior to the date on which the Expensify Voting Trust ceases to hold securities representing at least a majority of the voting power of outstanding capital stock of the Corporation, the holders of a majority of the total voting power of the outstanding shares of capital stock of the Corporation entitled to vote generally in the election of directors. Business transacted at any special meeting of stockholders shall be limited to matters relating to the purpose or purposes stated in the notice of meeting.</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XII</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FORUM SELECTION</w:t>
      </w:r>
    </w:p>
    <w:p>
      <w:pPr>
        <w:spacing w:after="0" w:line="212"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9"/>
          <w:szCs w:val="19"/>
          <w:color w:val="auto"/>
        </w:rPr>
        <w:t>Unless the Corporation consents in writing to the selection of an alternative forum, (a) the Court of Chancery (the “</w:t>
      </w:r>
      <w:r>
        <w:rPr>
          <w:rFonts w:ascii="Arial" w:cs="Arial" w:eastAsia="Arial" w:hAnsi="Arial"/>
          <w:sz w:val="19"/>
          <w:szCs w:val="19"/>
          <w:u w:val="single" w:color="auto"/>
          <w:color w:val="auto"/>
        </w:rPr>
        <w:t>Chancery Court</w:t>
      </w:r>
      <w:r>
        <w:rPr>
          <w:rFonts w:ascii="Arial" w:cs="Arial" w:eastAsia="Arial" w:hAnsi="Arial"/>
          <w:sz w:val="19"/>
          <w:szCs w:val="19"/>
          <w:color w:val="auto"/>
        </w:rPr>
        <w:t>”) of the State of Delaware (or, in the event that the Chancery Court does not have jurisdiction, the federal district court for the District of Delaware or other state courts of the State of Delaware) shall, to the fullest extent permitted by law, be the sole and exclusive forum for (i) any derivative action, suit or proceeding brought on behalf of the Corporation, (ii) any action, suit or proceeding asserting a claim of breach of a fiduciary duty owed by any current or former director, officer, other employee or stockholder of the Corporation to the Corporation or to the Corporation’s stockholders, (iii) any action, suit or proceeding arising pursuant to any provision of the DGCL or the bylaws of the Corporation or this Restated Certificate (as either may be amended or restated from time to time) or as to which the DGCL confers jurisdiction on the Chancery Court or (iv) any action, suit or proceeding asserting a claim against the Corporation governed by the internal affairs doctrine of the law of the State of Delaware; and (b) subject to the preceding provisions of this Article X, the federal district courts of the United States of America shall be the exclusive forum for the resolution of any complaint asserting a cause or causes of action arising under the Securities Act of 1933, as amended. If any action the subject matter of which is within the scope of clause (a) of the immediately preceding sentence is filed in a court other than the courts in the State of Delaware (a “</w:t>
      </w:r>
      <w:r>
        <w:rPr>
          <w:rFonts w:ascii="Arial" w:cs="Arial" w:eastAsia="Arial" w:hAnsi="Arial"/>
          <w:sz w:val="19"/>
          <w:szCs w:val="19"/>
          <w:u w:val="single" w:color="auto"/>
          <w:color w:val="auto"/>
        </w:rPr>
        <w:t>Foreign Action</w:t>
      </w:r>
      <w:r>
        <w:rPr>
          <w:rFonts w:ascii="Arial" w:cs="Arial" w:eastAsia="Arial" w:hAnsi="Arial"/>
          <w:sz w:val="19"/>
          <w:szCs w:val="19"/>
          <w:color w:val="auto"/>
        </w:rPr>
        <w:t>”) in the name of any stockholder, such stockholder shall be deemed to have consented to (x) the personal jurisdiction of the state and federal courts in the State of Delaware in connection with any action brought in any such court to enforce the provisions of clause (a) of the immediately preceding sentence and (y) having service of process made upon such stockholder in any such action by service upon such stockholder’s counsel in the Foreign Action as agent for such stockholder.</w:t>
      </w:r>
    </w:p>
    <w:p>
      <w:pPr>
        <w:spacing w:after="0" w:line="200" w:lineRule="exact"/>
        <w:rPr>
          <w:sz w:val="20"/>
          <w:szCs w:val="20"/>
          <w:color w:val="auto"/>
        </w:rPr>
      </w:pPr>
    </w:p>
    <w:p>
      <w:pPr>
        <w:spacing w:after="0" w:line="214"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21"/>
          <w:szCs w:val="21"/>
          <w:color w:val="auto"/>
        </w:rPr>
        <w:t>Any person or entity purchasing or otherwise acquiring or holding any interest in any security of the Corporation shall be deemed to have notice of and consented to this Article X. Notwithstanding the foregoing, the provisions of this Article X shall not apply to suits brought to enforce any liability or duty created by the Securities Exchange Act of 1934, as amended, or any other claim for which the federal courts of the United States have exclusive jurisdiction.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13</w:t>
      </w:r>
    </w:p>
    <w:p>
      <w:pPr>
        <w:sectPr>
          <w:pgSz w:w="11900" w:h="16838" w:orient="portrait"/>
          <w:cols w:equalWidth="0" w:num="1">
            <w:col w:w="11240"/>
          </w:cols>
          <w:pgMar w:left="320" w:top="1440" w:right="339" w:bottom="1440" w:gutter="0" w:footer="0" w:header="0"/>
        </w:sectPr>
      </w:pPr>
    </w:p>
    <w:bookmarkStart w:id="16" w:name="page17"/>
    <w:bookmarkEnd w:id="16"/>
    <w:p>
      <w:pPr>
        <w:spacing w:after="0" w:line="150"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1"/>
          <w:szCs w:val="21"/>
          <w:color w:val="auto"/>
        </w:rPr>
        <w:t>If any provision or provisions of this Article X shall be held to be invalid, illegal or unenforceable as applied to any circumstance for any reason whatsoever, (a) the validity, legality and enforceability of such provisions in any other circumstance and of the remaining provisions of this Article X (including, without limitation, each portion of any paragraph of this Article X containing any such provision held to be invalid, illegal or unenforceable that is not itself held to be invalid, illegal or unenforceable) shall not in any way be affected or impaired thereby and (b) the application of such provision to other persons or entities and circumstances shall not in any way be affected or impaired thereby.</w:t>
      </w: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spacing w:after="0"/>
        <w:tabs>
          <w:tab w:leader="none" w:pos="200" w:val="left"/>
          <w:tab w:leader="none" w:pos="200" w:val="left"/>
        </w:tabs>
        <w:rPr>
          <w:sz w:val="20"/>
          <w:szCs w:val="20"/>
          <w:color w:val="auto"/>
        </w:rPr>
      </w:pPr>
      <w:r>
        <w:rPr>
          <w:rFonts w:ascii="Arial" w:cs="Arial" w:eastAsia="Arial" w:hAnsi="Arial"/>
          <w:sz w:val="22"/>
          <w:szCs w:val="22"/>
          <w:color w:val="auto"/>
        </w:rPr>
        <w:t>*</w:t>
        <w:tab/>
        <w:t>*</w:t>
        <w:tab/>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14</w:t>
      </w:r>
    </w:p>
    <w:p>
      <w:pPr>
        <w:sectPr>
          <w:pgSz w:w="11900" w:h="16838" w:orient="portrait"/>
          <w:cols w:equalWidth="0" w:num="1">
            <w:col w:w="11240"/>
          </w:cols>
          <w:pgMar w:left="320" w:top="1440" w:right="339" w:bottom="1440" w:gutter="0" w:footer="0" w:header="0"/>
        </w:sectPr>
      </w:pPr>
    </w:p>
    <w:bookmarkStart w:id="17" w:name="page18"/>
    <w:bookmarkEnd w:id="17"/>
    <w:p>
      <w:pPr>
        <w:spacing w:after="0" w:line="177" w:lineRule="exact"/>
        <w:rPr>
          <w:sz w:val="20"/>
          <w:szCs w:val="20"/>
          <w:color w:val="auto"/>
        </w:rPr>
      </w:pPr>
    </w:p>
    <w:p>
      <w:pPr>
        <w:ind w:right="340" w:firstLine="648"/>
        <w:spacing w:after="0" w:line="289" w:lineRule="auto"/>
        <w:rPr>
          <w:sz w:val="20"/>
          <w:szCs w:val="20"/>
          <w:color w:val="auto"/>
        </w:rPr>
      </w:pPr>
      <w:r>
        <w:rPr>
          <w:rFonts w:ascii="Arial" w:cs="Arial" w:eastAsia="Arial" w:hAnsi="Arial"/>
          <w:sz w:val="22"/>
          <w:szCs w:val="22"/>
          <w:color w:val="auto"/>
        </w:rPr>
        <w:t>IN WITNESS WHEREOF, this Amended and Restated Certificate of Incorporation has been executed this 15th day of November,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6040"/>
        <w:spacing w:after="0"/>
        <w:rPr>
          <w:sz w:val="20"/>
          <w:szCs w:val="20"/>
          <w:color w:val="auto"/>
        </w:rPr>
      </w:pPr>
      <w:r>
        <w:rPr>
          <w:rFonts w:ascii="Arial" w:cs="Arial" w:eastAsia="Arial" w:hAnsi="Arial"/>
          <w:sz w:val="22"/>
          <w:szCs w:val="22"/>
          <w:b w:val="1"/>
          <w:bCs w:val="1"/>
          <w:color w:val="auto"/>
        </w:rPr>
        <w:t>EXPENSIFY, INC.</w:t>
      </w:r>
    </w:p>
    <w:p>
      <w:pPr>
        <w:spacing w:after="0" w:line="200" w:lineRule="exact"/>
        <w:rPr>
          <w:sz w:val="20"/>
          <w:szCs w:val="20"/>
          <w:color w:val="auto"/>
        </w:rPr>
      </w:pPr>
    </w:p>
    <w:p>
      <w:pPr>
        <w:spacing w:after="0" w:line="363" w:lineRule="exact"/>
        <w:rPr>
          <w:sz w:val="20"/>
          <w:szCs w:val="20"/>
          <w:color w:val="auto"/>
        </w:rPr>
      </w:pPr>
    </w:p>
    <w:p>
      <w:pPr>
        <w:ind w:left="6400"/>
        <w:spacing w:after="0"/>
        <w:tabs>
          <w:tab w:leader="none" w:pos="6960" w:val="left"/>
        </w:tabs>
        <w:rPr>
          <w:sz w:val="20"/>
          <w:szCs w:val="20"/>
          <w:color w:val="auto"/>
        </w:rPr>
      </w:pPr>
      <w:r>
        <w:rPr>
          <w:rFonts w:ascii="Arial" w:cs="Arial" w:eastAsia="Arial" w:hAnsi="Arial"/>
          <w:sz w:val="22"/>
          <w:szCs w:val="22"/>
          <w:color w:val="auto"/>
        </w:rPr>
        <w:t>By:</w:t>
        <w:tab/>
        <w:t>/s/ David Barrett</w:t>
      </w:r>
    </w:p>
    <w:p>
      <w:pPr>
        <w:spacing w:after="0" w:line="21" w:lineRule="exact"/>
        <w:rPr>
          <w:sz w:val="20"/>
          <w:szCs w:val="20"/>
          <w:color w:val="auto"/>
        </w:rPr>
      </w:pPr>
    </w:p>
    <w:tbl>
      <w:tblPr>
        <w:tblLayout w:type="fixed"/>
        <w:tblInd w:w="6960" w:type="dxa"/>
        <w:tblCellMar>
          <w:top w:w="0" w:type="dxa"/>
          <w:left w:w="0" w:type="dxa"/>
          <w:bottom w:w="0" w:type="dxa"/>
          <w:right w:w="0" w:type="dxa"/>
        </w:tblCellMar>
      </w:tblPr>
      <w:tr>
        <w:trPr>
          <w:trHeight w:val="259"/>
        </w:trPr>
        <w:tc>
          <w:tcPr>
            <w:tcW w:w="760" w:type="dxa"/>
            <w:vAlign w:val="bottom"/>
            <w:tcBorders>
              <w:top w:val="single" w:sz="8" w:color="auto"/>
            </w:tcBorders>
          </w:tcPr>
          <w:p>
            <w:pPr>
              <w:ind w:left="20"/>
              <w:spacing w:after="0"/>
              <w:rPr>
                <w:sz w:val="20"/>
                <w:szCs w:val="20"/>
                <w:color w:val="auto"/>
              </w:rPr>
            </w:pPr>
            <w:r>
              <w:rPr>
                <w:rFonts w:ascii="Arial" w:cs="Arial" w:eastAsia="Arial" w:hAnsi="Arial"/>
                <w:sz w:val="22"/>
                <w:szCs w:val="22"/>
                <w:color w:val="auto"/>
              </w:rPr>
              <w:t>Name:</w:t>
            </w:r>
          </w:p>
        </w:tc>
        <w:tc>
          <w:tcPr>
            <w:tcW w:w="3520" w:type="dxa"/>
            <w:vAlign w:val="bottom"/>
            <w:tcBorders>
              <w:top w:val="single" w:sz="8" w:color="auto"/>
            </w:tcBorders>
          </w:tcPr>
          <w:p>
            <w:pPr>
              <w:ind w:left="180"/>
              <w:spacing w:after="0"/>
              <w:rPr>
                <w:sz w:val="20"/>
                <w:szCs w:val="20"/>
                <w:color w:val="auto"/>
              </w:rPr>
            </w:pPr>
            <w:r>
              <w:rPr>
                <w:rFonts w:ascii="Arial" w:cs="Arial" w:eastAsia="Arial" w:hAnsi="Arial"/>
                <w:sz w:val="22"/>
                <w:szCs w:val="22"/>
                <w:color w:val="auto"/>
              </w:rPr>
              <w:t>David Barrett</w:t>
            </w:r>
          </w:p>
        </w:tc>
      </w:tr>
      <w:tr>
        <w:trPr>
          <w:trHeight w:val="274"/>
        </w:trPr>
        <w:tc>
          <w:tcPr>
            <w:tcW w:w="760" w:type="dxa"/>
            <w:vAlign w:val="bottom"/>
          </w:tcPr>
          <w:p>
            <w:pPr>
              <w:ind w:left="20"/>
              <w:spacing w:after="0"/>
              <w:rPr>
                <w:sz w:val="20"/>
                <w:szCs w:val="20"/>
                <w:color w:val="auto"/>
              </w:rPr>
            </w:pPr>
            <w:r>
              <w:rPr>
                <w:rFonts w:ascii="Arial" w:cs="Arial" w:eastAsia="Arial" w:hAnsi="Arial"/>
                <w:sz w:val="22"/>
                <w:szCs w:val="22"/>
                <w:color w:val="auto"/>
              </w:rPr>
              <w:t>Title:</w:t>
            </w:r>
          </w:p>
        </w:tc>
        <w:tc>
          <w:tcPr>
            <w:tcW w:w="3520" w:type="dxa"/>
            <w:vAlign w:val="bottom"/>
          </w:tcPr>
          <w:p>
            <w:pPr>
              <w:ind w:left="180"/>
              <w:spacing w:after="0"/>
              <w:rPr>
                <w:sz w:val="20"/>
                <w:szCs w:val="20"/>
                <w:color w:val="auto"/>
              </w:rPr>
            </w:pPr>
            <w:r>
              <w:rPr>
                <w:rFonts w:ascii="Arial" w:cs="Arial" w:eastAsia="Arial" w:hAnsi="Arial"/>
                <w:sz w:val="22"/>
                <w:szCs w:val="22"/>
                <w:color w:val="auto"/>
              </w:rPr>
              <w:t>Chief Executive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15</w:t>
      </w:r>
    </w:p>
    <w:p>
      <w:pPr>
        <w:sectPr>
          <w:pgSz w:w="11900" w:h="16838" w:orient="portrait"/>
          <w:cols w:equalWidth="0" w:num="1">
            <w:col w:w="11240"/>
          </w:cols>
          <w:pgMar w:left="320" w:top="1440" w:right="339" w:bottom="1440" w:gutter="0" w:footer="0" w:header="0"/>
        </w:sectPr>
      </w:pPr>
    </w:p>
    <w:bookmarkStart w:id="18" w:name="page19"/>
    <w:bookmarkEnd w:id="18"/>
    <w:p>
      <w:pPr>
        <w:jc w:val="right"/>
        <w:spacing w:after="0"/>
        <w:rPr>
          <w:sz w:val="20"/>
          <w:szCs w:val="20"/>
          <w:color w:val="auto"/>
        </w:rPr>
      </w:pPr>
      <w:r>
        <w:rPr>
          <w:rFonts w:ascii="Arial" w:cs="Arial" w:eastAsia="Arial" w:hAnsi="Arial"/>
          <w:sz w:val="18"/>
          <w:szCs w:val="18"/>
          <w:b w:val="1"/>
          <w:bCs w:val="1"/>
          <w:color w:val="auto"/>
        </w:rPr>
        <w:t>Exhibit 3.2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1120"/>
        <w:spacing w:after="0"/>
        <w:rPr>
          <w:sz w:val="20"/>
          <w:szCs w:val="20"/>
          <w:color w:val="auto"/>
        </w:rPr>
      </w:pPr>
      <w:r>
        <w:rPr>
          <w:rFonts w:ascii="Arial" w:cs="Arial" w:eastAsia="Arial" w:hAnsi="Arial"/>
          <w:sz w:val="24"/>
          <w:szCs w:val="24"/>
          <w:b w:val="1"/>
          <w:bCs w:val="1"/>
          <w:color w:val="auto"/>
        </w:rPr>
        <w:t>Amended and Restated Bylaws of</w:t>
      </w:r>
    </w:p>
    <w:p>
      <w:pPr>
        <w:spacing w:after="0" w:line="75" w:lineRule="exact"/>
        <w:rPr>
          <w:sz w:val="20"/>
          <w:szCs w:val="20"/>
          <w:color w:val="auto"/>
        </w:rPr>
      </w:pPr>
    </w:p>
    <w:p>
      <w:pPr>
        <w:jc w:val="center"/>
        <w:ind w:right="1120"/>
        <w:spacing w:after="0"/>
        <w:rPr>
          <w:sz w:val="20"/>
          <w:szCs w:val="20"/>
          <w:color w:val="auto"/>
        </w:rPr>
      </w:pPr>
      <w:r>
        <w:rPr>
          <w:rFonts w:ascii="Arial" w:cs="Arial" w:eastAsia="Arial" w:hAnsi="Arial"/>
          <w:sz w:val="27"/>
          <w:szCs w:val="27"/>
          <w:b w:val="1"/>
          <w:bCs w:val="1"/>
          <w:color w:val="auto"/>
        </w:rPr>
        <w:t>Expensify, Inc.</w:t>
      </w:r>
    </w:p>
    <w:p>
      <w:pPr>
        <w:spacing w:after="0" w:line="136" w:lineRule="exact"/>
        <w:rPr>
          <w:sz w:val="20"/>
          <w:szCs w:val="20"/>
          <w:color w:val="auto"/>
        </w:rPr>
      </w:pPr>
    </w:p>
    <w:p>
      <w:pPr>
        <w:ind w:left="3340"/>
        <w:spacing w:after="0"/>
        <w:rPr>
          <w:sz w:val="20"/>
          <w:szCs w:val="20"/>
          <w:color w:val="auto"/>
        </w:rPr>
      </w:pPr>
      <w:r>
        <w:rPr>
          <w:rFonts w:ascii="Arial" w:cs="Arial" w:eastAsia="Arial" w:hAnsi="Arial"/>
          <w:sz w:val="22"/>
          <w:szCs w:val="22"/>
          <w:b w:val="1"/>
          <w:bCs w:val="1"/>
          <w:color w:val="auto"/>
        </w:rPr>
        <w:t>(a Delaware corporation)</w:t>
      </w:r>
    </w:p>
    <w:p>
      <w:pPr>
        <w:sectPr>
          <w:pgSz w:w="11900" w:h="16838" w:orient="portrait"/>
          <w:cols w:equalWidth="0" w:num="1">
            <w:col w:w="10120"/>
          </w:cols>
          <w:pgMar w:left="1440" w:top="121" w:right="339" w:bottom="1440" w:gutter="0" w:footer="0" w:header="0"/>
        </w:sectPr>
      </w:pPr>
    </w:p>
    <w:bookmarkStart w:id="19" w:name="page20"/>
    <w:bookmarkEnd w:id="19"/>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10340" w:type="dxa"/>
            <w:vAlign w:val="bottom"/>
          </w:tcPr>
          <w:p>
            <w:pPr>
              <w:ind w:left="4780"/>
              <w:spacing w:after="0"/>
              <w:rPr>
                <w:sz w:val="20"/>
                <w:szCs w:val="20"/>
                <w:color w:val="auto"/>
              </w:rPr>
            </w:pPr>
            <w:r>
              <w:rPr>
                <w:rFonts w:ascii="Arial" w:cs="Arial" w:eastAsia="Arial" w:hAnsi="Arial"/>
                <w:sz w:val="20"/>
                <w:szCs w:val="20"/>
                <w:b w:val="1"/>
                <w:bCs w:val="1"/>
                <w:color w:val="auto"/>
              </w:rPr>
              <w:t>Table of Contents</w:t>
            </w:r>
          </w:p>
        </w:tc>
        <w:tc>
          <w:tcPr>
            <w:tcW w:w="740" w:type="dxa"/>
            <w:vAlign w:val="bottom"/>
          </w:tcPr>
          <w:p>
            <w:pPr>
              <w:spacing w:after="0"/>
              <w:rPr>
                <w:sz w:val="22"/>
                <w:szCs w:val="22"/>
                <w:color w:val="auto"/>
              </w:rPr>
            </w:pPr>
          </w:p>
        </w:tc>
      </w:tr>
      <w:tr>
        <w:trPr>
          <w:trHeight w:val="266"/>
        </w:trPr>
        <w:tc>
          <w:tcPr>
            <w:tcW w:w="10340" w:type="dxa"/>
            <w:vAlign w:val="bottom"/>
          </w:tcPr>
          <w:p>
            <w:pPr>
              <w:spacing w:after="0"/>
              <w:rPr>
                <w:sz w:val="23"/>
                <w:szCs w:val="23"/>
                <w:color w:val="auto"/>
              </w:rPr>
            </w:pPr>
          </w:p>
        </w:tc>
        <w:tc>
          <w:tcPr>
            <w:tcW w:w="740" w:type="dxa"/>
            <w:vAlign w:val="bottom"/>
            <w:tcBorders>
              <w:bottom w:val="single" w:sz="8" w:color="auto"/>
            </w:tcBorders>
          </w:tcPr>
          <w:p>
            <w:pPr>
              <w:jc w:val="right"/>
              <w:ind w:right="61"/>
              <w:spacing w:after="0"/>
              <w:rPr>
                <w:sz w:val="20"/>
                <w:szCs w:val="20"/>
                <w:color w:val="auto"/>
              </w:rPr>
            </w:pPr>
            <w:r>
              <w:rPr>
                <w:rFonts w:ascii="Arial" w:cs="Arial" w:eastAsia="Arial" w:hAnsi="Arial"/>
                <w:sz w:val="20"/>
                <w:szCs w:val="20"/>
                <w:b w:val="1"/>
                <w:bCs w:val="1"/>
                <w:color w:val="auto"/>
              </w:rPr>
              <w:t>Page</w:t>
            </w:r>
          </w:p>
        </w:tc>
      </w:tr>
      <w:tr>
        <w:trPr>
          <w:trHeight w:val="524"/>
        </w:trPr>
        <w:tc>
          <w:tcPr>
            <w:tcW w:w="10340" w:type="dxa"/>
            <w:vAlign w:val="bottom"/>
          </w:tcPr>
          <w:p>
            <w:pPr>
              <w:spacing w:after="0"/>
              <w:rPr>
                <w:sz w:val="20"/>
                <w:szCs w:val="20"/>
                <w:color w:val="auto"/>
              </w:rPr>
            </w:pPr>
            <w:r>
              <w:rPr>
                <w:rFonts w:ascii="Arial" w:cs="Arial" w:eastAsia="Arial" w:hAnsi="Arial"/>
                <w:sz w:val="20"/>
                <w:szCs w:val="20"/>
                <w:color w:val="auto"/>
              </w:rPr>
              <w:t>Article I. Corporate Offices</w:t>
            </w:r>
          </w:p>
        </w:tc>
        <w:tc>
          <w:tcPr>
            <w:tcW w:w="740" w:type="dxa"/>
            <w:vAlign w:val="bottom"/>
          </w:tcPr>
          <w:p>
            <w:pPr>
              <w:jc w:val="right"/>
              <w:spacing w:after="0"/>
              <w:rPr>
                <w:sz w:val="20"/>
                <w:szCs w:val="20"/>
                <w:color w:val="auto"/>
              </w:rPr>
            </w:pPr>
            <w:r>
              <w:rPr>
                <w:rFonts w:ascii="Arial" w:cs="Arial" w:eastAsia="Arial" w:hAnsi="Arial"/>
                <w:sz w:val="20"/>
                <w:szCs w:val="20"/>
                <w:color w:val="auto"/>
              </w:rPr>
              <w:t>1</w:t>
            </w:r>
          </w:p>
        </w:tc>
      </w:tr>
      <w:tr>
        <w:trPr>
          <w:trHeight w:val="276"/>
        </w:trPr>
        <w:tc>
          <w:tcPr>
            <w:tcW w:w="10340" w:type="dxa"/>
            <w:vAlign w:val="bottom"/>
          </w:tcPr>
          <w:p>
            <w:pPr>
              <w:ind w:left="840"/>
              <w:spacing w:after="0"/>
              <w:rPr>
                <w:sz w:val="20"/>
                <w:szCs w:val="20"/>
                <w:color w:val="auto"/>
              </w:rPr>
            </w:pPr>
            <w:r>
              <w:rPr>
                <w:rFonts w:ascii="Arial" w:cs="Arial" w:eastAsia="Arial" w:hAnsi="Arial"/>
                <w:sz w:val="20"/>
                <w:szCs w:val="20"/>
                <w:color w:val="auto"/>
              </w:rPr>
              <w:t>1.1</w:t>
            </w:r>
          </w:p>
        </w:tc>
        <w:tc>
          <w:tcPr>
            <w:tcW w:w="740" w:type="dxa"/>
            <w:vAlign w:val="bottom"/>
          </w:tcPr>
          <w:p>
            <w:pPr>
              <w:spacing w:after="0"/>
              <w:rPr>
                <w:sz w:val="24"/>
                <w:szCs w:val="24"/>
                <w:color w:val="auto"/>
              </w:rPr>
            </w:pPr>
          </w:p>
        </w:tc>
      </w:tr>
      <w:tr>
        <w:trPr>
          <w:trHeight w:val="264"/>
        </w:trPr>
        <w:tc>
          <w:tcPr>
            <w:tcW w:w="10340" w:type="dxa"/>
            <w:vAlign w:val="bottom"/>
          </w:tcPr>
          <w:p>
            <w:pPr>
              <w:ind w:left="1680"/>
              <w:spacing w:after="0"/>
              <w:rPr>
                <w:sz w:val="20"/>
                <w:szCs w:val="20"/>
                <w:color w:val="auto"/>
              </w:rPr>
            </w:pPr>
            <w:r>
              <w:rPr>
                <w:rFonts w:ascii="Arial" w:cs="Arial" w:eastAsia="Arial" w:hAnsi="Arial"/>
                <w:sz w:val="20"/>
                <w:szCs w:val="20"/>
                <w:color w:val="auto"/>
              </w:rPr>
              <w:t>Registered Office</w:t>
            </w:r>
          </w:p>
        </w:tc>
        <w:tc>
          <w:tcPr>
            <w:tcW w:w="740" w:type="dxa"/>
            <w:vAlign w:val="bottom"/>
          </w:tcPr>
          <w:p>
            <w:pPr>
              <w:jc w:val="right"/>
              <w:spacing w:after="0"/>
              <w:rPr>
                <w:sz w:val="20"/>
                <w:szCs w:val="20"/>
                <w:color w:val="auto"/>
              </w:rPr>
            </w:pPr>
            <w:r>
              <w:rPr>
                <w:rFonts w:ascii="Arial" w:cs="Arial" w:eastAsia="Arial" w:hAnsi="Arial"/>
                <w:sz w:val="20"/>
                <w:szCs w:val="20"/>
                <w:color w:val="auto"/>
              </w:rPr>
              <w:t>1</w:t>
            </w:r>
          </w:p>
        </w:tc>
      </w:tr>
      <w:tr>
        <w:trPr>
          <w:trHeight w:val="222"/>
        </w:trPr>
        <w:tc>
          <w:tcPr>
            <w:tcW w:w="10340" w:type="dxa"/>
            <w:vAlign w:val="bottom"/>
          </w:tcPr>
          <w:p>
            <w:pPr>
              <w:ind w:left="840"/>
              <w:spacing w:after="0" w:line="222" w:lineRule="exact"/>
              <w:rPr>
                <w:sz w:val="20"/>
                <w:szCs w:val="20"/>
                <w:color w:val="auto"/>
              </w:rPr>
            </w:pPr>
            <w:r>
              <w:rPr>
                <w:rFonts w:ascii="Arial" w:cs="Arial" w:eastAsia="Arial" w:hAnsi="Arial"/>
                <w:sz w:val="20"/>
                <w:szCs w:val="20"/>
                <w:color w:val="auto"/>
              </w:rPr>
              <w:t>1.2</w:t>
            </w:r>
          </w:p>
        </w:tc>
        <w:tc>
          <w:tcPr>
            <w:tcW w:w="740" w:type="dxa"/>
            <w:vAlign w:val="bottom"/>
          </w:tcPr>
          <w:p>
            <w:pPr>
              <w:spacing w:after="0"/>
              <w:rPr>
                <w:sz w:val="19"/>
                <w:szCs w:val="19"/>
                <w:color w:val="auto"/>
              </w:rPr>
            </w:pPr>
          </w:p>
        </w:tc>
      </w:tr>
      <w:tr>
        <w:trPr>
          <w:trHeight w:val="264"/>
        </w:trPr>
        <w:tc>
          <w:tcPr>
            <w:tcW w:w="10340" w:type="dxa"/>
            <w:vAlign w:val="bottom"/>
          </w:tcPr>
          <w:p>
            <w:pPr>
              <w:ind w:left="1680"/>
              <w:spacing w:after="0"/>
              <w:rPr>
                <w:sz w:val="20"/>
                <w:szCs w:val="20"/>
                <w:color w:val="auto"/>
              </w:rPr>
            </w:pPr>
            <w:r>
              <w:rPr>
                <w:rFonts w:ascii="Arial" w:cs="Arial" w:eastAsia="Arial" w:hAnsi="Arial"/>
                <w:sz w:val="20"/>
                <w:szCs w:val="20"/>
                <w:color w:val="auto"/>
              </w:rPr>
              <w:t>Other Offices</w:t>
            </w:r>
          </w:p>
        </w:tc>
        <w:tc>
          <w:tcPr>
            <w:tcW w:w="740" w:type="dxa"/>
            <w:vAlign w:val="bottom"/>
          </w:tcPr>
          <w:p>
            <w:pPr>
              <w:jc w:val="right"/>
              <w:spacing w:after="0"/>
              <w:rPr>
                <w:sz w:val="20"/>
                <w:szCs w:val="20"/>
                <w:color w:val="auto"/>
              </w:rPr>
            </w:pPr>
            <w:r>
              <w:rPr>
                <w:rFonts w:ascii="Arial" w:cs="Arial" w:eastAsia="Arial" w:hAnsi="Arial"/>
                <w:sz w:val="20"/>
                <w:szCs w:val="20"/>
                <w:color w:val="auto"/>
              </w:rPr>
              <w:t>1</w:t>
            </w:r>
          </w:p>
        </w:tc>
      </w:tr>
      <w:tr>
        <w:trPr>
          <w:trHeight w:val="540"/>
        </w:trPr>
        <w:tc>
          <w:tcPr>
            <w:tcW w:w="10340" w:type="dxa"/>
            <w:vAlign w:val="bottom"/>
          </w:tcPr>
          <w:p>
            <w:pPr>
              <w:spacing w:after="0"/>
              <w:rPr>
                <w:sz w:val="20"/>
                <w:szCs w:val="20"/>
                <w:color w:val="auto"/>
              </w:rPr>
            </w:pPr>
            <w:r>
              <w:rPr>
                <w:rFonts w:ascii="Arial" w:cs="Arial" w:eastAsia="Arial" w:hAnsi="Arial"/>
                <w:sz w:val="20"/>
                <w:szCs w:val="20"/>
                <w:color w:val="auto"/>
              </w:rPr>
              <w:t>Article II. Meetings of Stockholders</w:t>
            </w:r>
          </w:p>
        </w:tc>
        <w:tc>
          <w:tcPr>
            <w:tcW w:w="740" w:type="dxa"/>
            <w:vAlign w:val="bottom"/>
          </w:tcPr>
          <w:p>
            <w:pPr>
              <w:jc w:val="right"/>
              <w:spacing w:after="0"/>
              <w:rPr>
                <w:sz w:val="20"/>
                <w:szCs w:val="20"/>
                <w:color w:val="auto"/>
              </w:rPr>
            </w:pPr>
            <w:r>
              <w:rPr>
                <w:rFonts w:ascii="Arial" w:cs="Arial" w:eastAsia="Arial" w:hAnsi="Arial"/>
                <w:sz w:val="20"/>
                <w:szCs w:val="20"/>
                <w:color w:val="auto"/>
              </w:rPr>
              <w:t>1</w:t>
            </w:r>
          </w:p>
        </w:tc>
      </w:tr>
      <w:tr>
        <w:trPr>
          <w:trHeight w:val="276"/>
        </w:trPr>
        <w:tc>
          <w:tcPr>
            <w:tcW w:w="10340" w:type="dxa"/>
            <w:vAlign w:val="bottom"/>
          </w:tcPr>
          <w:p>
            <w:pPr>
              <w:ind w:left="840"/>
              <w:spacing w:after="0"/>
              <w:rPr>
                <w:sz w:val="20"/>
                <w:szCs w:val="20"/>
                <w:color w:val="auto"/>
              </w:rPr>
            </w:pPr>
            <w:r>
              <w:rPr>
                <w:rFonts w:ascii="Arial" w:cs="Arial" w:eastAsia="Arial" w:hAnsi="Arial"/>
                <w:sz w:val="20"/>
                <w:szCs w:val="20"/>
                <w:color w:val="auto"/>
              </w:rPr>
              <w:t>2.1</w:t>
            </w:r>
          </w:p>
        </w:tc>
        <w:tc>
          <w:tcPr>
            <w:tcW w:w="740" w:type="dxa"/>
            <w:vAlign w:val="bottom"/>
          </w:tcPr>
          <w:p>
            <w:pPr>
              <w:spacing w:after="0"/>
              <w:rPr>
                <w:sz w:val="24"/>
                <w:szCs w:val="24"/>
                <w:color w:val="auto"/>
              </w:rPr>
            </w:pPr>
          </w:p>
        </w:tc>
      </w:tr>
      <w:tr>
        <w:trPr>
          <w:trHeight w:val="264"/>
        </w:trPr>
        <w:tc>
          <w:tcPr>
            <w:tcW w:w="10340" w:type="dxa"/>
            <w:vAlign w:val="bottom"/>
          </w:tcPr>
          <w:p>
            <w:pPr>
              <w:ind w:left="1680"/>
              <w:spacing w:after="0"/>
              <w:rPr>
                <w:sz w:val="20"/>
                <w:szCs w:val="20"/>
                <w:color w:val="auto"/>
              </w:rPr>
            </w:pPr>
            <w:r>
              <w:rPr>
                <w:rFonts w:ascii="Arial" w:cs="Arial" w:eastAsia="Arial" w:hAnsi="Arial"/>
                <w:sz w:val="20"/>
                <w:szCs w:val="20"/>
                <w:color w:val="auto"/>
              </w:rPr>
              <w:t>Place of Meetings</w:t>
            </w:r>
          </w:p>
        </w:tc>
        <w:tc>
          <w:tcPr>
            <w:tcW w:w="740" w:type="dxa"/>
            <w:vAlign w:val="bottom"/>
          </w:tcPr>
          <w:p>
            <w:pPr>
              <w:jc w:val="right"/>
              <w:spacing w:after="0"/>
              <w:rPr>
                <w:sz w:val="20"/>
                <w:szCs w:val="20"/>
                <w:color w:val="auto"/>
              </w:rPr>
            </w:pPr>
            <w:r>
              <w:rPr>
                <w:rFonts w:ascii="Arial" w:cs="Arial" w:eastAsia="Arial" w:hAnsi="Arial"/>
                <w:sz w:val="20"/>
                <w:szCs w:val="20"/>
                <w:color w:val="auto"/>
              </w:rPr>
              <w:t>1</w:t>
            </w:r>
          </w:p>
        </w:tc>
      </w:tr>
      <w:tr>
        <w:trPr>
          <w:trHeight w:val="222"/>
        </w:trPr>
        <w:tc>
          <w:tcPr>
            <w:tcW w:w="10340" w:type="dxa"/>
            <w:vAlign w:val="bottom"/>
          </w:tcPr>
          <w:p>
            <w:pPr>
              <w:ind w:left="840"/>
              <w:spacing w:after="0" w:line="222" w:lineRule="exact"/>
              <w:rPr>
                <w:sz w:val="20"/>
                <w:szCs w:val="20"/>
                <w:color w:val="auto"/>
              </w:rPr>
            </w:pPr>
            <w:r>
              <w:rPr>
                <w:rFonts w:ascii="Arial" w:cs="Arial" w:eastAsia="Arial" w:hAnsi="Arial"/>
                <w:sz w:val="20"/>
                <w:szCs w:val="20"/>
                <w:color w:val="auto"/>
              </w:rPr>
              <w:t>2.2</w:t>
            </w:r>
          </w:p>
        </w:tc>
        <w:tc>
          <w:tcPr>
            <w:tcW w:w="740" w:type="dxa"/>
            <w:vAlign w:val="bottom"/>
          </w:tcPr>
          <w:p>
            <w:pPr>
              <w:spacing w:after="0"/>
              <w:rPr>
                <w:sz w:val="19"/>
                <w:szCs w:val="19"/>
                <w:color w:val="auto"/>
              </w:rPr>
            </w:pPr>
          </w:p>
        </w:tc>
      </w:tr>
      <w:tr>
        <w:trPr>
          <w:trHeight w:val="264"/>
        </w:trPr>
        <w:tc>
          <w:tcPr>
            <w:tcW w:w="10340" w:type="dxa"/>
            <w:vAlign w:val="bottom"/>
          </w:tcPr>
          <w:p>
            <w:pPr>
              <w:ind w:left="1680"/>
              <w:spacing w:after="0"/>
              <w:rPr>
                <w:sz w:val="20"/>
                <w:szCs w:val="20"/>
                <w:color w:val="auto"/>
              </w:rPr>
            </w:pPr>
            <w:r>
              <w:rPr>
                <w:rFonts w:ascii="Arial" w:cs="Arial" w:eastAsia="Arial" w:hAnsi="Arial"/>
                <w:sz w:val="20"/>
                <w:szCs w:val="20"/>
                <w:color w:val="auto"/>
              </w:rPr>
              <w:t>Annual Meeting</w:t>
            </w:r>
          </w:p>
        </w:tc>
        <w:tc>
          <w:tcPr>
            <w:tcW w:w="740" w:type="dxa"/>
            <w:vAlign w:val="bottom"/>
          </w:tcPr>
          <w:p>
            <w:pPr>
              <w:jc w:val="right"/>
              <w:spacing w:after="0"/>
              <w:rPr>
                <w:sz w:val="20"/>
                <w:szCs w:val="20"/>
                <w:color w:val="auto"/>
              </w:rPr>
            </w:pPr>
            <w:r>
              <w:rPr>
                <w:rFonts w:ascii="Arial" w:cs="Arial" w:eastAsia="Arial" w:hAnsi="Arial"/>
                <w:sz w:val="20"/>
                <w:szCs w:val="20"/>
                <w:color w:val="auto"/>
              </w:rPr>
              <w:t>1</w:t>
            </w:r>
          </w:p>
        </w:tc>
      </w:tr>
      <w:tr>
        <w:trPr>
          <w:trHeight w:val="222"/>
        </w:trPr>
        <w:tc>
          <w:tcPr>
            <w:tcW w:w="10340" w:type="dxa"/>
            <w:vAlign w:val="bottom"/>
          </w:tcPr>
          <w:p>
            <w:pPr>
              <w:ind w:left="840"/>
              <w:spacing w:after="0" w:line="222" w:lineRule="exact"/>
              <w:rPr>
                <w:sz w:val="20"/>
                <w:szCs w:val="20"/>
                <w:color w:val="auto"/>
              </w:rPr>
            </w:pPr>
            <w:r>
              <w:rPr>
                <w:rFonts w:ascii="Arial" w:cs="Arial" w:eastAsia="Arial" w:hAnsi="Arial"/>
                <w:sz w:val="20"/>
                <w:szCs w:val="20"/>
                <w:color w:val="auto"/>
              </w:rPr>
              <w:t>2.3</w:t>
            </w:r>
          </w:p>
        </w:tc>
        <w:tc>
          <w:tcPr>
            <w:tcW w:w="740" w:type="dxa"/>
            <w:vAlign w:val="bottom"/>
          </w:tcPr>
          <w:p>
            <w:pPr>
              <w:spacing w:after="0"/>
              <w:rPr>
                <w:sz w:val="19"/>
                <w:szCs w:val="19"/>
                <w:color w:val="auto"/>
              </w:rPr>
            </w:pPr>
          </w:p>
        </w:tc>
      </w:tr>
      <w:tr>
        <w:trPr>
          <w:trHeight w:val="264"/>
        </w:trPr>
        <w:tc>
          <w:tcPr>
            <w:tcW w:w="10340" w:type="dxa"/>
            <w:vAlign w:val="bottom"/>
          </w:tcPr>
          <w:p>
            <w:pPr>
              <w:ind w:left="1680"/>
              <w:spacing w:after="0"/>
              <w:rPr>
                <w:sz w:val="20"/>
                <w:szCs w:val="20"/>
                <w:color w:val="auto"/>
              </w:rPr>
            </w:pPr>
            <w:r>
              <w:rPr>
                <w:rFonts w:ascii="Arial" w:cs="Arial" w:eastAsia="Arial" w:hAnsi="Arial"/>
                <w:sz w:val="20"/>
                <w:szCs w:val="20"/>
                <w:color w:val="auto"/>
              </w:rPr>
              <w:t>Notice of Business to be Brought before an Annual Meeting.</w:t>
            </w:r>
          </w:p>
        </w:tc>
        <w:tc>
          <w:tcPr>
            <w:tcW w:w="740" w:type="dxa"/>
            <w:vAlign w:val="bottom"/>
          </w:tcPr>
          <w:p>
            <w:pPr>
              <w:jc w:val="right"/>
              <w:spacing w:after="0"/>
              <w:rPr>
                <w:sz w:val="20"/>
                <w:szCs w:val="20"/>
                <w:color w:val="auto"/>
              </w:rPr>
            </w:pPr>
            <w:r>
              <w:rPr>
                <w:rFonts w:ascii="Arial" w:cs="Arial" w:eastAsia="Arial" w:hAnsi="Arial"/>
                <w:sz w:val="20"/>
                <w:szCs w:val="20"/>
                <w:color w:val="auto"/>
              </w:rPr>
              <w:t>1</w:t>
            </w:r>
          </w:p>
        </w:tc>
      </w:tr>
      <w:tr>
        <w:trPr>
          <w:trHeight w:val="222"/>
        </w:trPr>
        <w:tc>
          <w:tcPr>
            <w:tcW w:w="10340" w:type="dxa"/>
            <w:vAlign w:val="bottom"/>
          </w:tcPr>
          <w:p>
            <w:pPr>
              <w:ind w:left="840"/>
              <w:spacing w:after="0" w:line="222" w:lineRule="exact"/>
              <w:rPr>
                <w:sz w:val="20"/>
                <w:szCs w:val="20"/>
                <w:color w:val="auto"/>
              </w:rPr>
            </w:pPr>
            <w:r>
              <w:rPr>
                <w:rFonts w:ascii="Arial" w:cs="Arial" w:eastAsia="Arial" w:hAnsi="Arial"/>
                <w:sz w:val="20"/>
                <w:szCs w:val="20"/>
                <w:color w:val="auto"/>
              </w:rPr>
              <w:t>2.4</w:t>
            </w:r>
          </w:p>
        </w:tc>
        <w:tc>
          <w:tcPr>
            <w:tcW w:w="740" w:type="dxa"/>
            <w:vAlign w:val="bottom"/>
          </w:tcPr>
          <w:p>
            <w:pPr>
              <w:spacing w:after="0"/>
              <w:rPr>
                <w:sz w:val="19"/>
                <w:szCs w:val="19"/>
                <w:color w:val="auto"/>
              </w:rPr>
            </w:pPr>
          </w:p>
        </w:tc>
      </w:tr>
      <w:tr>
        <w:trPr>
          <w:trHeight w:val="264"/>
        </w:trPr>
        <w:tc>
          <w:tcPr>
            <w:tcW w:w="10340" w:type="dxa"/>
            <w:vAlign w:val="bottom"/>
          </w:tcPr>
          <w:p>
            <w:pPr>
              <w:ind w:left="1680"/>
              <w:spacing w:after="0"/>
              <w:rPr>
                <w:sz w:val="20"/>
                <w:szCs w:val="20"/>
                <w:color w:val="auto"/>
              </w:rPr>
            </w:pPr>
            <w:r>
              <w:rPr>
                <w:rFonts w:ascii="Arial" w:cs="Arial" w:eastAsia="Arial" w:hAnsi="Arial"/>
                <w:sz w:val="20"/>
                <w:szCs w:val="20"/>
                <w:color w:val="auto"/>
              </w:rPr>
              <w:t>Special Meetings</w:t>
            </w:r>
          </w:p>
        </w:tc>
        <w:tc>
          <w:tcPr>
            <w:tcW w:w="740" w:type="dxa"/>
            <w:vAlign w:val="bottom"/>
          </w:tcPr>
          <w:p>
            <w:pPr>
              <w:jc w:val="right"/>
              <w:spacing w:after="0"/>
              <w:rPr>
                <w:sz w:val="20"/>
                <w:szCs w:val="20"/>
                <w:color w:val="auto"/>
              </w:rPr>
            </w:pPr>
            <w:r>
              <w:rPr>
                <w:rFonts w:ascii="Arial" w:cs="Arial" w:eastAsia="Arial" w:hAnsi="Arial"/>
                <w:sz w:val="20"/>
                <w:szCs w:val="20"/>
                <w:color w:val="auto"/>
              </w:rPr>
              <w:t>4</w:t>
            </w:r>
          </w:p>
        </w:tc>
      </w:tr>
      <w:tr>
        <w:trPr>
          <w:trHeight w:val="222"/>
        </w:trPr>
        <w:tc>
          <w:tcPr>
            <w:tcW w:w="10340" w:type="dxa"/>
            <w:vAlign w:val="bottom"/>
          </w:tcPr>
          <w:p>
            <w:pPr>
              <w:ind w:left="840"/>
              <w:spacing w:after="0" w:line="222" w:lineRule="exact"/>
              <w:rPr>
                <w:sz w:val="20"/>
                <w:szCs w:val="20"/>
                <w:color w:val="auto"/>
              </w:rPr>
            </w:pPr>
            <w:r>
              <w:rPr>
                <w:rFonts w:ascii="Arial" w:cs="Arial" w:eastAsia="Arial" w:hAnsi="Arial"/>
                <w:sz w:val="20"/>
                <w:szCs w:val="20"/>
                <w:color w:val="auto"/>
              </w:rPr>
              <w:t>2.5</w:t>
            </w:r>
          </w:p>
        </w:tc>
        <w:tc>
          <w:tcPr>
            <w:tcW w:w="740" w:type="dxa"/>
            <w:vAlign w:val="bottom"/>
          </w:tcPr>
          <w:p>
            <w:pPr>
              <w:spacing w:after="0"/>
              <w:rPr>
                <w:sz w:val="19"/>
                <w:szCs w:val="19"/>
                <w:color w:val="auto"/>
              </w:rPr>
            </w:pPr>
          </w:p>
        </w:tc>
      </w:tr>
      <w:tr>
        <w:trPr>
          <w:trHeight w:val="264"/>
        </w:trPr>
        <w:tc>
          <w:tcPr>
            <w:tcW w:w="10340" w:type="dxa"/>
            <w:vAlign w:val="bottom"/>
          </w:tcPr>
          <w:p>
            <w:pPr>
              <w:ind w:left="1680"/>
              <w:spacing w:after="0"/>
              <w:rPr>
                <w:sz w:val="20"/>
                <w:szCs w:val="20"/>
                <w:color w:val="auto"/>
              </w:rPr>
            </w:pPr>
            <w:r>
              <w:rPr>
                <w:rFonts w:ascii="Arial" w:cs="Arial" w:eastAsia="Arial" w:hAnsi="Arial"/>
                <w:sz w:val="20"/>
                <w:szCs w:val="20"/>
                <w:color w:val="auto"/>
              </w:rPr>
              <w:t>Notice of Nominations for Election to the Board.</w:t>
            </w:r>
          </w:p>
        </w:tc>
        <w:tc>
          <w:tcPr>
            <w:tcW w:w="740" w:type="dxa"/>
            <w:vAlign w:val="bottom"/>
          </w:tcPr>
          <w:p>
            <w:pPr>
              <w:jc w:val="right"/>
              <w:spacing w:after="0"/>
              <w:rPr>
                <w:sz w:val="20"/>
                <w:szCs w:val="20"/>
                <w:color w:val="auto"/>
              </w:rPr>
            </w:pPr>
            <w:r>
              <w:rPr>
                <w:rFonts w:ascii="Arial" w:cs="Arial" w:eastAsia="Arial" w:hAnsi="Arial"/>
                <w:sz w:val="20"/>
                <w:szCs w:val="20"/>
                <w:color w:val="auto"/>
              </w:rPr>
              <w:t>6</w:t>
            </w:r>
          </w:p>
        </w:tc>
      </w:tr>
      <w:tr>
        <w:trPr>
          <w:trHeight w:val="222"/>
        </w:trPr>
        <w:tc>
          <w:tcPr>
            <w:tcW w:w="10340" w:type="dxa"/>
            <w:vAlign w:val="bottom"/>
          </w:tcPr>
          <w:p>
            <w:pPr>
              <w:ind w:left="840"/>
              <w:spacing w:after="0" w:line="222" w:lineRule="exact"/>
              <w:rPr>
                <w:sz w:val="20"/>
                <w:szCs w:val="20"/>
                <w:color w:val="auto"/>
              </w:rPr>
            </w:pPr>
            <w:r>
              <w:rPr>
                <w:rFonts w:ascii="Arial" w:cs="Arial" w:eastAsia="Arial" w:hAnsi="Arial"/>
                <w:sz w:val="20"/>
                <w:szCs w:val="20"/>
                <w:color w:val="auto"/>
              </w:rPr>
              <w:t>2.6</w:t>
            </w:r>
          </w:p>
        </w:tc>
        <w:tc>
          <w:tcPr>
            <w:tcW w:w="740" w:type="dxa"/>
            <w:vAlign w:val="bottom"/>
          </w:tcPr>
          <w:p>
            <w:pPr>
              <w:spacing w:after="0"/>
              <w:rPr>
                <w:sz w:val="19"/>
                <w:szCs w:val="19"/>
                <w:color w:val="auto"/>
              </w:rPr>
            </w:pPr>
          </w:p>
        </w:tc>
      </w:tr>
      <w:tr>
        <w:trPr>
          <w:trHeight w:val="216"/>
        </w:trPr>
        <w:tc>
          <w:tcPr>
            <w:tcW w:w="10340" w:type="dxa"/>
            <w:vAlign w:val="bottom"/>
          </w:tcPr>
          <w:p>
            <w:pPr>
              <w:ind w:left="1680"/>
              <w:spacing w:after="0" w:line="216" w:lineRule="exact"/>
              <w:rPr>
                <w:sz w:val="20"/>
                <w:szCs w:val="20"/>
                <w:color w:val="auto"/>
              </w:rPr>
            </w:pPr>
            <w:r>
              <w:rPr>
                <w:rFonts w:ascii="Arial" w:cs="Arial" w:eastAsia="Arial" w:hAnsi="Arial"/>
                <w:sz w:val="20"/>
                <w:szCs w:val="20"/>
                <w:color w:val="auto"/>
                <w:w w:val="95"/>
              </w:rPr>
              <w:t>Additional Requirements for Valid Nomination of Candidates to Serve as Director and, if Elected, to be</w:t>
            </w:r>
          </w:p>
        </w:tc>
        <w:tc>
          <w:tcPr>
            <w:tcW w:w="740" w:type="dxa"/>
            <w:vAlign w:val="bottom"/>
          </w:tcPr>
          <w:p>
            <w:pPr>
              <w:spacing w:after="0"/>
              <w:rPr>
                <w:sz w:val="18"/>
                <w:szCs w:val="18"/>
                <w:color w:val="auto"/>
              </w:rPr>
            </w:pPr>
          </w:p>
        </w:tc>
      </w:tr>
      <w:tr>
        <w:trPr>
          <w:trHeight w:val="264"/>
        </w:trPr>
        <w:tc>
          <w:tcPr>
            <w:tcW w:w="10340" w:type="dxa"/>
            <w:vAlign w:val="bottom"/>
          </w:tcPr>
          <w:p>
            <w:pPr>
              <w:ind w:left="1680"/>
              <w:spacing w:after="0"/>
              <w:rPr>
                <w:sz w:val="20"/>
                <w:szCs w:val="20"/>
                <w:color w:val="auto"/>
              </w:rPr>
            </w:pPr>
            <w:r>
              <w:rPr>
                <w:rFonts w:ascii="Arial" w:cs="Arial" w:eastAsia="Arial" w:hAnsi="Arial"/>
                <w:sz w:val="20"/>
                <w:szCs w:val="20"/>
                <w:color w:val="auto"/>
              </w:rPr>
              <w:t>Seated as Directors.</w:t>
            </w:r>
          </w:p>
        </w:tc>
        <w:tc>
          <w:tcPr>
            <w:tcW w:w="740" w:type="dxa"/>
            <w:vAlign w:val="bottom"/>
          </w:tcPr>
          <w:p>
            <w:pPr>
              <w:jc w:val="right"/>
              <w:spacing w:after="0"/>
              <w:rPr>
                <w:sz w:val="20"/>
                <w:szCs w:val="20"/>
                <w:color w:val="auto"/>
              </w:rPr>
            </w:pPr>
            <w:r>
              <w:rPr>
                <w:rFonts w:ascii="Arial" w:cs="Arial" w:eastAsia="Arial" w:hAnsi="Arial"/>
                <w:sz w:val="20"/>
                <w:szCs w:val="20"/>
                <w:color w:val="auto"/>
              </w:rPr>
              <w:t>9</w:t>
            </w:r>
          </w:p>
        </w:tc>
      </w:tr>
      <w:tr>
        <w:trPr>
          <w:trHeight w:val="222"/>
        </w:trPr>
        <w:tc>
          <w:tcPr>
            <w:tcW w:w="10340" w:type="dxa"/>
            <w:vAlign w:val="bottom"/>
          </w:tcPr>
          <w:p>
            <w:pPr>
              <w:ind w:left="840"/>
              <w:spacing w:after="0" w:line="222" w:lineRule="exact"/>
              <w:rPr>
                <w:sz w:val="20"/>
                <w:szCs w:val="20"/>
                <w:color w:val="auto"/>
              </w:rPr>
            </w:pPr>
            <w:r>
              <w:rPr>
                <w:rFonts w:ascii="Arial" w:cs="Arial" w:eastAsia="Arial" w:hAnsi="Arial"/>
                <w:sz w:val="20"/>
                <w:szCs w:val="20"/>
                <w:color w:val="auto"/>
              </w:rPr>
              <w:t>2.7</w:t>
            </w:r>
          </w:p>
        </w:tc>
        <w:tc>
          <w:tcPr>
            <w:tcW w:w="740" w:type="dxa"/>
            <w:vAlign w:val="bottom"/>
          </w:tcPr>
          <w:p>
            <w:pPr>
              <w:spacing w:after="0"/>
              <w:rPr>
                <w:sz w:val="19"/>
                <w:szCs w:val="19"/>
                <w:color w:val="auto"/>
              </w:rPr>
            </w:pPr>
          </w:p>
        </w:tc>
      </w:tr>
      <w:tr>
        <w:trPr>
          <w:trHeight w:val="264"/>
        </w:trPr>
        <w:tc>
          <w:tcPr>
            <w:tcW w:w="10340" w:type="dxa"/>
            <w:vAlign w:val="bottom"/>
          </w:tcPr>
          <w:p>
            <w:pPr>
              <w:ind w:left="1680"/>
              <w:spacing w:after="0"/>
              <w:rPr>
                <w:sz w:val="20"/>
                <w:szCs w:val="20"/>
                <w:color w:val="auto"/>
              </w:rPr>
            </w:pPr>
            <w:r>
              <w:rPr>
                <w:rFonts w:ascii="Arial" w:cs="Arial" w:eastAsia="Arial" w:hAnsi="Arial"/>
                <w:sz w:val="20"/>
                <w:szCs w:val="20"/>
                <w:color w:val="auto"/>
              </w:rPr>
              <w:t>Notice of Stockholders’ Meetings</w:t>
            </w:r>
          </w:p>
        </w:tc>
        <w:tc>
          <w:tcPr>
            <w:tcW w:w="740" w:type="dxa"/>
            <w:vAlign w:val="bottom"/>
          </w:tcPr>
          <w:p>
            <w:pPr>
              <w:jc w:val="right"/>
              <w:spacing w:after="0"/>
              <w:rPr>
                <w:sz w:val="20"/>
                <w:szCs w:val="20"/>
                <w:color w:val="auto"/>
              </w:rPr>
            </w:pPr>
            <w:r>
              <w:rPr>
                <w:rFonts w:ascii="Arial" w:cs="Arial" w:eastAsia="Arial" w:hAnsi="Arial"/>
                <w:sz w:val="20"/>
                <w:szCs w:val="20"/>
                <w:color w:val="auto"/>
              </w:rPr>
              <w:t>10</w:t>
            </w:r>
          </w:p>
        </w:tc>
      </w:tr>
      <w:tr>
        <w:trPr>
          <w:trHeight w:val="222"/>
        </w:trPr>
        <w:tc>
          <w:tcPr>
            <w:tcW w:w="10340" w:type="dxa"/>
            <w:vAlign w:val="bottom"/>
          </w:tcPr>
          <w:p>
            <w:pPr>
              <w:ind w:left="840"/>
              <w:spacing w:after="0" w:line="222" w:lineRule="exact"/>
              <w:rPr>
                <w:sz w:val="20"/>
                <w:szCs w:val="20"/>
                <w:color w:val="auto"/>
              </w:rPr>
            </w:pPr>
            <w:r>
              <w:rPr>
                <w:rFonts w:ascii="Arial" w:cs="Arial" w:eastAsia="Arial" w:hAnsi="Arial"/>
                <w:sz w:val="20"/>
                <w:szCs w:val="20"/>
                <w:color w:val="auto"/>
              </w:rPr>
              <w:t>2.8</w:t>
            </w:r>
          </w:p>
        </w:tc>
        <w:tc>
          <w:tcPr>
            <w:tcW w:w="740" w:type="dxa"/>
            <w:vAlign w:val="bottom"/>
          </w:tcPr>
          <w:p>
            <w:pPr>
              <w:spacing w:after="0"/>
              <w:rPr>
                <w:sz w:val="19"/>
                <w:szCs w:val="19"/>
                <w:color w:val="auto"/>
              </w:rPr>
            </w:pPr>
          </w:p>
        </w:tc>
      </w:tr>
      <w:tr>
        <w:trPr>
          <w:trHeight w:val="264"/>
        </w:trPr>
        <w:tc>
          <w:tcPr>
            <w:tcW w:w="10340" w:type="dxa"/>
            <w:vAlign w:val="bottom"/>
          </w:tcPr>
          <w:p>
            <w:pPr>
              <w:ind w:left="1680"/>
              <w:spacing w:after="0"/>
              <w:rPr>
                <w:sz w:val="20"/>
                <w:szCs w:val="20"/>
                <w:color w:val="auto"/>
              </w:rPr>
            </w:pPr>
            <w:r>
              <w:rPr>
                <w:rFonts w:ascii="Arial" w:cs="Arial" w:eastAsia="Arial" w:hAnsi="Arial"/>
                <w:sz w:val="20"/>
                <w:szCs w:val="20"/>
                <w:color w:val="auto"/>
              </w:rPr>
              <w:t>Quorum</w:t>
            </w:r>
          </w:p>
        </w:tc>
        <w:tc>
          <w:tcPr>
            <w:tcW w:w="740" w:type="dxa"/>
            <w:vAlign w:val="bottom"/>
          </w:tcPr>
          <w:p>
            <w:pPr>
              <w:jc w:val="right"/>
              <w:spacing w:after="0"/>
              <w:rPr>
                <w:sz w:val="20"/>
                <w:szCs w:val="20"/>
                <w:color w:val="auto"/>
              </w:rPr>
            </w:pPr>
            <w:r>
              <w:rPr>
                <w:rFonts w:ascii="Arial" w:cs="Arial" w:eastAsia="Arial" w:hAnsi="Arial"/>
                <w:sz w:val="20"/>
                <w:szCs w:val="20"/>
                <w:color w:val="auto"/>
              </w:rPr>
              <w:t>10</w:t>
            </w:r>
          </w:p>
        </w:tc>
      </w:tr>
      <w:tr>
        <w:trPr>
          <w:trHeight w:val="222"/>
        </w:trPr>
        <w:tc>
          <w:tcPr>
            <w:tcW w:w="10340" w:type="dxa"/>
            <w:vAlign w:val="bottom"/>
          </w:tcPr>
          <w:p>
            <w:pPr>
              <w:ind w:left="840"/>
              <w:spacing w:after="0" w:line="222" w:lineRule="exact"/>
              <w:rPr>
                <w:sz w:val="20"/>
                <w:szCs w:val="20"/>
                <w:color w:val="auto"/>
              </w:rPr>
            </w:pPr>
            <w:r>
              <w:rPr>
                <w:rFonts w:ascii="Arial" w:cs="Arial" w:eastAsia="Arial" w:hAnsi="Arial"/>
                <w:sz w:val="20"/>
                <w:szCs w:val="20"/>
                <w:color w:val="auto"/>
              </w:rPr>
              <w:t>2.9</w:t>
            </w:r>
          </w:p>
        </w:tc>
        <w:tc>
          <w:tcPr>
            <w:tcW w:w="740" w:type="dxa"/>
            <w:vAlign w:val="bottom"/>
          </w:tcPr>
          <w:p>
            <w:pPr>
              <w:spacing w:after="0"/>
              <w:rPr>
                <w:sz w:val="19"/>
                <w:szCs w:val="19"/>
                <w:color w:val="auto"/>
              </w:rPr>
            </w:pPr>
          </w:p>
        </w:tc>
      </w:tr>
      <w:tr>
        <w:trPr>
          <w:trHeight w:val="264"/>
        </w:trPr>
        <w:tc>
          <w:tcPr>
            <w:tcW w:w="10340" w:type="dxa"/>
            <w:vAlign w:val="bottom"/>
          </w:tcPr>
          <w:p>
            <w:pPr>
              <w:ind w:left="1680"/>
              <w:spacing w:after="0"/>
              <w:rPr>
                <w:sz w:val="20"/>
                <w:szCs w:val="20"/>
                <w:color w:val="auto"/>
              </w:rPr>
            </w:pPr>
            <w:r>
              <w:rPr>
                <w:rFonts w:ascii="Arial" w:cs="Arial" w:eastAsia="Arial" w:hAnsi="Arial"/>
                <w:sz w:val="20"/>
                <w:szCs w:val="20"/>
                <w:color w:val="auto"/>
              </w:rPr>
              <w:t>Adjourned Meeting; Notice</w:t>
            </w:r>
          </w:p>
        </w:tc>
        <w:tc>
          <w:tcPr>
            <w:tcW w:w="740" w:type="dxa"/>
            <w:vAlign w:val="bottom"/>
          </w:tcPr>
          <w:p>
            <w:pPr>
              <w:jc w:val="right"/>
              <w:spacing w:after="0"/>
              <w:rPr>
                <w:sz w:val="20"/>
                <w:szCs w:val="20"/>
                <w:color w:val="auto"/>
              </w:rPr>
            </w:pPr>
            <w:r>
              <w:rPr>
                <w:rFonts w:ascii="Arial" w:cs="Arial" w:eastAsia="Arial" w:hAnsi="Arial"/>
                <w:sz w:val="20"/>
                <w:szCs w:val="20"/>
                <w:color w:val="auto"/>
              </w:rPr>
              <w:t>10</w:t>
            </w:r>
          </w:p>
        </w:tc>
      </w:tr>
      <w:tr>
        <w:trPr>
          <w:trHeight w:val="222"/>
        </w:trPr>
        <w:tc>
          <w:tcPr>
            <w:tcW w:w="10340" w:type="dxa"/>
            <w:vAlign w:val="bottom"/>
          </w:tcPr>
          <w:p>
            <w:pPr>
              <w:ind w:left="840"/>
              <w:spacing w:after="0" w:line="222" w:lineRule="exact"/>
              <w:rPr>
                <w:sz w:val="20"/>
                <w:szCs w:val="20"/>
                <w:color w:val="auto"/>
              </w:rPr>
            </w:pPr>
            <w:r>
              <w:rPr>
                <w:rFonts w:ascii="Arial" w:cs="Arial" w:eastAsia="Arial" w:hAnsi="Arial"/>
                <w:sz w:val="20"/>
                <w:szCs w:val="20"/>
                <w:color w:val="auto"/>
              </w:rPr>
              <w:t>2.10</w:t>
            </w:r>
          </w:p>
        </w:tc>
        <w:tc>
          <w:tcPr>
            <w:tcW w:w="740" w:type="dxa"/>
            <w:vAlign w:val="bottom"/>
          </w:tcPr>
          <w:p>
            <w:pPr>
              <w:spacing w:after="0"/>
              <w:rPr>
                <w:sz w:val="19"/>
                <w:szCs w:val="19"/>
                <w:color w:val="auto"/>
              </w:rPr>
            </w:pPr>
          </w:p>
        </w:tc>
      </w:tr>
      <w:tr>
        <w:trPr>
          <w:trHeight w:val="264"/>
        </w:trPr>
        <w:tc>
          <w:tcPr>
            <w:tcW w:w="10340" w:type="dxa"/>
            <w:vAlign w:val="bottom"/>
          </w:tcPr>
          <w:p>
            <w:pPr>
              <w:ind w:left="1680"/>
              <w:spacing w:after="0"/>
              <w:rPr>
                <w:sz w:val="20"/>
                <w:szCs w:val="20"/>
                <w:color w:val="auto"/>
              </w:rPr>
            </w:pPr>
            <w:r>
              <w:rPr>
                <w:rFonts w:ascii="Arial" w:cs="Arial" w:eastAsia="Arial" w:hAnsi="Arial"/>
                <w:sz w:val="20"/>
                <w:szCs w:val="20"/>
                <w:color w:val="auto"/>
              </w:rPr>
              <w:t>Conduct of Business</w:t>
            </w:r>
          </w:p>
        </w:tc>
        <w:tc>
          <w:tcPr>
            <w:tcW w:w="740" w:type="dxa"/>
            <w:vAlign w:val="bottom"/>
          </w:tcPr>
          <w:p>
            <w:pPr>
              <w:jc w:val="right"/>
              <w:spacing w:after="0"/>
              <w:rPr>
                <w:sz w:val="20"/>
                <w:szCs w:val="20"/>
                <w:color w:val="auto"/>
              </w:rPr>
            </w:pPr>
            <w:r>
              <w:rPr>
                <w:rFonts w:ascii="Arial" w:cs="Arial" w:eastAsia="Arial" w:hAnsi="Arial"/>
                <w:sz w:val="20"/>
                <w:szCs w:val="20"/>
                <w:color w:val="auto"/>
              </w:rPr>
              <w:t>11</w:t>
            </w:r>
          </w:p>
        </w:tc>
      </w:tr>
      <w:tr>
        <w:trPr>
          <w:trHeight w:val="222"/>
        </w:trPr>
        <w:tc>
          <w:tcPr>
            <w:tcW w:w="10340" w:type="dxa"/>
            <w:vAlign w:val="bottom"/>
          </w:tcPr>
          <w:p>
            <w:pPr>
              <w:ind w:left="840"/>
              <w:spacing w:after="0" w:line="222" w:lineRule="exact"/>
              <w:rPr>
                <w:sz w:val="20"/>
                <w:szCs w:val="20"/>
                <w:color w:val="auto"/>
              </w:rPr>
            </w:pPr>
            <w:r>
              <w:rPr>
                <w:rFonts w:ascii="Arial" w:cs="Arial" w:eastAsia="Arial" w:hAnsi="Arial"/>
                <w:sz w:val="20"/>
                <w:szCs w:val="20"/>
                <w:color w:val="auto"/>
              </w:rPr>
              <w:t>2.11</w:t>
            </w:r>
          </w:p>
        </w:tc>
        <w:tc>
          <w:tcPr>
            <w:tcW w:w="740" w:type="dxa"/>
            <w:vAlign w:val="bottom"/>
          </w:tcPr>
          <w:p>
            <w:pPr>
              <w:spacing w:after="0"/>
              <w:rPr>
                <w:sz w:val="19"/>
                <w:szCs w:val="19"/>
                <w:color w:val="auto"/>
              </w:rPr>
            </w:pPr>
          </w:p>
        </w:tc>
      </w:tr>
      <w:tr>
        <w:trPr>
          <w:trHeight w:val="264"/>
        </w:trPr>
        <w:tc>
          <w:tcPr>
            <w:tcW w:w="10340" w:type="dxa"/>
            <w:vAlign w:val="bottom"/>
          </w:tcPr>
          <w:p>
            <w:pPr>
              <w:ind w:left="1680"/>
              <w:spacing w:after="0"/>
              <w:rPr>
                <w:sz w:val="20"/>
                <w:szCs w:val="20"/>
                <w:color w:val="auto"/>
              </w:rPr>
            </w:pPr>
            <w:r>
              <w:rPr>
                <w:rFonts w:ascii="Arial" w:cs="Arial" w:eastAsia="Arial" w:hAnsi="Arial"/>
                <w:sz w:val="20"/>
                <w:szCs w:val="20"/>
                <w:color w:val="auto"/>
              </w:rPr>
              <w:t>Voting</w:t>
            </w:r>
          </w:p>
        </w:tc>
        <w:tc>
          <w:tcPr>
            <w:tcW w:w="740" w:type="dxa"/>
            <w:vAlign w:val="bottom"/>
          </w:tcPr>
          <w:p>
            <w:pPr>
              <w:jc w:val="right"/>
              <w:spacing w:after="0"/>
              <w:rPr>
                <w:sz w:val="20"/>
                <w:szCs w:val="20"/>
                <w:color w:val="auto"/>
              </w:rPr>
            </w:pPr>
            <w:r>
              <w:rPr>
                <w:rFonts w:ascii="Arial" w:cs="Arial" w:eastAsia="Arial" w:hAnsi="Arial"/>
                <w:sz w:val="20"/>
                <w:szCs w:val="20"/>
                <w:color w:val="auto"/>
              </w:rPr>
              <w:t>11</w:t>
            </w:r>
          </w:p>
        </w:tc>
      </w:tr>
      <w:tr>
        <w:trPr>
          <w:trHeight w:val="222"/>
        </w:trPr>
        <w:tc>
          <w:tcPr>
            <w:tcW w:w="10340" w:type="dxa"/>
            <w:vAlign w:val="bottom"/>
          </w:tcPr>
          <w:p>
            <w:pPr>
              <w:ind w:left="840"/>
              <w:spacing w:after="0" w:line="222" w:lineRule="exact"/>
              <w:rPr>
                <w:sz w:val="20"/>
                <w:szCs w:val="20"/>
                <w:color w:val="auto"/>
              </w:rPr>
            </w:pPr>
            <w:r>
              <w:rPr>
                <w:rFonts w:ascii="Arial" w:cs="Arial" w:eastAsia="Arial" w:hAnsi="Arial"/>
                <w:sz w:val="20"/>
                <w:szCs w:val="20"/>
                <w:color w:val="auto"/>
              </w:rPr>
              <w:t>2.12</w:t>
            </w:r>
          </w:p>
        </w:tc>
        <w:tc>
          <w:tcPr>
            <w:tcW w:w="740" w:type="dxa"/>
            <w:vAlign w:val="bottom"/>
          </w:tcPr>
          <w:p>
            <w:pPr>
              <w:spacing w:after="0"/>
              <w:rPr>
                <w:sz w:val="19"/>
                <w:szCs w:val="19"/>
                <w:color w:val="auto"/>
              </w:rPr>
            </w:pPr>
          </w:p>
        </w:tc>
      </w:tr>
      <w:tr>
        <w:trPr>
          <w:trHeight w:val="264"/>
        </w:trPr>
        <w:tc>
          <w:tcPr>
            <w:tcW w:w="10340" w:type="dxa"/>
            <w:vAlign w:val="bottom"/>
          </w:tcPr>
          <w:p>
            <w:pPr>
              <w:ind w:left="1680"/>
              <w:spacing w:after="0"/>
              <w:rPr>
                <w:sz w:val="20"/>
                <w:szCs w:val="20"/>
                <w:color w:val="auto"/>
              </w:rPr>
            </w:pPr>
            <w:r>
              <w:rPr>
                <w:rFonts w:ascii="Arial" w:cs="Arial" w:eastAsia="Arial" w:hAnsi="Arial"/>
                <w:sz w:val="20"/>
                <w:szCs w:val="20"/>
                <w:color w:val="auto"/>
              </w:rPr>
              <w:t>Record Date for Stockholder Meetings and Other Purposes</w:t>
            </w:r>
          </w:p>
        </w:tc>
        <w:tc>
          <w:tcPr>
            <w:tcW w:w="740" w:type="dxa"/>
            <w:vAlign w:val="bottom"/>
          </w:tcPr>
          <w:p>
            <w:pPr>
              <w:jc w:val="right"/>
              <w:spacing w:after="0"/>
              <w:rPr>
                <w:sz w:val="20"/>
                <w:szCs w:val="20"/>
                <w:color w:val="auto"/>
              </w:rPr>
            </w:pPr>
            <w:r>
              <w:rPr>
                <w:rFonts w:ascii="Arial" w:cs="Arial" w:eastAsia="Arial" w:hAnsi="Arial"/>
                <w:sz w:val="20"/>
                <w:szCs w:val="20"/>
                <w:color w:val="auto"/>
              </w:rPr>
              <w:t>12</w:t>
            </w:r>
          </w:p>
        </w:tc>
      </w:tr>
      <w:tr>
        <w:trPr>
          <w:trHeight w:val="222"/>
        </w:trPr>
        <w:tc>
          <w:tcPr>
            <w:tcW w:w="10340" w:type="dxa"/>
            <w:vAlign w:val="bottom"/>
          </w:tcPr>
          <w:p>
            <w:pPr>
              <w:ind w:left="840"/>
              <w:spacing w:after="0" w:line="222" w:lineRule="exact"/>
              <w:rPr>
                <w:sz w:val="20"/>
                <w:szCs w:val="20"/>
                <w:color w:val="auto"/>
              </w:rPr>
            </w:pPr>
            <w:r>
              <w:rPr>
                <w:rFonts w:ascii="Arial" w:cs="Arial" w:eastAsia="Arial" w:hAnsi="Arial"/>
                <w:sz w:val="20"/>
                <w:szCs w:val="20"/>
                <w:color w:val="auto"/>
              </w:rPr>
              <w:t>2.13</w:t>
            </w:r>
          </w:p>
        </w:tc>
        <w:tc>
          <w:tcPr>
            <w:tcW w:w="740" w:type="dxa"/>
            <w:vAlign w:val="bottom"/>
          </w:tcPr>
          <w:p>
            <w:pPr>
              <w:spacing w:after="0"/>
              <w:rPr>
                <w:sz w:val="19"/>
                <w:szCs w:val="19"/>
                <w:color w:val="auto"/>
              </w:rPr>
            </w:pPr>
          </w:p>
        </w:tc>
      </w:tr>
      <w:tr>
        <w:trPr>
          <w:trHeight w:val="264"/>
        </w:trPr>
        <w:tc>
          <w:tcPr>
            <w:tcW w:w="10340" w:type="dxa"/>
            <w:vAlign w:val="bottom"/>
          </w:tcPr>
          <w:p>
            <w:pPr>
              <w:ind w:left="1680"/>
              <w:spacing w:after="0"/>
              <w:rPr>
                <w:sz w:val="20"/>
                <w:szCs w:val="20"/>
                <w:color w:val="auto"/>
              </w:rPr>
            </w:pPr>
            <w:r>
              <w:rPr>
                <w:rFonts w:ascii="Arial" w:cs="Arial" w:eastAsia="Arial" w:hAnsi="Arial"/>
                <w:sz w:val="20"/>
                <w:szCs w:val="20"/>
                <w:color w:val="auto"/>
              </w:rPr>
              <w:t>Proxies</w:t>
            </w:r>
          </w:p>
        </w:tc>
        <w:tc>
          <w:tcPr>
            <w:tcW w:w="740" w:type="dxa"/>
            <w:vAlign w:val="bottom"/>
          </w:tcPr>
          <w:p>
            <w:pPr>
              <w:jc w:val="right"/>
              <w:spacing w:after="0"/>
              <w:rPr>
                <w:sz w:val="20"/>
                <w:szCs w:val="20"/>
                <w:color w:val="auto"/>
              </w:rPr>
            </w:pPr>
            <w:r>
              <w:rPr>
                <w:rFonts w:ascii="Arial" w:cs="Arial" w:eastAsia="Arial" w:hAnsi="Arial"/>
                <w:sz w:val="20"/>
                <w:szCs w:val="20"/>
                <w:color w:val="auto"/>
              </w:rPr>
              <w:t>12</w:t>
            </w:r>
          </w:p>
        </w:tc>
      </w:tr>
      <w:tr>
        <w:trPr>
          <w:trHeight w:val="222"/>
        </w:trPr>
        <w:tc>
          <w:tcPr>
            <w:tcW w:w="10340" w:type="dxa"/>
            <w:vAlign w:val="bottom"/>
          </w:tcPr>
          <w:p>
            <w:pPr>
              <w:ind w:left="840"/>
              <w:spacing w:after="0" w:line="222" w:lineRule="exact"/>
              <w:rPr>
                <w:sz w:val="20"/>
                <w:szCs w:val="20"/>
                <w:color w:val="auto"/>
              </w:rPr>
            </w:pPr>
            <w:r>
              <w:rPr>
                <w:rFonts w:ascii="Arial" w:cs="Arial" w:eastAsia="Arial" w:hAnsi="Arial"/>
                <w:sz w:val="20"/>
                <w:szCs w:val="20"/>
                <w:color w:val="auto"/>
              </w:rPr>
              <w:t>2.14</w:t>
            </w:r>
          </w:p>
        </w:tc>
        <w:tc>
          <w:tcPr>
            <w:tcW w:w="740" w:type="dxa"/>
            <w:vAlign w:val="bottom"/>
          </w:tcPr>
          <w:p>
            <w:pPr>
              <w:spacing w:after="0"/>
              <w:rPr>
                <w:sz w:val="19"/>
                <w:szCs w:val="19"/>
                <w:color w:val="auto"/>
              </w:rPr>
            </w:pPr>
          </w:p>
        </w:tc>
      </w:tr>
      <w:tr>
        <w:trPr>
          <w:trHeight w:val="264"/>
        </w:trPr>
        <w:tc>
          <w:tcPr>
            <w:tcW w:w="10340" w:type="dxa"/>
            <w:vAlign w:val="bottom"/>
          </w:tcPr>
          <w:p>
            <w:pPr>
              <w:ind w:left="1680"/>
              <w:spacing w:after="0"/>
              <w:rPr>
                <w:sz w:val="20"/>
                <w:szCs w:val="20"/>
                <w:color w:val="auto"/>
              </w:rPr>
            </w:pPr>
            <w:r>
              <w:rPr>
                <w:rFonts w:ascii="Arial" w:cs="Arial" w:eastAsia="Arial" w:hAnsi="Arial"/>
                <w:sz w:val="20"/>
                <w:szCs w:val="20"/>
                <w:color w:val="auto"/>
              </w:rPr>
              <w:t>List of Stockholders Entitled to Vote</w:t>
            </w:r>
          </w:p>
        </w:tc>
        <w:tc>
          <w:tcPr>
            <w:tcW w:w="740" w:type="dxa"/>
            <w:vAlign w:val="bottom"/>
          </w:tcPr>
          <w:p>
            <w:pPr>
              <w:jc w:val="right"/>
              <w:spacing w:after="0"/>
              <w:rPr>
                <w:sz w:val="20"/>
                <w:szCs w:val="20"/>
                <w:color w:val="auto"/>
              </w:rPr>
            </w:pPr>
            <w:r>
              <w:rPr>
                <w:rFonts w:ascii="Arial" w:cs="Arial" w:eastAsia="Arial" w:hAnsi="Arial"/>
                <w:sz w:val="20"/>
                <w:szCs w:val="20"/>
                <w:color w:val="auto"/>
              </w:rPr>
              <w:t>13</w:t>
            </w:r>
          </w:p>
        </w:tc>
      </w:tr>
      <w:tr>
        <w:trPr>
          <w:trHeight w:val="222"/>
        </w:trPr>
        <w:tc>
          <w:tcPr>
            <w:tcW w:w="10340" w:type="dxa"/>
            <w:vAlign w:val="bottom"/>
          </w:tcPr>
          <w:p>
            <w:pPr>
              <w:ind w:left="840"/>
              <w:spacing w:after="0" w:line="222" w:lineRule="exact"/>
              <w:rPr>
                <w:sz w:val="20"/>
                <w:szCs w:val="20"/>
                <w:color w:val="auto"/>
              </w:rPr>
            </w:pPr>
            <w:r>
              <w:rPr>
                <w:rFonts w:ascii="Arial" w:cs="Arial" w:eastAsia="Arial" w:hAnsi="Arial"/>
                <w:sz w:val="20"/>
                <w:szCs w:val="20"/>
                <w:color w:val="auto"/>
              </w:rPr>
              <w:t>2.15</w:t>
            </w:r>
          </w:p>
        </w:tc>
        <w:tc>
          <w:tcPr>
            <w:tcW w:w="740" w:type="dxa"/>
            <w:vAlign w:val="bottom"/>
          </w:tcPr>
          <w:p>
            <w:pPr>
              <w:spacing w:after="0"/>
              <w:rPr>
                <w:sz w:val="19"/>
                <w:szCs w:val="19"/>
                <w:color w:val="auto"/>
              </w:rPr>
            </w:pPr>
          </w:p>
        </w:tc>
      </w:tr>
      <w:tr>
        <w:trPr>
          <w:trHeight w:val="264"/>
        </w:trPr>
        <w:tc>
          <w:tcPr>
            <w:tcW w:w="10340" w:type="dxa"/>
            <w:vAlign w:val="bottom"/>
          </w:tcPr>
          <w:p>
            <w:pPr>
              <w:ind w:left="1680"/>
              <w:spacing w:after="0"/>
              <w:rPr>
                <w:sz w:val="20"/>
                <w:szCs w:val="20"/>
                <w:color w:val="auto"/>
              </w:rPr>
            </w:pPr>
            <w:r>
              <w:rPr>
                <w:rFonts w:ascii="Arial" w:cs="Arial" w:eastAsia="Arial" w:hAnsi="Arial"/>
                <w:sz w:val="20"/>
                <w:szCs w:val="20"/>
                <w:color w:val="auto"/>
              </w:rPr>
              <w:t>Inspectors of Election</w:t>
            </w:r>
          </w:p>
        </w:tc>
        <w:tc>
          <w:tcPr>
            <w:tcW w:w="740" w:type="dxa"/>
            <w:vAlign w:val="bottom"/>
          </w:tcPr>
          <w:p>
            <w:pPr>
              <w:jc w:val="right"/>
              <w:spacing w:after="0"/>
              <w:rPr>
                <w:sz w:val="20"/>
                <w:szCs w:val="20"/>
                <w:color w:val="auto"/>
              </w:rPr>
            </w:pPr>
            <w:r>
              <w:rPr>
                <w:rFonts w:ascii="Arial" w:cs="Arial" w:eastAsia="Arial" w:hAnsi="Arial"/>
                <w:sz w:val="20"/>
                <w:szCs w:val="20"/>
                <w:color w:val="auto"/>
              </w:rPr>
              <w:t>13</w:t>
            </w:r>
          </w:p>
        </w:tc>
      </w:tr>
      <w:tr>
        <w:trPr>
          <w:trHeight w:val="222"/>
        </w:trPr>
        <w:tc>
          <w:tcPr>
            <w:tcW w:w="10340" w:type="dxa"/>
            <w:vAlign w:val="bottom"/>
          </w:tcPr>
          <w:p>
            <w:pPr>
              <w:ind w:left="840"/>
              <w:spacing w:after="0" w:line="222" w:lineRule="exact"/>
              <w:rPr>
                <w:sz w:val="20"/>
                <w:szCs w:val="20"/>
                <w:color w:val="auto"/>
              </w:rPr>
            </w:pPr>
            <w:r>
              <w:rPr>
                <w:rFonts w:ascii="Arial" w:cs="Arial" w:eastAsia="Arial" w:hAnsi="Arial"/>
                <w:sz w:val="20"/>
                <w:szCs w:val="20"/>
                <w:color w:val="auto"/>
              </w:rPr>
              <w:t>2.16</w:t>
            </w:r>
          </w:p>
        </w:tc>
        <w:tc>
          <w:tcPr>
            <w:tcW w:w="740" w:type="dxa"/>
            <w:vAlign w:val="bottom"/>
          </w:tcPr>
          <w:p>
            <w:pPr>
              <w:spacing w:after="0"/>
              <w:rPr>
                <w:sz w:val="19"/>
                <w:szCs w:val="19"/>
                <w:color w:val="auto"/>
              </w:rPr>
            </w:pPr>
          </w:p>
        </w:tc>
      </w:tr>
      <w:tr>
        <w:trPr>
          <w:trHeight w:val="264"/>
        </w:trPr>
        <w:tc>
          <w:tcPr>
            <w:tcW w:w="10340" w:type="dxa"/>
            <w:vAlign w:val="bottom"/>
          </w:tcPr>
          <w:p>
            <w:pPr>
              <w:ind w:left="1680"/>
              <w:spacing w:after="0"/>
              <w:rPr>
                <w:sz w:val="20"/>
                <w:szCs w:val="20"/>
                <w:color w:val="auto"/>
              </w:rPr>
            </w:pPr>
            <w:r>
              <w:rPr>
                <w:rFonts w:ascii="Arial" w:cs="Arial" w:eastAsia="Arial" w:hAnsi="Arial"/>
                <w:sz w:val="20"/>
                <w:szCs w:val="20"/>
                <w:color w:val="auto"/>
              </w:rPr>
              <w:t>Action by Written Consent in Lieu of a Meeting.</w:t>
            </w:r>
          </w:p>
        </w:tc>
        <w:tc>
          <w:tcPr>
            <w:tcW w:w="740" w:type="dxa"/>
            <w:vAlign w:val="bottom"/>
          </w:tcPr>
          <w:p>
            <w:pPr>
              <w:jc w:val="right"/>
              <w:spacing w:after="0"/>
              <w:rPr>
                <w:sz w:val="20"/>
                <w:szCs w:val="20"/>
                <w:color w:val="auto"/>
              </w:rPr>
            </w:pPr>
            <w:r>
              <w:rPr>
                <w:rFonts w:ascii="Arial" w:cs="Arial" w:eastAsia="Arial" w:hAnsi="Arial"/>
                <w:sz w:val="20"/>
                <w:szCs w:val="20"/>
                <w:color w:val="auto"/>
              </w:rPr>
              <w:t>14</w:t>
            </w:r>
          </w:p>
        </w:tc>
      </w:tr>
      <w:tr>
        <w:trPr>
          <w:trHeight w:val="222"/>
        </w:trPr>
        <w:tc>
          <w:tcPr>
            <w:tcW w:w="10340" w:type="dxa"/>
            <w:vAlign w:val="bottom"/>
          </w:tcPr>
          <w:p>
            <w:pPr>
              <w:ind w:left="840"/>
              <w:spacing w:after="0" w:line="222" w:lineRule="exact"/>
              <w:rPr>
                <w:sz w:val="20"/>
                <w:szCs w:val="20"/>
                <w:color w:val="auto"/>
              </w:rPr>
            </w:pPr>
            <w:r>
              <w:rPr>
                <w:rFonts w:ascii="Arial" w:cs="Arial" w:eastAsia="Arial" w:hAnsi="Arial"/>
                <w:sz w:val="20"/>
                <w:szCs w:val="20"/>
                <w:color w:val="auto"/>
              </w:rPr>
              <w:t>2.17</w:t>
            </w:r>
          </w:p>
        </w:tc>
        <w:tc>
          <w:tcPr>
            <w:tcW w:w="740" w:type="dxa"/>
            <w:vAlign w:val="bottom"/>
          </w:tcPr>
          <w:p>
            <w:pPr>
              <w:spacing w:after="0"/>
              <w:rPr>
                <w:sz w:val="19"/>
                <w:szCs w:val="19"/>
                <w:color w:val="auto"/>
              </w:rPr>
            </w:pPr>
          </w:p>
        </w:tc>
      </w:tr>
      <w:tr>
        <w:trPr>
          <w:trHeight w:val="264"/>
        </w:trPr>
        <w:tc>
          <w:tcPr>
            <w:tcW w:w="10340" w:type="dxa"/>
            <w:vAlign w:val="bottom"/>
          </w:tcPr>
          <w:p>
            <w:pPr>
              <w:ind w:left="1680"/>
              <w:spacing w:after="0"/>
              <w:rPr>
                <w:sz w:val="20"/>
                <w:szCs w:val="20"/>
                <w:color w:val="auto"/>
              </w:rPr>
            </w:pPr>
            <w:r>
              <w:rPr>
                <w:rFonts w:ascii="Arial" w:cs="Arial" w:eastAsia="Arial" w:hAnsi="Arial"/>
                <w:sz w:val="20"/>
                <w:szCs w:val="20"/>
                <w:color w:val="auto"/>
              </w:rPr>
              <w:t>Delivery to the Corporation.</w:t>
            </w:r>
          </w:p>
        </w:tc>
        <w:tc>
          <w:tcPr>
            <w:tcW w:w="740" w:type="dxa"/>
            <w:vAlign w:val="bottom"/>
          </w:tcPr>
          <w:p>
            <w:pPr>
              <w:jc w:val="right"/>
              <w:spacing w:after="0"/>
              <w:rPr>
                <w:sz w:val="20"/>
                <w:szCs w:val="20"/>
                <w:color w:val="auto"/>
              </w:rPr>
            </w:pPr>
            <w:r>
              <w:rPr>
                <w:rFonts w:ascii="Arial" w:cs="Arial" w:eastAsia="Arial" w:hAnsi="Arial"/>
                <w:sz w:val="20"/>
                <w:szCs w:val="20"/>
                <w:color w:val="auto"/>
              </w:rPr>
              <w:t>15</w:t>
            </w:r>
          </w:p>
        </w:tc>
      </w:tr>
      <w:tr>
        <w:trPr>
          <w:trHeight w:val="540"/>
        </w:trPr>
        <w:tc>
          <w:tcPr>
            <w:tcW w:w="10340" w:type="dxa"/>
            <w:vAlign w:val="bottom"/>
          </w:tcPr>
          <w:p>
            <w:pPr>
              <w:spacing w:after="0"/>
              <w:rPr>
                <w:sz w:val="20"/>
                <w:szCs w:val="20"/>
                <w:color w:val="auto"/>
              </w:rPr>
            </w:pPr>
            <w:r>
              <w:rPr>
                <w:rFonts w:ascii="Arial" w:cs="Arial" w:eastAsia="Arial" w:hAnsi="Arial"/>
                <w:sz w:val="20"/>
                <w:szCs w:val="20"/>
                <w:color w:val="auto"/>
              </w:rPr>
              <w:t>Article III. Directors</w:t>
            </w:r>
          </w:p>
        </w:tc>
        <w:tc>
          <w:tcPr>
            <w:tcW w:w="740" w:type="dxa"/>
            <w:vAlign w:val="bottom"/>
          </w:tcPr>
          <w:p>
            <w:pPr>
              <w:jc w:val="right"/>
              <w:spacing w:after="0"/>
              <w:rPr>
                <w:sz w:val="20"/>
                <w:szCs w:val="20"/>
                <w:color w:val="auto"/>
              </w:rPr>
            </w:pPr>
            <w:r>
              <w:rPr>
                <w:rFonts w:ascii="Arial" w:cs="Arial" w:eastAsia="Arial" w:hAnsi="Arial"/>
                <w:sz w:val="20"/>
                <w:szCs w:val="20"/>
                <w:color w:val="auto"/>
              </w:rPr>
              <w:t>15</w:t>
            </w:r>
          </w:p>
        </w:tc>
      </w:tr>
      <w:tr>
        <w:trPr>
          <w:trHeight w:val="276"/>
        </w:trPr>
        <w:tc>
          <w:tcPr>
            <w:tcW w:w="10340" w:type="dxa"/>
            <w:vAlign w:val="bottom"/>
          </w:tcPr>
          <w:p>
            <w:pPr>
              <w:ind w:left="840"/>
              <w:spacing w:after="0"/>
              <w:rPr>
                <w:sz w:val="20"/>
                <w:szCs w:val="20"/>
                <w:color w:val="auto"/>
              </w:rPr>
            </w:pPr>
            <w:r>
              <w:rPr>
                <w:rFonts w:ascii="Arial" w:cs="Arial" w:eastAsia="Arial" w:hAnsi="Arial"/>
                <w:sz w:val="20"/>
                <w:szCs w:val="20"/>
                <w:color w:val="auto"/>
              </w:rPr>
              <w:t>3.1</w:t>
            </w:r>
          </w:p>
        </w:tc>
        <w:tc>
          <w:tcPr>
            <w:tcW w:w="740" w:type="dxa"/>
            <w:vAlign w:val="bottom"/>
          </w:tcPr>
          <w:p>
            <w:pPr>
              <w:spacing w:after="0"/>
              <w:rPr>
                <w:sz w:val="24"/>
                <w:szCs w:val="24"/>
                <w:color w:val="auto"/>
              </w:rPr>
            </w:pPr>
          </w:p>
        </w:tc>
      </w:tr>
      <w:tr>
        <w:trPr>
          <w:trHeight w:val="264"/>
        </w:trPr>
        <w:tc>
          <w:tcPr>
            <w:tcW w:w="10340" w:type="dxa"/>
            <w:vAlign w:val="bottom"/>
          </w:tcPr>
          <w:p>
            <w:pPr>
              <w:ind w:left="1680"/>
              <w:spacing w:after="0"/>
              <w:rPr>
                <w:sz w:val="20"/>
                <w:szCs w:val="20"/>
                <w:color w:val="auto"/>
              </w:rPr>
            </w:pPr>
            <w:r>
              <w:rPr>
                <w:rFonts w:ascii="Arial" w:cs="Arial" w:eastAsia="Arial" w:hAnsi="Arial"/>
                <w:sz w:val="20"/>
                <w:szCs w:val="20"/>
                <w:color w:val="auto"/>
              </w:rPr>
              <w:t>Powers</w:t>
            </w:r>
          </w:p>
        </w:tc>
        <w:tc>
          <w:tcPr>
            <w:tcW w:w="740" w:type="dxa"/>
            <w:vAlign w:val="bottom"/>
          </w:tcPr>
          <w:p>
            <w:pPr>
              <w:jc w:val="right"/>
              <w:spacing w:after="0"/>
              <w:rPr>
                <w:sz w:val="20"/>
                <w:szCs w:val="20"/>
                <w:color w:val="auto"/>
              </w:rPr>
            </w:pPr>
            <w:r>
              <w:rPr>
                <w:rFonts w:ascii="Arial" w:cs="Arial" w:eastAsia="Arial" w:hAnsi="Arial"/>
                <w:sz w:val="20"/>
                <w:szCs w:val="20"/>
                <w:color w:val="auto"/>
              </w:rPr>
              <w:t>15</w:t>
            </w:r>
          </w:p>
        </w:tc>
      </w:tr>
      <w:tr>
        <w:trPr>
          <w:trHeight w:val="222"/>
        </w:trPr>
        <w:tc>
          <w:tcPr>
            <w:tcW w:w="10340" w:type="dxa"/>
            <w:vAlign w:val="bottom"/>
          </w:tcPr>
          <w:p>
            <w:pPr>
              <w:ind w:left="840"/>
              <w:spacing w:after="0" w:line="222" w:lineRule="exact"/>
              <w:rPr>
                <w:sz w:val="20"/>
                <w:szCs w:val="20"/>
                <w:color w:val="auto"/>
              </w:rPr>
            </w:pPr>
            <w:r>
              <w:rPr>
                <w:rFonts w:ascii="Arial" w:cs="Arial" w:eastAsia="Arial" w:hAnsi="Arial"/>
                <w:sz w:val="20"/>
                <w:szCs w:val="20"/>
                <w:color w:val="auto"/>
              </w:rPr>
              <w:t>3.2</w:t>
            </w:r>
          </w:p>
        </w:tc>
        <w:tc>
          <w:tcPr>
            <w:tcW w:w="740" w:type="dxa"/>
            <w:vAlign w:val="bottom"/>
          </w:tcPr>
          <w:p>
            <w:pPr>
              <w:spacing w:after="0"/>
              <w:rPr>
                <w:sz w:val="19"/>
                <w:szCs w:val="19"/>
                <w:color w:val="auto"/>
              </w:rPr>
            </w:pPr>
          </w:p>
        </w:tc>
      </w:tr>
      <w:tr>
        <w:trPr>
          <w:trHeight w:val="264"/>
        </w:trPr>
        <w:tc>
          <w:tcPr>
            <w:tcW w:w="10340" w:type="dxa"/>
            <w:vAlign w:val="bottom"/>
          </w:tcPr>
          <w:p>
            <w:pPr>
              <w:ind w:left="1680"/>
              <w:spacing w:after="0"/>
              <w:rPr>
                <w:sz w:val="20"/>
                <w:szCs w:val="20"/>
                <w:color w:val="auto"/>
              </w:rPr>
            </w:pPr>
            <w:r>
              <w:rPr>
                <w:rFonts w:ascii="Arial" w:cs="Arial" w:eastAsia="Arial" w:hAnsi="Arial"/>
                <w:sz w:val="20"/>
                <w:szCs w:val="20"/>
                <w:color w:val="auto"/>
              </w:rPr>
              <w:t>Number of Directors</w:t>
            </w:r>
          </w:p>
        </w:tc>
        <w:tc>
          <w:tcPr>
            <w:tcW w:w="740" w:type="dxa"/>
            <w:vAlign w:val="bottom"/>
          </w:tcPr>
          <w:p>
            <w:pPr>
              <w:jc w:val="right"/>
              <w:spacing w:after="0"/>
              <w:rPr>
                <w:sz w:val="20"/>
                <w:szCs w:val="20"/>
                <w:color w:val="auto"/>
              </w:rPr>
            </w:pPr>
            <w:r>
              <w:rPr>
                <w:rFonts w:ascii="Arial" w:cs="Arial" w:eastAsia="Arial" w:hAnsi="Arial"/>
                <w:sz w:val="20"/>
                <w:szCs w:val="20"/>
                <w:color w:val="auto"/>
              </w:rPr>
              <w:t>15</w:t>
            </w:r>
          </w:p>
        </w:tc>
      </w:tr>
      <w:tr>
        <w:trPr>
          <w:trHeight w:val="222"/>
        </w:trPr>
        <w:tc>
          <w:tcPr>
            <w:tcW w:w="10340" w:type="dxa"/>
            <w:vAlign w:val="bottom"/>
          </w:tcPr>
          <w:p>
            <w:pPr>
              <w:ind w:left="840"/>
              <w:spacing w:after="0" w:line="222" w:lineRule="exact"/>
              <w:rPr>
                <w:sz w:val="20"/>
                <w:szCs w:val="20"/>
                <w:color w:val="auto"/>
              </w:rPr>
            </w:pPr>
            <w:r>
              <w:rPr>
                <w:rFonts w:ascii="Arial" w:cs="Arial" w:eastAsia="Arial" w:hAnsi="Arial"/>
                <w:sz w:val="20"/>
                <w:szCs w:val="20"/>
                <w:color w:val="auto"/>
              </w:rPr>
              <w:t>3.3</w:t>
            </w:r>
          </w:p>
        </w:tc>
        <w:tc>
          <w:tcPr>
            <w:tcW w:w="740" w:type="dxa"/>
            <w:vAlign w:val="bottom"/>
          </w:tcPr>
          <w:p>
            <w:pPr>
              <w:spacing w:after="0"/>
              <w:rPr>
                <w:sz w:val="19"/>
                <w:szCs w:val="19"/>
                <w:color w:val="auto"/>
              </w:rPr>
            </w:pPr>
          </w:p>
        </w:tc>
      </w:tr>
      <w:tr>
        <w:trPr>
          <w:trHeight w:val="264"/>
        </w:trPr>
        <w:tc>
          <w:tcPr>
            <w:tcW w:w="10340" w:type="dxa"/>
            <w:vAlign w:val="bottom"/>
          </w:tcPr>
          <w:p>
            <w:pPr>
              <w:ind w:left="1680"/>
              <w:spacing w:after="0"/>
              <w:rPr>
                <w:sz w:val="20"/>
                <w:szCs w:val="20"/>
                <w:color w:val="auto"/>
              </w:rPr>
            </w:pPr>
            <w:r>
              <w:rPr>
                <w:rFonts w:ascii="Arial" w:cs="Arial" w:eastAsia="Arial" w:hAnsi="Arial"/>
                <w:sz w:val="20"/>
                <w:szCs w:val="20"/>
                <w:color w:val="auto"/>
              </w:rPr>
              <w:t>Election, Qualification and Term of Office of Directors</w:t>
            </w:r>
          </w:p>
        </w:tc>
        <w:tc>
          <w:tcPr>
            <w:tcW w:w="740" w:type="dxa"/>
            <w:vAlign w:val="bottom"/>
          </w:tcPr>
          <w:p>
            <w:pPr>
              <w:jc w:val="right"/>
              <w:spacing w:after="0"/>
              <w:rPr>
                <w:sz w:val="20"/>
                <w:szCs w:val="20"/>
                <w:color w:val="auto"/>
              </w:rPr>
            </w:pPr>
            <w:r>
              <w:rPr>
                <w:rFonts w:ascii="Arial" w:cs="Arial" w:eastAsia="Arial" w:hAnsi="Arial"/>
                <w:sz w:val="20"/>
                <w:szCs w:val="20"/>
                <w:color w:val="auto"/>
              </w:rPr>
              <w:t>15</w:t>
            </w:r>
          </w:p>
        </w:tc>
      </w:tr>
      <w:tr>
        <w:trPr>
          <w:trHeight w:val="222"/>
        </w:trPr>
        <w:tc>
          <w:tcPr>
            <w:tcW w:w="10340" w:type="dxa"/>
            <w:vAlign w:val="bottom"/>
          </w:tcPr>
          <w:p>
            <w:pPr>
              <w:ind w:left="840"/>
              <w:spacing w:after="0" w:line="222" w:lineRule="exact"/>
              <w:rPr>
                <w:sz w:val="20"/>
                <w:szCs w:val="20"/>
                <w:color w:val="auto"/>
              </w:rPr>
            </w:pPr>
            <w:r>
              <w:rPr>
                <w:rFonts w:ascii="Arial" w:cs="Arial" w:eastAsia="Arial" w:hAnsi="Arial"/>
                <w:sz w:val="20"/>
                <w:szCs w:val="20"/>
                <w:color w:val="auto"/>
              </w:rPr>
              <w:t>3.4</w:t>
            </w:r>
          </w:p>
        </w:tc>
        <w:tc>
          <w:tcPr>
            <w:tcW w:w="740" w:type="dxa"/>
            <w:vAlign w:val="bottom"/>
          </w:tcPr>
          <w:p>
            <w:pPr>
              <w:spacing w:after="0"/>
              <w:rPr>
                <w:sz w:val="19"/>
                <w:szCs w:val="19"/>
                <w:color w:val="auto"/>
              </w:rPr>
            </w:pPr>
          </w:p>
        </w:tc>
      </w:tr>
      <w:tr>
        <w:trPr>
          <w:trHeight w:val="264"/>
        </w:trPr>
        <w:tc>
          <w:tcPr>
            <w:tcW w:w="10340" w:type="dxa"/>
            <w:vAlign w:val="bottom"/>
          </w:tcPr>
          <w:p>
            <w:pPr>
              <w:ind w:left="1680"/>
              <w:spacing w:after="0"/>
              <w:rPr>
                <w:sz w:val="20"/>
                <w:szCs w:val="20"/>
                <w:color w:val="auto"/>
              </w:rPr>
            </w:pPr>
            <w:r>
              <w:rPr>
                <w:rFonts w:ascii="Arial" w:cs="Arial" w:eastAsia="Arial" w:hAnsi="Arial"/>
                <w:sz w:val="20"/>
                <w:szCs w:val="20"/>
                <w:color w:val="auto"/>
              </w:rPr>
              <w:t>Resignation and Vacancies</w:t>
            </w:r>
          </w:p>
        </w:tc>
        <w:tc>
          <w:tcPr>
            <w:tcW w:w="740" w:type="dxa"/>
            <w:vAlign w:val="bottom"/>
          </w:tcPr>
          <w:p>
            <w:pPr>
              <w:jc w:val="right"/>
              <w:spacing w:after="0"/>
              <w:rPr>
                <w:sz w:val="20"/>
                <w:szCs w:val="20"/>
                <w:color w:val="auto"/>
              </w:rPr>
            </w:pPr>
            <w:r>
              <w:rPr>
                <w:rFonts w:ascii="Arial" w:cs="Arial" w:eastAsia="Arial" w:hAnsi="Arial"/>
                <w:sz w:val="20"/>
                <w:szCs w:val="20"/>
                <w:color w:val="auto"/>
              </w:rPr>
              <w:t>15</w:t>
            </w:r>
          </w:p>
        </w:tc>
      </w:tr>
      <w:tr>
        <w:trPr>
          <w:trHeight w:val="222"/>
        </w:trPr>
        <w:tc>
          <w:tcPr>
            <w:tcW w:w="10340" w:type="dxa"/>
            <w:vAlign w:val="bottom"/>
          </w:tcPr>
          <w:p>
            <w:pPr>
              <w:ind w:left="840"/>
              <w:spacing w:after="0" w:line="222" w:lineRule="exact"/>
              <w:rPr>
                <w:sz w:val="20"/>
                <w:szCs w:val="20"/>
                <w:color w:val="auto"/>
              </w:rPr>
            </w:pPr>
            <w:r>
              <w:rPr>
                <w:rFonts w:ascii="Arial" w:cs="Arial" w:eastAsia="Arial" w:hAnsi="Arial"/>
                <w:sz w:val="20"/>
                <w:szCs w:val="20"/>
                <w:color w:val="auto"/>
              </w:rPr>
              <w:t>3.5</w:t>
            </w:r>
          </w:p>
        </w:tc>
        <w:tc>
          <w:tcPr>
            <w:tcW w:w="740" w:type="dxa"/>
            <w:vAlign w:val="bottom"/>
          </w:tcPr>
          <w:p>
            <w:pPr>
              <w:spacing w:after="0"/>
              <w:rPr>
                <w:sz w:val="19"/>
                <w:szCs w:val="19"/>
                <w:color w:val="auto"/>
              </w:rPr>
            </w:pPr>
          </w:p>
        </w:tc>
      </w:tr>
      <w:tr>
        <w:trPr>
          <w:trHeight w:val="264"/>
        </w:trPr>
        <w:tc>
          <w:tcPr>
            <w:tcW w:w="10340" w:type="dxa"/>
            <w:vAlign w:val="bottom"/>
          </w:tcPr>
          <w:p>
            <w:pPr>
              <w:ind w:left="1680"/>
              <w:spacing w:after="0"/>
              <w:rPr>
                <w:sz w:val="20"/>
                <w:szCs w:val="20"/>
                <w:color w:val="auto"/>
              </w:rPr>
            </w:pPr>
            <w:r>
              <w:rPr>
                <w:rFonts w:ascii="Arial" w:cs="Arial" w:eastAsia="Arial" w:hAnsi="Arial"/>
                <w:sz w:val="20"/>
                <w:szCs w:val="20"/>
                <w:color w:val="auto"/>
              </w:rPr>
              <w:t>Place of Meetings; Meetings by Telephone</w:t>
            </w:r>
          </w:p>
        </w:tc>
        <w:tc>
          <w:tcPr>
            <w:tcW w:w="740" w:type="dxa"/>
            <w:vAlign w:val="bottom"/>
          </w:tcPr>
          <w:p>
            <w:pPr>
              <w:jc w:val="right"/>
              <w:spacing w:after="0"/>
              <w:rPr>
                <w:sz w:val="20"/>
                <w:szCs w:val="20"/>
                <w:color w:val="auto"/>
              </w:rPr>
            </w:pPr>
            <w:r>
              <w:rPr>
                <w:rFonts w:ascii="Arial" w:cs="Arial" w:eastAsia="Arial" w:hAnsi="Arial"/>
                <w:sz w:val="20"/>
                <w:szCs w:val="20"/>
                <w:color w:val="auto"/>
              </w:rPr>
              <w:t>16</w:t>
            </w:r>
          </w:p>
        </w:tc>
      </w:tr>
      <w:tr>
        <w:trPr>
          <w:trHeight w:val="222"/>
        </w:trPr>
        <w:tc>
          <w:tcPr>
            <w:tcW w:w="10340" w:type="dxa"/>
            <w:vAlign w:val="bottom"/>
          </w:tcPr>
          <w:p>
            <w:pPr>
              <w:ind w:left="840"/>
              <w:spacing w:after="0" w:line="222" w:lineRule="exact"/>
              <w:rPr>
                <w:sz w:val="20"/>
                <w:szCs w:val="20"/>
                <w:color w:val="auto"/>
              </w:rPr>
            </w:pPr>
            <w:r>
              <w:rPr>
                <w:rFonts w:ascii="Arial" w:cs="Arial" w:eastAsia="Arial" w:hAnsi="Arial"/>
                <w:sz w:val="20"/>
                <w:szCs w:val="20"/>
                <w:color w:val="auto"/>
              </w:rPr>
              <w:t>3.6</w:t>
            </w:r>
          </w:p>
        </w:tc>
        <w:tc>
          <w:tcPr>
            <w:tcW w:w="740" w:type="dxa"/>
            <w:vAlign w:val="bottom"/>
          </w:tcPr>
          <w:p>
            <w:pPr>
              <w:spacing w:after="0"/>
              <w:rPr>
                <w:sz w:val="19"/>
                <w:szCs w:val="19"/>
                <w:color w:val="auto"/>
              </w:rPr>
            </w:pPr>
          </w:p>
        </w:tc>
      </w:tr>
      <w:tr>
        <w:trPr>
          <w:trHeight w:val="264"/>
        </w:trPr>
        <w:tc>
          <w:tcPr>
            <w:tcW w:w="10340" w:type="dxa"/>
            <w:vAlign w:val="bottom"/>
          </w:tcPr>
          <w:p>
            <w:pPr>
              <w:ind w:left="1680"/>
              <w:spacing w:after="0"/>
              <w:rPr>
                <w:sz w:val="20"/>
                <w:szCs w:val="20"/>
                <w:color w:val="auto"/>
              </w:rPr>
            </w:pPr>
            <w:r>
              <w:rPr>
                <w:rFonts w:ascii="Arial" w:cs="Arial" w:eastAsia="Arial" w:hAnsi="Arial"/>
                <w:sz w:val="20"/>
                <w:szCs w:val="20"/>
                <w:color w:val="auto"/>
              </w:rPr>
              <w:t>Regular Meetings</w:t>
            </w:r>
          </w:p>
        </w:tc>
        <w:tc>
          <w:tcPr>
            <w:tcW w:w="740" w:type="dxa"/>
            <w:vAlign w:val="bottom"/>
          </w:tcPr>
          <w:p>
            <w:pPr>
              <w:jc w:val="right"/>
              <w:spacing w:after="0"/>
              <w:rPr>
                <w:sz w:val="20"/>
                <w:szCs w:val="20"/>
                <w:color w:val="auto"/>
              </w:rPr>
            </w:pPr>
            <w:r>
              <w:rPr>
                <w:rFonts w:ascii="Arial" w:cs="Arial" w:eastAsia="Arial" w:hAnsi="Arial"/>
                <w:sz w:val="20"/>
                <w:szCs w:val="20"/>
                <w:color w:val="auto"/>
              </w:rPr>
              <w:t>16</w:t>
            </w:r>
          </w:p>
        </w:tc>
      </w:tr>
      <w:tr>
        <w:trPr>
          <w:trHeight w:val="222"/>
        </w:trPr>
        <w:tc>
          <w:tcPr>
            <w:tcW w:w="10340" w:type="dxa"/>
            <w:vAlign w:val="bottom"/>
          </w:tcPr>
          <w:p>
            <w:pPr>
              <w:ind w:left="840"/>
              <w:spacing w:after="0" w:line="222" w:lineRule="exact"/>
              <w:rPr>
                <w:sz w:val="20"/>
                <w:szCs w:val="20"/>
                <w:color w:val="auto"/>
              </w:rPr>
            </w:pPr>
            <w:r>
              <w:rPr>
                <w:rFonts w:ascii="Arial" w:cs="Arial" w:eastAsia="Arial" w:hAnsi="Arial"/>
                <w:sz w:val="20"/>
                <w:szCs w:val="20"/>
                <w:color w:val="auto"/>
              </w:rPr>
              <w:t>3.7</w:t>
            </w:r>
          </w:p>
        </w:tc>
        <w:tc>
          <w:tcPr>
            <w:tcW w:w="740" w:type="dxa"/>
            <w:vAlign w:val="bottom"/>
          </w:tcPr>
          <w:p>
            <w:pPr>
              <w:spacing w:after="0"/>
              <w:rPr>
                <w:sz w:val="19"/>
                <w:szCs w:val="19"/>
                <w:color w:val="auto"/>
              </w:rPr>
            </w:pPr>
          </w:p>
        </w:tc>
      </w:tr>
      <w:tr>
        <w:trPr>
          <w:trHeight w:val="264"/>
        </w:trPr>
        <w:tc>
          <w:tcPr>
            <w:tcW w:w="10340" w:type="dxa"/>
            <w:vAlign w:val="bottom"/>
          </w:tcPr>
          <w:p>
            <w:pPr>
              <w:ind w:left="1680"/>
              <w:spacing w:after="0"/>
              <w:rPr>
                <w:sz w:val="20"/>
                <w:szCs w:val="20"/>
                <w:color w:val="auto"/>
              </w:rPr>
            </w:pPr>
            <w:r>
              <w:rPr>
                <w:rFonts w:ascii="Arial" w:cs="Arial" w:eastAsia="Arial" w:hAnsi="Arial"/>
                <w:sz w:val="20"/>
                <w:szCs w:val="20"/>
                <w:color w:val="auto"/>
              </w:rPr>
              <w:t>Special Meetings; Notice</w:t>
            </w:r>
          </w:p>
        </w:tc>
        <w:tc>
          <w:tcPr>
            <w:tcW w:w="740" w:type="dxa"/>
            <w:vAlign w:val="bottom"/>
          </w:tcPr>
          <w:p>
            <w:pPr>
              <w:jc w:val="right"/>
              <w:spacing w:after="0"/>
              <w:rPr>
                <w:sz w:val="20"/>
                <w:szCs w:val="20"/>
                <w:color w:val="auto"/>
              </w:rPr>
            </w:pPr>
            <w:r>
              <w:rPr>
                <w:rFonts w:ascii="Arial" w:cs="Arial" w:eastAsia="Arial" w:hAnsi="Arial"/>
                <w:sz w:val="20"/>
                <w:szCs w:val="20"/>
                <w:color w:val="auto"/>
              </w:rPr>
              <w:t>16</w:t>
            </w:r>
          </w:p>
        </w:tc>
      </w:tr>
      <w:tr>
        <w:trPr>
          <w:trHeight w:val="256"/>
        </w:trPr>
        <w:tc>
          <w:tcPr>
            <w:tcW w:w="10340" w:type="dxa"/>
            <w:vAlign w:val="bottom"/>
          </w:tcPr>
          <w:p>
            <w:pPr>
              <w:ind w:left="840"/>
              <w:spacing w:after="0"/>
              <w:rPr>
                <w:sz w:val="20"/>
                <w:szCs w:val="20"/>
                <w:color w:val="auto"/>
              </w:rPr>
            </w:pPr>
            <w:r>
              <w:rPr>
                <w:rFonts w:ascii="Arial" w:cs="Arial" w:eastAsia="Arial" w:hAnsi="Arial"/>
                <w:sz w:val="20"/>
                <w:szCs w:val="20"/>
                <w:color w:val="auto"/>
              </w:rPr>
              <w:t>3 8</w:t>
            </w:r>
          </w:p>
        </w:tc>
        <w:tc>
          <w:tcPr>
            <w:tcW w:w="740" w:type="dxa"/>
            <w:vAlign w:val="bottom"/>
          </w:tcPr>
          <w:p>
            <w:pPr>
              <w:spacing w:after="0"/>
              <w:rPr>
                <w:sz w:val="22"/>
                <w:szCs w:val="22"/>
                <w:color w:val="auto"/>
              </w:rPr>
            </w:pPr>
          </w:p>
        </w:tc>
      </w:tr>
    </w:tbl>
    <w:p>
      <w:pPr>
        <w:sectPr>
          <w:pgSz w:w="11900" w:h="17030" w:orient="portrait"/>
          <w:cols w:equalWidth="0" w:num="1">
            <w:col w:w="11080"/>
          </w:cols>
          <w:pgMar w:left="420" w:top="1413" w:right="399" w:bottom="0" w:gutter="0" w:footer="0" w:header="0"/>
        </w:sectPr>
      </w:pPr>
    </w:p>
    <w:bookmarkStart w:id="20" w:name="page21"/>
    <w:bookmarkEnd w:id="2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7740" w:type="dxa"/>
            <w:vAlign w:val="bottom"/>
          </w:tcPr>
          <w:p>
            <w:pPr>
              <w:ind w:left="1680"/>
              <w:spacing w:after="0"/>
              <w:rPr>
                <w:sz w:val="20"/>
                <w:szCs w:val="20"/>
                <w:color w:val="auto"/>
              </w:rPr>
            </w:pPr>
            <w:r>
              <w:rPr>
                <w:rFonts w:ascii="Arial" w:cs="Arial" w:eastAsia="Arial" w:hAnsi="Arial"/>
                <w:sz w:val="20"/>
                <w:szCs w:val="20"/>
                <w:color w:val="auto"/>
              </w:rPr>
              <w:t>Quorum</w:t>
            </w:r>
          </w:p>
        </w:tc>
        <w:tc>
          <w:tcPr>
            <w:tcW w:w="3320" w:type="dxa"/>
            <w:vAlign w:val="bottom"/>
          </w:tcPr>
          <w:p>
            <w:pPr>
              <w:jc w:val="right"/>
              <w:spacing w:after="0"/>
              <w:rPr>
                <w:sz w:val="20"/>
                <w:szCs w:val="20"/>
                <w:color w:val="auto"/>
              </w:rPr>
            </w:pPr>
            <w:r>
              <w:rPr>
                <w:rFonts w:ascii="Arial" w:cs="Arial" w:eastAsia="Arial" w:hAnsi="Arial"/>
                <w:sz w:val="20"/>
                <w:szCs w:val="20"/>
                <w:color w:val="auto"/>
              </w:rPr>
              <w:t>17</w:t>
            </w:r>
          </w:p>
        </w:tc>
      </w:tr>
      <w:tr>
        <w:trPr>
          <w:trHeight w:val="222"/>
        </w:trPr>
        <w:tc>
          <w:tcPr>
            <w:tcW w:w="7740" w:type="dxa"/>
            <w:vAlign w:val="bottom"/>
          </w:tcPr>
          <w:p>
            <w:pPr>
              <w:ind w:left="840"/>
              <w:spacing w:after="0" w:line="222" w:lineRule="exact"/>
              <w:rPr>
                <w:sz w:val="20"/>
                <w:szCs w:val="20"/>
                <w:color w:val="auto"/>
              </w:rPr>
            </w:pPr>
            <w:r>
              <w:rPr>
                <w:rFonts w:ascii="Arial" w:cs="Arial" w:eastAsia="Arial" w:hAnsi="Arial"/>
                <w:sz w:val="20"/>
                <w:szCs w:val="20"/>
                <w:color w:val="auto"/>
              </w:rPr>
              <w:t>3.9</w:t>
            </w:r>
          </w:p>
        </w:tc>
        <w:tc>
          <w:tcPr>
            <w:tcW w:w="3320" w:type="dxa"/>
            <w:vAlign w:val="bottom"/>
          </w:tcPr>
          <w:p>
            <w:pPr>
              <w:spacing w:after="0"/>
              <w:rPr>
                <w:sz w:val="19"/>
                <w:szCs w:val="19"/>
                <w:color w:val="auto"/>
              </w:rPr>
            </w:pPr>
          </w:p>
        </w:tc>
      </w:tr>
      <w:tr>
        <w:trPr>
          <w:trHeight w:val="264"/>
        </w:trPr>
        <w:tc>
          <w:tcPr>
            <w:tcW w:w="7740" w:type="dxa"/>
            <w:vAlign w:val="bottom"/>
          </w:tcPr>
          <w:p>
            <w:pPr>
              <w:ind w:left="1680"/>
              <w:spacing w:after="0"/>
              <w:rPr>
                <w:sz w:val="20"/>
                <w:szCs w:val="20"/>
                <w:color w:val="auto"/>
              </w:rPr>
            </w:pPr>
            <w:r>
              <w:rPr>
                <w:rFonts w:ascii="Arial" w:cs="Arial" w:eastAsia="Arial" w:hAnsi="Arial"/>
                <w:sz w:val="20"/>
                <w:szCs w:val="20"/>
                <w:color w:val="auto"/>
              </w:rPr>
              <w:t>Board Action without a Meeting</w:t>
            </w:r>
          </w:p>
        </w:tc>
        <w:tc>
          <w:tcPr>
            <w:tcW w:w="3320" w:type="dxa"/>
            <w:vAlign w:val="bottom"/>
          </w:tcPr>
          <w:p>
            <w:pPr>
              <w:jc w:val="right"/>
              <w:spacing w:after="0"/>
              <w:rPr>
                <w:sz w:val="20"/>
                <w:szCs w:val="20"/>
                <w:color w:val="auto"/>
              </w:rPr>
            </w:pPr>
            <w:r>
              <w:rPr>
                <w:rFonts w:ascii="Arial" w:cs="Arial" w:eastAsia="Arial" w:hAnsi="Arial"/>
                <w:sz w:val="20"/>
                <w:szCs w:val="20"/>
                <w:color w:val="auto"/>
              </w:rPr>
              <w:t>17</w:t>
            </w:r>
          </w:p>
        </w:tc>
      </w:tr>
      <w:tr>
        <w:trPr>
          <w:trHeight w:val="222"/>
        </w:trPr>
        <w:tc>
          <w:tcPr>
            <w:tcW w:w="7740" w:type="dxa"/>
            <w:vAlign w:val="bottom"/>
          </w:tcPr>
          <w:p>
            <w:pPr>
              <w:ind w:left="840"/>
              <w:spacing w:after="0" w:line="222" w:lineRule="exact"/>
              <w:rPr>
                <w:sz w:val="20"/>
                <w:szCs w:val="20"/>
                <w:color w:val="auto"/>
              </w:rPr>
            </w:pPr>
            <w:r>
              <w:rPr>
                <w:rFonts w:ascii="Arial" w:cs="Arial" w:eastAsia="Arial" w:hAnsi="Arial"/>
                <w:sz w:val="20"/>
                <w:szCs w:val="20"/>
                <w:color w:val="auto"/>
              </w:rPr>
              <w:t>3.10</w:t>
            </w:r>
          </w:p>
        </w:tc>
        <w:tc>
          <w:tcPr>
            <w:tcW w:w="3320" w:type="dxa"/>
            <w:vAlign w:val="bottom"/>
          </w:tcPr>
          <w:p>
            <w:pPr>
              <w:spacing w:after="0"/>
              <w:rPr>
                <w:sz w:val="19"/>
                <w:szCs w:val="19"/>
                <w:color w:val="auto"/>
              </w:rPr>
            </w:pPr>
          </w:p>
        </w:tc>
      </w:tr>
      <w:tr>
        <w:trPr>
          <w:trHeight w:val="264"/>
        </w:trPr>
        <w:tc>
          <w:tcPr>
            <w:tcW w:w="7740" w:type="dxa"/>
            <w:vAlign w:val="bottom"/>
          </w:tcPr>
          <w:p>
            <w:pPr>
              <w:ind w:left="1680"/>
              <w:spacing w:after="0"/>
              <w:rPr>
                <w:sz w:val="20"/>
                <w:szCs w:val="20"/>
                <w:color w:val="auto"/>
              </w:rPr>
            </w:pPr>
            <w:r>
              <w:rPr>
                <w:rFonts w:ascii="Arial" w:cs="Arial" w:eastAsia="Arial" w:hAnsi="Arial"/>
                <w:sz w:val="20"/>
                <w:szCs w:val="20"/>
                <w:color w:val="auto"/>
              </w:rPr>
              <w:t>Fees and Compensation of Directors</w:t>
            </w:r>
          </w:p>
        </w:tc>
        <w:tc>
          <w:tcPr>
            <w:tcW w:w="3320" w:type="dxa"/>
            <w:vAlign w:val="bottom"/>
          </w:tcPr>
          <w:p>
            <w:pPr>
              <w:jc w:val="right"/>
              <w:spacing w:after="0"/>
              <w:rPr>
                <w:sz w:val="20"/>
                <w:szCs w:val="20"/>
                <w:color w:val="auto"/>
              </w:rPr>
            </w:pPr>
            <w:r>
              <w:rPr>
                <w:rFonts w:ascii="Arial" w:cs="Arial" w:eastAsia="Arial" w:hAnsi="Arial"/>
                <w:sz w:val="20"/>
                <w:szCs w:val="20"/>
                <w:color w:val="auto"/>
              </w:rPr>
              <w:t>17</w:t>
            </w:r>
          </w:p>
        </w:tc>
      </w:tr>
      <w:tr>
        <w:trPr>
          <w:trHeight w:val="540"/>
        </w:trPr>
        <w:tc>
          <w:tcPr>
            <w:tcW w:w="7740" w:type="dxa"/>
            <w:vAlign w:val="bottom"/>
          </w:tcPr>
          <w:p>
            <w:pPr>
              <w:spacing w:after="0"/>
              <w:rPr>
                <w:sz w:val="20"/>
                <w:szCs w:val="20"/>
                <w:color w:val="auto"/>
              </w:rPr>
            </w:pPr>
            <w:r>
              <w:rPr>
                <w:rFonts w:ascii="Arial" w:cs="Arial" w:eastAsia="Arial" w:hAnsi="Arial"/>
                <w:sz w:val="20"/>
                <w:szCs w:val="20"/>
                <w:color w:val="auto"/>
              </w:rPr>
              <w:t>Article IV. Committees</w:t>
            </w:r>
          </w:p>
        </w:tc>
        <w:tc>
          <w:tcPr>
            <w:tcW w:w="3320" w:type="dxa"/>
            <w:vAlign w:val="bottom"/>
          </w:tcPr>
          <w:p>
            <w:pPr>
              <w:jc w:val="right"/>
              <w:spacing w:after="0"/>
              <w:rPr>
                <w:sz w:val="20"/>
                <w:szCs w:val="20"/>
                <w:color w:val="auto"/>
              </w:rPr>
            </w:pPr>
            <w:r>
              <w:rPr>
                <w:rFonts w:ascii="Arial" w:cs="Arial" w:eastAsia="Arial" w:hAnsi="Arial"/>
                <w:sz w:val="20"/>
                <w:szCs w:val="20"/>
                <w:color w:val="auto"/>
              </w:rPr>
              <w:t>17</w:t>
            </w:r>
          </w:p>
        </w:tc>
      </w:tr>
      <w:tr>
        <w:trPr>
          <w:trHeight w:val="276"/>
        </w:trPr>
        <w:tc>
          <w:tcPr>
            <w:tcW w:w="7740" w:type="dxa"/>
            <w:vAlign w:val="bottom"/>
          </w:tcPr>
          <w:p>
            <w:pPr>
              <w:ind w:left="840"/>
              <w:spacing w:after="0"/>
              <w:rPr>
                <w:sz w:val="20"/>
                <w:szCs w:val="20"/>
                <w:color w:val="auto"/>
              </w:rPr>
            </w:pPr>
            <w:r>
              <w:rPr>
                <w:rFonts w:ascii="Arial" w:cs="Arial" w:eastAsia="Arial" w:hAnsi="Arial"/>
                <w:sz w:val="20"/>
                <w:szCs w:val="20"/>
                <w:color w:val="auto"/>
              </w:rPr>
              <w:t>4.1</w:t>
            </w:r>
          </w:p>
        </w:tc>
        <w:tc>
          <w:tcPr>
            <w:tcW w:w="3320" w:type="dxa"/>
            <w:vAlign w:val="bottom"/>
          </w:tcPr>
          <w:p>
            <w:pPr>
              <w:spacing w:after="0"/>
              <w:rPr>
                <w:sz w:val="24"/>
                <w:szCs w:val="24"/>
                <w:color w:val="auto"/>
              </w:rPr>
            </w:pPr>
          </w:p>
        </w:tc>
      </w:tr>
      <w:tr>
        <w:trPr>
          <w:trHeight w:val="264"/>
        </w:trPr>
        <w:tc>
          <w:tcPr>
            <w:tcW w:w="7740" w:type="dxa"/>
            <w:vAlign w:val="bottom"/>
          </w:tcPr>
          <w:p>
            <w:pPr>
              <w:ind w:left="1680"/>
              <w:spacing w:after="0"/>
              <w:rPr>
                <w:sz w:val="20"/>
                <w:szCs w:val="20"/>
                <w:color w:val="auto"/>
              </w:rPr>
            </w:pPr>
            <w:r>
              <w:rPr>
                <w:rFonts w:ascii="Arial" w:cs="Arial" w:eastAsia="Arial" w:hAnsi="Arial"/>
                <w:sz w:val="20"/>
                <w:szCs w:val="20"/>
                <w:color w:val="auto"/>
              </w:rPr>
              <w:t>Committees of Directors</w:t>
            </w:r>
          </w:p>
        </w:tc>
        <w:tc>
          <w:tcPr>
            <w:tcW w:w="3320" w:type="dxa"/>
            <w:vAlign w:val="bottom"/>
          </w:tcPr>
          <w:p>
            <w:pPr>
              <w:jc w:val="right"/>
              <w:spacing w:after="0"/>
              <w:rPr>
                <w:sz w:val="20"/>
                <w:szCs w:val="20"/>
                <w:color w:val="auto"/>
              </w:rPr>
            </w:pPr>
            <w:r>
              <w:rPr>
                <w:rFonts w:ascii="Arial" w:cs="Arial" w:eastAsia="Arial" w:hAnsi="Arial"/>
                <w:sz w:val="20"/>
                <w:szCs w:val="20"/>
                <w:color w:val="auto"/>
              </w:rPr>
              <w:t>17</w:t>
            </w:r>
          </w:p>
        </w:tc>
      </w:tr>
      <w:tr>
        <w:trPr>
          <w:trHeight w:val="222"/>
        </w:trPr>
        <w:tc>
          <w:tcPr>
            <w:tcW w:w="7740" w:type="dxa"/>
            <w:vAlign w:val="bottom"/>
          </w:tcPr>
          <w:p>
            <w:pPr>
              <w:ind w:left="840"/>
              <w:spacing w:after="0" w:line="222" w:lineRule="exact"/>
              <w:rPr>
                <w:sz w:val="20"/>
                <w:szCs w:val="20"/>
                <w:color w:val="auto"/>
              </w:rPr>
            </w:pPr>
            <w:r>
              <w:rPr>
                <w:rFonts w:ascii="Arial" w:cs="Arial" w:eastAsia="Arial" w:hAnsi="Arial"/>
                <w:sz w:val="20"/>
                <w:szCs w:val="20"/>
                <w:color w:val="auto"/>
              </w:rPr>
              <w:t>4.2</w:t>
            </w:r>
          </w:p>
        </w:tc>
        <w:tc>
          <w:tcPr>
            <w:tcW w:w="3320" w:type="dxa"/>
            <w:vAlign w:val="bottom"/>
          </w:tcPr>
          <w:p>
            <w:pPr>
              <w:spacing w:after="0"/>
              <w:rPr>
                <w:sz w:val="19"/>
                <w:szCs w:val="19"/>
                <w:color w:val="auto"/>
              </w:rPr>
            </w:pPr>
          </w:p>
        </w:tc>
      </w:tr>
      <w:tr>
        <w:trPr>
          <w:trHeight w:val="264"/>
        </w:trPr>
        <w:tc>
          <w:tcPr>
            <w:tcW w:w="7740" w:type="dxa"/>
            <w:vAlign w:val="bottom"/>
          </w:tcPr>
          <w:p>
            <w:pPr>
              <w:ind w:left="1680"/>
              <w:spacing w:after="0"/>
              <w:rPr>
                <w:sz w:val="20"/>
                <w:szCs w:val="20"/>
                <w:color w:val="auto"/>
              </w:rPr>
            </w:pPr>
            <w:r>
              <w:rPr>
                <w:rFonts w:ascii="Arial" w:cs="Arial" w:eastAsia="Arial" w:hAnsi="Arial"/>
                <w:sz w:val="20"/>
                <w:szCs w:val="20"/>
                <w:color w:val="auto"/>
              </w:rPr>
              <w:t>Committee Minutes</w:t>
            </w:r>
          </w:p>
        </w:tc>
        <w:tc>
          <w:tcPr>
            <w:tcW w:w="3320" w:type="dxa"/>
            <w:vAlign w:val="bottom"/>
          </w:tcPr>
          <w:p>
            <w:pPr>
              <w:jc w:val="right"/>
              <w:spacing w:after="0"/>
              <w:rPr>
                <w:sz w:val="20"/>
                <w:szCs w:val="20"/>
                <w:color w:val="auto"/>
              </w:rPr>
            </w:pPr>
            <w:r>
              <w:rPr>
                <w:rFonts w:ascii="Arial" w:cs="Arial" w:eastAsia="Arial" w:hAnsi="Arial"/>
                <w:sz w:val="20"/>
                <w:szCs w:val="20"/>
                <w:color w:val="auto"/>
              </w:rPr>
              <w:t>18</w:t>
            </w:r>
          </w:p>
        </w:tc>
      </w:tr>
      <w:tr>
        <w:trPr>
          <w:trHeight w:val="222"/>
        </w:trPr>
        <w:tc>
          <w:tcPr>
            <w:tcW w:w="7740" w:type="dxa"/>
            <w:vAlign w:val="bottom"/>
          </w:tcPr>
          <w:p>
            <w:pPr>
              <w:ind w:left="840"/>
              <w:spacing w:after="0" w:line="222" w:lineRule="exact"/>
              <w:rPr>
                <w:sz w:val="20"/>
                <w:szCs w:val="20"/>
                <w:color w:val="auto"/>
              </w:rPr>
            </w:pPr>
            <w:r>
              <w:rPr>
                <w:rFonts w:ascii="Arial" w:cs="Arial" w:eastAsia="Arial" w:hAnsi="Arial"/>
                <w:sz w:val="20"/>
                <w:szCs w:val="20"/>
                <w:color w:val="auto"/>
              </w:rPr>
              <w:t>4.3</w:t>
            </w:r>
          </w:p>
        </w:tc>
        <w:tc>
          <w:tcPr>
            <w:tcW w:w="3320" w:type="dxa"/>
            <w:vAlign w:val="bottom"/>
          </w:tcPr>
          <w:p>
            <w:pPr>
              <w:spacing w:after="0"/>
              <w:rPr>
                <w:sz w:val="19"/>
                <w:szCs w:val="19"/>
                <w:color w:val="auto"/>
              </w:rPr>
            </w:pPr>
          </w:p>
        </w:tc>
      </w:tr>
      <w:tr>
        <w:trPr>
          <w:trHeight w:val="264"/>
        </w:trPr>
        <w:tc>
          <w:tcPr>
            <w:tcW w:w="7740" w:type="dxa"/>
            <w:vAlign w:val="bottom"/>
          </w:tcPr>
          <w:p>
            <w:pPr>
              <w:ind w:left="1680"/>
              <w:spacing w:after="0"/>
              <w:rPr>
                <w:sz w:val="20"/>
                <w:szCs w:val="20"/>
                <w:color w:val="auto"/>
              </w:rPr>
            </w:pPr>
            <w:r>
              <w:rPr>
                <w:rFonts w:ascii="Arial" w:cs="Arial" w:eastAsia="Arial" w:hAnsi="Arial"/>
                <w:sz w:val="20"/>
                <w:szCs w:val="20"/>
                <w:color w:val="auto"/>
              </w:rPr>
              <w:t>Meetings and Actions of Committees</w:t>
            </w:r>
          </w:p>
        </w:tc>
        <w:tc>
          <w:tcPr>
            <w:tcW w:w="3320" w:type="dxa"/>
            <w:vAlign w:val="bottom"/>
          </w:tcPr>
          <w:p>
            <w:pPr>
              <w:jc w:val="right"/>
              <w:spacing w:after="0"/>
              <w:rPr>
                <w:sz w:val="20"/>
                <w:szCs w:val="20"/>
                <w:color w:val="auto"/>
              </w:rPr>
            </w:pPr>
            <w:r>
              <w:rPr>
                <w:rFonts w:ascii="Arial" w:cs="Arial" w:eastAsia="Arial" w:hAnsi="Arial"/>
                <w:sz w:val="20"/>
                <w:szCs w:val="20"/>
                <w:color w:val="auto"/>
              </w:rPr>
              <w:t>18</w:t>
            </w:r>
          </w:p>
        </w:tc>
      </w:tr>
      <w:tr>
        <w:trPr>
          <w:trHeight w:val="222"/>
        </w:trPr>
        <w:tc>
          <w:tcPr>
            <w:tcW w:w="7740" w:type="dxa"/>
            <w:vAlign w:val="bottom"/>
          </w:tcPr>
          <w:p>
            <w:pPr>
              <w:ind w:left="840"/>
              <w:spacing w:after="0" w:line="222" w:lineRule="exact"/>
              <w:rPr>
                <w:sz w:val="20"/>
                <w:szCs w:val="20"/>
                <w:color w:val="auto"/>
              </w:rPr>
            </w:pPr>
            <w:r>
              <w:rPr>
                <w:rFonts w:ascii="Arial" w:cs="Arial" w:eastAsia="Arial" w:hAnsi="Arial"/>
                <w:sz w:val="20"/>
                <w:szCs w:val="20"/>
                <w:color w:val="auto"/>
              </w:rPr>
              <w:t>4.4</w:t>
            </w:r>
          </w:p>
        </w:tc>
        <w:tc>
          <w:tcPr>
            <w:tcW w:w="3320" w:type="dxa"/>
            <w:vAlign w:val="bottom"/>
          </w:tcPr>
          <w:p>
            <w:pPr>
              <w:spacing w:after="0"/>
              <w:rPr>
                <w:sz w:val="19"/>
                <w:szCs w:val="19"/>
                <w:color w:val="auto"/>
              </w:rPr>
            </w:pPr>
          </w:p>
        </w:tc>
      </w:tr>
      <w:tr>
        <w:trPr>
          <w:trHeight w:val="264"/>
        </w:trPr>
        <w:tc>
          <w:tcPr>
            <w:tcW w:w="7740" w:type="dxa"/>
            <w:vAlign w:val="bottom"/>
          </w:tcPr>
          <w:p>
            <w:pPr>
              <w:ind w:left="1680"/>
              <w:spacing w:after="0"/>
              <w:rPr>
                <w:sz w:val="20"/>
                <w:szCs w:val="20"/>
                <w:color w:val="auto"/>
              </w:rPr>
            </w:pPr>
            <w:r>
              <w:rPr>
                <w:rFonts w:ascii="Arial" w:cs="Arial" w:eastAsia="Arial" w:hAnsi="Arial"/>
                <w:sz w:val="20"/>
                <w:szCs w:val="20"/>
                <w:color w:val="auto"/>
              </w:rPr>
              <w:t>Subcommittees</w:t>
            </w:r>
          </w:p>
        </w:tc>
        <w:tc>
          <w:tcPr>
            <w:tcW w:w="3320" w:type="dxa"/>
            <w:vAlign w:val="bottom"/>
          </w:tcPr>
          <w:p>
            <w:pPr>
              <w:jc w:val="right"/>
              <w:spacing w:after="0"/>
              <w:rPr>
                <w:sz w:val="20"/>
                <w:szCs w:val="20"/>
                <w:color w:val="auto"/>
              </w:rPr>
            </w:pPr>
            <w:r>
              <w:rPr>
                <w:rFonts w:ascii="Arial" w:cs="Arial" w:eastAsia="Arial" w:hAnsi="Arial"/>
                <w:sz w:val="20"/>
                <w:szCs w:val="20"/>
                <w:color w:val="auto"/>
              </w:rPr>
              <w:t>18</w:t>
            </w:r>
          </w:p>
        </w:tc>
      </w:tr>
      <w:tr>
        <w:trPr>
          <w:trHeight w:val="540"/>
        </w:trPr>
        <w:tc>
          <w:tcPr>
            <w:tcW w:w="7740" w:type="dxa"/>
            <w:vAlign w:val="bottom"/>
          </w:tcPr>
          <w:p>
            <w:pPr>
              <w:spacing w:after="0"/>
              <w:rPr>
                <w:sz w:val="20"/>
                <w:szCs w:val="20"/>
                <w:color w:val="auto"/>
              </w:rPr>
            </w:pPr>
            <w:r>
              <w:rPr>
                <w:rFonts w:ascii="Arial" w:cs="Arial" w:eastAsia="Arial" w:hAnsi="Arial"/>
                <w:sz w:val="20"/>
                <w:szCs w:val="20"/>
                <w:color w:val="auto"/>
              </w:rPr>
              <w:t>Article V. Officers</w:t>
            </w:r>
          </w:p>
        </w:tc>
        <w:tc>
          <w:tcPr>
            <w:tcW w:w="3320" w:type="dxa"/>
            <w:vAlign w:val="bottom"/>
          </w:tcPr>
          <w:p>
            <w:pPr>
              <w:jc w:val="right"/>
              <w:spacing w:after="0"/>
              <w:rPr>
                <w:sz w:val="20"/>
                <w:szCs w:val="20"/>
                <w:color w:val="auto"/>
              </w:rPr>
            </w:pPr>
            <w:r>
              <w:rPr>
                <w:rFonts w:ascii="Arial" w:cs="Arial" w:eastAsia="Arial" w:hAnsi="Arial"/>
                <w:sz w:val="20"/>
                <w:szCs w:val="20"/>
                <w:color w:val="auto"/>
              </w:rPr>
              <w:t>18</w:t>
            </w:r>
          </w:p>
        </w:tc>
      </w:tr>
      <w:tr>
        <w:trPr>
          <w:trHeight w:val="276"/>
        </w:trPr>
        <w:tc>
          <w:tcPr>
            <w:tcW w:w="7740" w:type="dxa"/>
            <w:vAlign w:val="bottom"/>
          </w:tcPr>
          <w:p>
            <w:pPr>
              <w:ind w:left="840"/>
              <w:spacing w:after="0"/>
              <w:rPr>
                <w:sz w:val="20"/>
                <w:szCs w:val="20"/>
                <w:color w:val="auto"/>
              </w:rPr>
            </w:pPr>
            <w:r>
              <w:rPr>
                <w:rFonts w:ascii="Arial" w:cs="Arial" w:eastAsia="Arial" w:hAnsi="Arial"/>
                <w:sz w:val="20"/>
                <w:szCs w:val="20"/>
                <w:color w:val="auto"/>
              </w:rPr>
              <w:t>5.1</w:t>
            </w:r>
          </w:p>
        </w:tc>
        <w:tc>
          <w:tcPr>
            <w:tcW w:w="3320" w:type="dxa"/>
            <w:vAlign w:val="bottom"/>
          </w:tcPr>
          <w:p>
            <w:pPr>
              <w:spacing w:after="0"/>
              <w:rPr>
                <w:sz w:val="24"/>
                <w:szCs w:val="24"/>
                <w:color w:val="auto"/>
              </w:rPr>
            </w:pPr>
          </w:p>
        </w:tc>
      </w:tr>
      <w:tr>
        <w:trPr>
          <w:trHeight w:val="264"/>
        </w:trPr>
        <w:tc>
          <w:tcPr>
            <w:tcW w:w="7740" w:type="dxa"/>
            <w:vAlign w:val="bottom"/>
          </w:tcPr>
          <w:p>
            <w:pPr>
              <w:ind w:left="1680"/>
              <w:spacing w:after="0"/>
              <w:rPr>
                <w:sz w:val="20"/>
                <w:szCs w:val="20"/>
                <w:color w:val="auto"/>
              </w:rPr>
            </w:pPr>
            <w:r>
              <w:rPr>
                <w:rFonts w:ascii="Arial" w:cs="Arial" w:eastAsia="Arial" w:hAnsi="Arial"/>
                <w:sz w:val="20"/>
                <w:szCs w:val="20"/>
                <w:color w:val="auto"/>
              </w:rPr>
              <w:t>Officers</w:t>
            </w:r>
          </w:p>
        </w:tc>
        <w:tc>
          <w:tcPr>
            <w:tcW w:w="3320" w:type="dxa"/>
            <w:vAlign w:val="bottom"/>
          </w:tcPr>
          <w:p>
            <w:pPr>
              <w:jc w:val="right"/>
              <w:spacing w:after="0"/>
              <w:rPr>
                <w:sz w:val="20"/>
                <w:szCs w:val="20"/>
                <w:color w:val="auto"/>
              </w:rPr>
            </w:pPr>
            <w:r>
              <w:rPr>
                <w:rFonts w:ascii="Arial" w:cs="Arial" w:eastAsia="Arial" w:hAnsi="Arial"/>
                <w:sz w:val="20"/>
                <w:szCs w:val="20"/>
                <w:color w:val="auto"/>
              </w:rPr>
              <w:t>18</w:t>
            </w:r>
          </w:p>
        </w:tc>
      </w:tr>
      <w:tr>
        <w:trPr>
          <w:trHeight w:val="222"/>
        </w:trPr>
        <w:tc>
          <w:tcPr>
            <w:tcW w:w="7740" w:type="dxa"/>
            <w:vAlign w:val="bottom"/>
          </w:tcPr>
          <w:p>
            <w:pPr>
              <w:ind w:left="840"/>
              <w:spacing w:after="0" w:line="222" w:lineRule="exact"/>
              <w:rPr>
                <w:sz w:val="20"/>
                <w:szCs w:val="20"/>
                <w:color w:val="auto"/>
              </w:rPr>
            </w:pPr>
            <w:r>
              <w:rPr>
                <w:rFonts w:ascii="Arial" w:cs="Arial" w:eastAsia="Arial" w:hAnsi="Arial"/>
                <w:sz w:val="20"/>
                <w:szCs w:val="20"/>
                <w:color w:val="auto"/>
              </w:rPr>
              <w:t>5.2</w:t>
            </w:r>
          </w:p>
        </w:tc>
        <w:tc>
          <w:tcPr>
            <w:tcW w:w="3320" w:type="dxa"/>
            <w:vAlign w:val="bottom"/>
          </w:tcPr>
          <w:p>
            <w:pPr>
              <w:spacing w:after="0"/>
              <w:rPr>
                <w:sz w:val="19"/>
                <w:szCs w:val="19"/>
                <w:color w:val="auto"/>
              </w:rPr>
            </w:pPr>
          </w:p>
        </w:tc>
      </w:tr>
      <w:tr>
        <w:trPr>
          <w:trHeight w:val="264"/>
        </w:trPr>
        <w:tc>
          <w:tcPr>
            <w:tcW w:w="7740" w:type="dxa"/>
            <w:vAlign w:val="bottom"/>
          </w:tcPr>
          <w:p>
            <w:pPr>
              <w:ind w:left="1680"/>
              <w:spacing w:after="0"/>
              <w:rPr>
                <w:sz w:val="20"/>
                <w:szCs w:val="20"/>
                <w:color w:val="auto"/>
              </w:rPr>
            </w:pPr>
            <w:r>
              <w:rPr>
                <w:rFonts w:ascii="Arial" w:cs="Arial" w:eastAsia="Arial" w:hAnsi="Arial"/>
                <w:sz w:val="20"/>
                <w:szCs w:val="20"/>
                <w:color w:val="auto"/>
              </w:rPr>
              <w:t>Appointment of Officers</w:t>
            </w:r>
          </w:p>
        </w:tc>
        <w:tc>
          <w:tcPr>
            <w:tcW w:w="3320" w:type="dxa"/>
            <w:vAlign w:val="bottom"/>
          </w:tcPr>
          <w:p>
            <w:pPr>
              <w:jc w:val="right"/>
              <w:spacing w:after="0"/>
              <w:rPr>
                <w:sz w:val="20"/>
                <w:szCs w:val="20"/>
                <w:color w:val="auto"/>
              </w:rPr>
            </w:pPr>
            <w:r>
              <w:rPr>
                <w:rFonts w:ascii="Arial" w:cs="Arial" w:eastAsia="Arial" w:hAnsi="Arial"/>
                <w:sz w:val="20"/>
                <w:szCs w:val="20"/>
                <w:color w:val="auto"/>
              </w:rPr>
              <w:t>18</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i</w:t>
      </w:r>
    </w:p>
    <w:p>
      <w:pPr>
        <w:sectPr>
          <w:pgSz w:w="11900" w:h="16838" w:orient="portrait"/>
          <w:cols w:equalWidth="0" w:num="1">
            <w:col w:w="11060"/>
          </w:cols>
          <w:pgMar w:left="420" w:top="217" w:right="419" w:bottom="1440" w:gutter="0" w:footer="0" w:header="0"/>
        </w:sectPr>
      </w:pPr>
    </w:p>
    <w:bookmarkStart w:id="21" w:name="page22"/>
    <w:bookmarkEnd w:id="21"/>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440" w:type="dxa"/>
            <w:vAlign w:val="bottom"/>
          </w:tcPr>
          <w:p>
            <w:pPr>
              <w:ind w:left="840"/>
              <w:spacing w:after="0"/>
              <w:rPr>
                <w:sz w:val="20"/>
                <w:szCs w:val="20"/>
                <w:color w:val="auto"/>
              </w:rPr>
            </w:pPr>
            <w:r>
              <w:rPr>
                <w:rFonts w:ascii="Arial" w:cs="Arial" w:eastAsia="Arial" w:hAnsi="Arial"/>
                <w:sz w:val="20"/>
                <w:szCs w:val="20"/>
                <w:color w:val="auto"/>
              </w:rPr>
              <w:t>5.3</w:t>
            </w:r>
          </w:p>
        </w:tc>
        <w:tc>
          <w:tcPr>
            <w:tcW w:w="2620" w:type="dxa"/>
            <w:vAlign w:val="bottom"/>
          </w:tcPr>
          <w:p>
            <w:pPr>
              <w:spacing w:after="0"/>
              <w:rPr>
                <w:sz w:val="19"/>
                <w:szCs w:val="19"/>
                <w:color w:val="auto"/>
              </w:rPr>
            </w:pPr>
          </w:p>
        </w:tc>
      </w:tr>
      <w:tr>
        <w:trPr>
          <w:trHeight w:val="264"/>
        </w:trPr>
        <w:tc>
          <w:tcPr>
            <w:tcW w:w="8440" w:type="dxa"/>
            <w:vAlign w:val="bottom"/>
          </w:tcPr>
          <w:p>
            <w:pPr>
              <w:ind w:left="1680"/>
              <w:spacing w:after="0"/>
              <w:rPr>
                <w:sz w:val="20"/>
                <w:szCs w:val="20"/>
                <w:color w:val="auto"/>
              </w:rPr>
            </w:pPr>
            <w:r>
              <w:rPr>
                <w:rFonts w:ascii="Arial" w:cs="Arial" w:eastAsia="Arial" w:hAnsi="Arial"/>
                <w:sz w:val="20"/>
                <w:szCs w:val="20"/>
                <w:color w:val="auto"/>
              </w:rPr>
              <w:t>Subordinate Officers</w:t>
            </w:r>
          </w:p>
        </w:tc>
        <w:tc>
          <w:tcPr>
            <w:tcW w:w="2620" w:type="dxa"/>
            <w:vAlign w:val="bottom"/>
          </w:tcPr>
          <w:p>
            <w:pPr>
              <w:jc w:val="right"/>
              <w:spacing w:after="0"/>
              <w:rPr>
                <w:sz w:val="20"/>
                <w:szCs w:val="20"/>
                <w:color w:val="auto"/>
              </w:rPr>
            </w:pPr>
            <w:r>
              <w:rPr>
                <w:rFonts w:ascii="Arial" w:cs="Arial" w:eastAsia="Arial" w:hAnsi="Arial"/>
                <w:sz w:val="20"/>
                <w:szCs w:val="20"/>
                <w:color w:val="auto"/>
              </w:rPr>
              <w:t>19</w:t>
            </w:r>
          </w:p>
        </w:tc>
      </w:tr>
      <w:tr>
        <w:trPr>
          <w:trHeight w:val="222"/>
        </w:trPr>
        <w:tc>
          <w:tcPr>
            <w:tcW w:w="8440" w:type="dxa"/>
            <w:vAlign w:val="bottom"/>
          </w:tcPr>
          <w:p>
            <w:pPr>
              <w:ind w:left="840"/>
              <w:spacing w:after="0" w:line="222" w:lineRule="exact"/>
              <w:rPr>
                <w:sz w:val="20"/>
                <w:szCs w:val="20"/>
                <w:color w:val="auto"/>
              </w:rPr>
            </w:pPr>
            <w:r>
              <w:rPr>
                <w:rFonts w:ascii="Arial" w:cs="Arial" w:eastAsia="Arial" w:hAnsi="Arial"/>
                <w:sz w:val="20"/>
                <w:szCs w:val="20"/>
                <w:color w:val="auto"/>
              </w:rPr>
              <w:t>5.4</w:t>
            </w:r>
          </w:p>
        </w:tc>
        <w:tc>
          <w:tcPr>
            <w:tcW w:w="2620" w:type="dxa"/>
            <w:vAlign w:val="bottom"/>
          </w:tcPr>
          <w:p>
            <w:pPr>
              <w:spacing w:after="0"/>
              <w:rPr>
                <w:sz w:val="19"/>
                <w:szCs w:val="19"/>
                <w:color w:val="auto"/>
              </w:rPr>
            </w:pPr>
          </w:p>
        </w:tc>
      </w:tr>
      <w:tr>
        <w:trPr>
          <w:trHeight w:val="264"/>
        </w:trPr>
        <w:tc>
          <w:tcPr>
            <w:tcW w:w="8440" w:type="dxa"/>
            <w:vAlign w:val="bottom"/>
          </w:tcPr>
          <w:p>
            <w:pPr>
              <w:ind w:left="1680"/>
              <w:spacing w:after="0"/>
              <w:rPr>
                <w:sz w:val="20"/>
                <w:szCs w:val="20"/>
                <w:color w:val="auto"/>
              </w:rPr>
            </w:pPr>
            <w:r>
              <w:rPr>
                <w:rFonts w:ascii="Arial" w:cs="Arial" w:eastAsia="Arial" w:hAnsi="Arial"/>
                <w:sz w:val="20"/>
                <w:szCs w:val="20"/>
                <w:color w:val="auto"/>
              </w:rPr>
              <w:t>Removal and Resignation of Officers</w:t>
            </w:r>
          </w:p>
        </w:tc>
        <w:tc>
          <w:tcPr>
            <w:tcW w:w="2620" w:type="dxa"/>
            <w:vAlign w:val="bottom"/>
          </w:tcPr>
          <w:p>
            <w:pPr>
              <w:jc w:val="right"/>
              <w:spacing w:after="0"/>
              <w:rPr>
                <w:sz w:val="20"/>
                <w:szCs w:val="20"/>
                <w:color w:val="auto"/>
              </w:rPr>
            </w:pPr>
            <w:r>
              <w:rPr>
                <w:rFonts w:ascii="Arial" w:cs="Arial" w:eastAsia="Arial" w:hAnsi="Arial"/>
                <w:sz w:val="20"/>
                <w:szCs w:val="20"/>
                <w:color w:val="auto"/>
              </w:rPr>
              <w:t>19</w:t>
            </w:r>
          </w:p>
        </w:tc>
      </w:tr>
      <w:tr>
        <w:trPr>
          <w:trHeight w:val="222"/>
        </w:trPr>
        <w:tc>
          <w:tcPr>
            <w:tcW w:w="8440" w:type="dxa"/>
            <w:vAlign w:val="bottom"/>
          </w:tcPr>
          <w:p>
            <w:pPr>
              <w:ind w:left="840"/>
              <w:spacing w:after="0" w:line="222" w:lineRule="exact"/>
              <w:rPr>
                <w:sz w:val="20"/>
                <w:szCs w:val="20"/>
                <w:color w:val="auto"/>
              </w:rPr>
            </w:pPr>
            <w:r>
              <w:rPr>
                <w:rFonts w:ascii="Arial" w:cs="Arial" w:eastAsia="Arial" w:hAnsi="Arial"/>
                <w:sz w:val="20"/>
                <w:szCs w:val="20"/>
                <w:color w:val="auto"/>
              </w:rPr>
              <w:t>5.5</w:t>
            </w:r>
          </w:p>
        </w:tc>
        <w:tc>
          <w:tcPr>
            <w:tcW w:w="2620" w:type="dxa"/>
            <w:vAlign w:val="bottom"/>
          </w:tcPr>
          <w:p>
            <w:pPr>
              <w:spacing w:after="0"/>
              <w:rPr>
                <w:sz w:val="19"/>
                <w:szCs w:val="19"/>
                <w:color w:val="auto"/>
              </w:rPr>
            </w:pPr>
          </w:p>
        </w:tc>
      </w:tr>
      <w:tr>
        <w:trPr>
          <w:trHeight w:val="264"/>
        </w:trPr>
        <w:tc>
          <w:tcPr>
            <w:tcW w:w="8440" w:type="dxa"/>
            <w:vAlign w:val="bottom"/>
          </w:tcPr>
          <w:p>
            <w:pPr>
              <w:ind w:left="1680"/>
              <w:spacing w:after="0"/>
              <w:rPr>
                <w:sz w:val="20"/>
                <w:szCs w:val="20"/>
                <w:color w:val="auto"/>
              </w:rPr>
            </w:pPr>
            <w:r>
              <w:rPr>
                <w:rFonts w:ascii="Arial" w:cs="Arial" w:eastAsia="Arial" w:hAnsi="Arial"/>
                <w:sz w:val="20"/>
                <w:szCs w:val="20"/>
                <w:color w:val="auto"/>
              </w:rPr>
              <w:t>Vacancies in Offices</w:t>
            </w:r>
          </w:p>
        </w:tc>
        <w:tc>
          <w:tcPr>
            <w:tcW w:w="2620" w:type="dxa"/>
            <w:vAlign w:val="bottom"/>
          </w:tcPr>
          <w:p>
            <w:pPr>
              <w:jc w:val="right"/>
              <w:spacing w:after="0"/>
              <w:rPr>
                <w:sz w:val="20"/>
                <w:szCs w:val="20"/>
                <w:color w:val="auto"/>
              </w:rPr>
            </w:pPr>
            <w:r>
              <w:rPr>
                <w:rFonts w:ascii="Arial" w:cs="Arial" w:eastAsia="Arial" w:hAnsi="Arial"/>
                <w:sz w:val="20"/>
                <w:szCs w:val="20"/>
                <w:color w:val="auto"/>
              </w:rPr>
              <w:t>19</w:t>
            </w:r>
          </w:p>
        </w:tc>
      </w:tr>
      <w:tr>
        <w:trPr>
          <w:trHeight w:val="222"/>
        </w:trPr>
        <w:tc>
          <w:tcPr>
            <w:tcW w:w="8440" w:type="dxa"/>
            <w:vAlign w:val="bottom"/>
          </w:tcPr>
          <w:p>
            <w:pPr>
              <w:ind w:left="840"/>
              <w:spacing w:after="0" w:line="222" w:lineRule="exact"/>
              <w:rPr>
                <w:sz w:val="20"/>
                <w:szCs w:val="20"/>
                <w:color w:val="auto"/>
              </w:rPr>
            </w:pPr>
            <w:r>
              <w:rPr>
                <w:rFonts w:ascii="Arial" w:cs="Arial" w:eastAsia="Arial" w:hAnsi="Arial"/>
                <w:sz w:val="20"/>
                <w:szCs w:val="20"/>
                <w:color w:val="auto"/>
              </w:rPr>
              <w:t>5.6</w:t>
            </w:r>
          </w:p>
        </w:tc>
        <w:tc>
          <w:tcPr>
            <w:tcW w:w="2620" w:type="dxa"/>
            <w:vAlign w:val="bottom"/>
          </w:tcPr>
          <w:p>
            <w:pPr>
              <w:spacing w:after="0"/>
              <w:rPr>
                <w:sz w:val="19"/>
                <w:szCs w:val="19"/>
                <w:color w:val="auto"/>
              </w:rPr>
            </w:pPr>
          </w:p>
        </w:tc>
      </w:tr>
      <w:tr>
        <w:trPr>
          <w:trHeight w:val="264"/>
        </w:trPr>
        <w:tc>
          <w:tcPr>
            <w:tcW w:w="8440" w:type="dxa"/>
            <w:vAlign w:val="bottom"/>
          </w:tcPr>
          <w:p>
            <w:pPr>
              <w:ind w:left="1680"/>
              <w:spacing w:after="0"/>
              <w:rPr>
                <w:sz w:val="20"/>
                <w:szCs w:val="20"/>
                <w:color w:val="auto"/>
              </w:rPr>
            </w:pPr>
            <w:r>
              <w:rPr>
                <w:rFonts w:ascii="Arial" w:cs="Arial" w:eastAsia="Arial" w:hAnsi="Arial"/>
                <w:sz w:val="20"/>
                <w:szCs w:val="20"/>
                <w:color w:val="auto"/>
              </w:rPr>
              <w:t>Representation of Shares of Other Corporations</w:t>
            </w:r>
          </w:p>
        </w:tc>
        <w:tc>
          <w:tcPr>
            <w:tcW w:w="2620" w:type="dxa"/>
            <w:vAlign w:val="bottom"/>
          </w:tcPr>
          <w:p>
            <w:pPr>
              <w:jc w:val="right"/>
              <w:spacing w:after="0"/>
              <w:rPr>
                <w:sz w:val="20"/>
                <w:szCs w:val="20"/>
                <w:color w:val="auto"/>
              </w:rPr>
            </w:pPr>
            <w:r>
              <w:rPr>
                <w:rFonts w:ascii="Arial" w:cs="Arial" w:eastAsia="Arial" w:hAnsi="Arial"/>
                <w:sz w:val="20"/>
                <w:szCs w:val="20"/>
                <w:color w:val="auto"/>
              </w:rPr>
              <w:t>19</w:t>
            </w:r>
          </w:p>
        </w:tc>
      </w:tr>
      <w:tr>
        <w:trPr>
          <w:trHeight w:val="222"/>
        </w:trPr>
        <w:tc>
          <w:tcPr>
            <w:tcW w:w="8440" w:type="dxa"/>
            <w:vAlign w:val="bottom"/>
          </w:tcPr>
          <w:p>
            <w:pPr>
              <w:ind w:left="840"/>
              <w:spacing w:after="0" w:line="222" w:lineRule="exact"/>
              <w:rPr>
                <w:sz w:val="20"/>
                <w:szCs w:val="20"/>
                <w:color w:val="auto"/>
              </w:rPr>
            </w:pPr>
            <w:r>
              <w:rPr>
                <w:rFonts w:ascii="Arial" w:cs="Arial" w:eastAsia="Arial" w:hAnsi="Arial"/>
                <w:sz w:val="20"/>
                <w:szCs w:val="20"/>
                <w:color w:val="auto"/>
              </w:rPr>
              <w:t>5.7</w:t>
            </w:r>
          </w:p>
        </w:tc>
        <w:tc>
          <w:tcPr>
            <w:tcW w:w="2620" w:type="dxa"/>
            <w:vAlign w:val="bottom"/>
          </w:tcPr>
          <w:p>
            <w:pPr>
              <w:spacing w:after="0"/>
              <w:rPr>
                <w:sz w:val="19"/>
                <w:szCs w:val="19"/>
                <w:color w:val="auto"/>
              </w:rPr>
            </w:pPr>
          </w:p>
        </w:tc>
      </w:tr>
      <w:tr>
        <w:trPr>
          <w:trHeight w:val="264"/>
        </w:trPr>
        <w:tc>
          <w:tcPr>
            <w:tcW w:w="8440" w:type="dxa"/>
            <w:vAlign w:val="bottom"/>
          </w:tcPr>
          <w:p>
            <w:pPr>
              <w:ind w:left="1680"/>
              <w:spacing w:after="0"/>
              <w:rPr>
                <w:sz w:val="20"/>
                <w:szCs w:val="20"/>
                <w:color w:val="auto"/>
              </w:rPr>
            </w:pPr>
            <w:r>
              <w:rPr>
                <w:rFonts w:ascii="Arial" w:cs="Arial" w:eastAsia="Arial" w:hAnsi="Arial"/>
                <w:sz w:val="20"/>
                <w:szCs w:val="20"/>
                <w:color w:val="auto"/>
              </w:rPr>
              <w:t>Authority and Duties of Officers</w:t>
            </w:r>
          </w:p>
        </w:tc>
        <w:tc>
          <w:tcPr>
            <w:tcW w:w="2620" w:type="dxa"/>
            <w:vAlign w:val="bottom"/>
          </w:tcPr>
          <w:p>
            <w:pPr>
              <w:jc w:val="right"/>
              <w:spacing w:after="0"/>
              <w:rPr>
                <w:sz w:val="20"/>
                <w:szCs w:val="20"/>
                <w:color w:val="auto"/>
              </w:rPr>
            </w:pPr>
            <w:r>
              <w:rPr>
                <w:rFonts w:ascii="Arial" w:cs="Arial" w:eastAsia="Arial" w:hAnsi="Arial"/>
                <w:sz w:val="20"/>
                <w:szCs w:val="20"/>
                <w:color w:val="auto"/>
              </w:rPr>
              <w:t>19</w:t>
            </w:r>
          </w:p>
        </w:tc>
      </w:tr>
      <w:tr>
        <w:trPr>
          <w:trHeight w:val="222"/>
        </w:trPr>
        <w:tc>
          <w:tcPr>
            <w:tcW w:w="8440" w:type="dxa"/>
            <w:vAlign w:val="bottom"/>
          </w:tcPr>
          <w:p>
            <w:pPr>
              <w:ind w:left="840"/>
              <w:spacing w:after="0" w:line="222" w:lineRule="exact"/>
              <w:rPr>
                <w:sz w:val="20"/>
                <w:szCs w:val="20"/>
                <w:color w:val="auto"/>
              </w:rPr>
            </w:pPr>
            <w:r>
              <w:rPr>
                <w:rFonts w:ascii="Arial" w:cs="Arial" w:eastAsia="Arial" w:hAnsi="Arial"/>
                <w:sz w:val="20"/>
                <w:szCs w:val="20"/>
                <w:color w:val="auto"/>
              </w:rPr>
              <w:t>5.8</w:t>
            </w:r>
          </w:p>
        </w:tc>
        <w:tc>
          <w:tcPr>
            <w:tcW w:w="2620" w:type="dxa"/>
            <w:vAlign w:val="bottom"/>
          </w:tcPr>
          <w:p>
            <w:pPr>
              <w:spacing w:after="0"/>
              <w:rPr>
                <w:sz w:val="19"/>
                <w:szCs w:val="19"/>
                <w:color w:val="auto"/>
              </w:rPr>
            </w:pPr>
          </w:p>
        </w:tc>
      </w:tr>
      <w:tr>
        <w:trPr>
          <w:trHeight w:val="264"/>
        </w:trPr>
        <w:tc>
          <w:tcPr>
            <w:tcW w:w="8440" w:type="dxa"/>
            <w:vAlign w:val="bottom"/>
          </w:tcPr>
          <w:p>
            <w:pPr>
              <w:ind w:left="1680"/>
              <w:spacing w:after="0"/>
              <w:rPr>
                <w:sz w:val="20"/>
                <w:szCs w:val="20"/>
                <w:color w:val="auto"/>
              </w:rPr>
            </w:pPr>
            <w:r>
              <w:rPr>
                <w:rFonts w:ascii="Arial" w:cs="Arial" w:eastAsia="Arial" w:hAnsi="Arial"/>
                <w:sz w:val="20"/>
                <w:szCs w:val="20"/>
                <w:color w:val="auto"/>
              </w:rPr>
              <w:t>Compensation.</w:t>
            </w:r>
          </w:p>
        </w:tc>
        <w:tc>
          <w:tcPr>
            <w:tcW w:w="2620" w:type="dxa"/>
            <w:vAlign w:val="bottom"/>
          </w:tcPr>
          <w:p>
            <w:pPr>
              <w:jc w:val="right"/>
              <w:spacing w:after="0"/>
              <w:rPr>
                <w:sz w:val="20"/>
                <w:szCs w:val="20"/>
                <w:color w:val="auto"/>
              </w:rPr>
            </w:pPr>
            <w:r>
              <w:rPr>
                <w:rFonts w:ascii="Arial" w:cs="Arial" w:eastAsia="Arial" w:hAnsi="Arial"/>
                <w:sz w:val="20"/>
                <w:szCs w:val="20"/>
                <w:color w:val="auto"/>
              </w:rPr>
              <w:t>20</w:t>
            </w:r>
          </w:p>
        </w:tc>
      </w:tr>
      <w:tr>
        <w:trPr>
          <w:trHeight w:val="540"/>
        </w:trPr>
        <w:tc>
          <w:tcPr>
            <w:tcW w:w="8440" w:type="dxa"/>
            <w:vAlign w:val="bottom"/>
          </w:tcPr>
          <w:p>
            <w:pPr>
              <w:spacing w:after="0"/>
              <w:rPr>
                <w:sz w:val="20"/>
                <w:szCs w:val="20"/>
                <w:color w:val="auto"/>
              </w:rPr>
            </w:pPr>
            <w:r>
              <w:rPr>
                <w:rFonts w:ascii="Arial" w:cs="Arial" w:eastAsia="Arial" w:hAnsi="Arial"/>
                <w:sz w:val="20"/>
                <w:szCs w:val="20"/>
                <w:color w:val="auto"/>
              </w:rPr>
              <w:t>Article VI. Records</w:t>
            </w:r>
          </w:p>
        </w:tc>
        <w:tc>
          <w:tcPr>
            <w:tcW w:w="2620" w:type="dxa"/>
            <w:vAlign w:val="bottom"/>
          </w:tcPr>
          <w:p>
            <w:pPr>
              <w:jc w:val="right"/>
              <w:spacing w:after="0"/>
              <w:rPr>
                <w:sz w:val="20"/>
                <w:szCs w:val="20"/>
                <w:color w:val="auto"/>
              </w:rPr>
            </w:pPr>
            <w:r>
              <w:rPr>
                <w:rFonts w:ascii="Arial" w:cs="Arial" w:eastAsia="Arial" w:hAnsi="Arial"/>
                <w:sz w:val="20"/>
                <w:szCs w:val="20"/>
                <w:color w:val="auto"/>
              </w:rPr>
              <w:t>20</w:t>
            </w:r>
          </w:p>
        </w:tc>
      </w:tr>
      <w:tr>
        <w:trPr>
          <w:trHeight w:val="540"/>
        </w:trPr>
        <w:tc>
          <w:tcPr>
            <w:tcW w:w="8440" w:type="dxa"/>
            <w:vAlign w:val="bottom"/>
          </w:tcPr>
          <w:p>
            <w:pPr>
              <w:spacing w:after="0"/>
              <w:rPr>
                <w:sz w:val="20"/>
                <w:szCs w:val="20"/>
                <w:color w:val="auto"/>
              </w:rPr>
            </w:pPr>
            <w:r>
              <w:rPr>
                <w:rFonts w:ascii="Arial" w:cs="Arial" w:eastAsia="Arial" w:hAnsi="Arial"/>
                <w:sz w:val="20"/>
                <w:szCs w:val="20"/>
                <w:color w:val="auto"/>
              </w:rPr>
              <w:t>Article VII. General Matters</w:t>
            </w:r>
          </w:p>
        </w:tc>
        <w:tc>
          <w:tcPr>
            <w:tcW w:w="2620" w:type="dxa"/>
            <w:vAlign w:val="bottom"/>
          </w:tcPr>
          <w:p>
            <w:pPr>
              <w:jc w:val="right"/>
              <w:spacing w:after="0"/>
              <w:rPr>
                <w:sz w:val="20"/>
                <w:szCs w:val="20"/>
                <w:color w:val="auto"/>
              </w:rPr>
            </w:pPr>
            <w:r>
              <w:rPr>
                <w:rFonts w:ascii="Arial" w:cs="Arial" w:eastAsia="Arial" w:hAnsi="Arial"/>
                <w:sz w:val="20"/>
                <w:szCs w:val="20"/>
                <w:color w:val="auto"/>
              </w:rPr>
              <w:t>20</w:t>
            </w:r>
          </w:p>
        </w:tc>
      </w:tr>
      <w:tr>
        <w:trPr>
          <w:trHeight w:val="276"/>
        </w:trPr>
        <w:tc>
          <w:tcPr>
            <w:tcW w:w="8440" w:type="dxa"/>
            <w:vAlign w:val="bottom"/>
          </w:tcPr>
          <w:p>
            <w:pPr>
              <w:ind w:left="840"/>
              <w:spacing w:after="0"/>
              <w:rPr>
                <w:sz w:val="20"/>
                <w:szCs w:val="20"/>
                <w:color w:val="auto"/>
              </w:rPr>
            </w:pPr>
            <w:r>
              <w:rPr>
                <w:rFonts w:ascii="Arial" w:cs="Arial" w:eastAsia="Arial" w:hAnsi="Arial"/>
                <w:sz w:val="20"/>
                <w:szCs w:val="20"/>
                <w:color w:val="auto"/>
              </w:rPr>
              <w:t>7.1</w:t>
            </w:r>
          </w:p>
        </w:tc>
        <w:tc>
          <w:tcPr>
            <w:tcW w:w="2620" w:type="dxa"/>
            <w:vAlign w:val="bottom"/>
          </w:tcPr>
          <w:p>
            <w:pPr>
              <w:spacing w:after="0"/>
              <w:rPr>
                <w:sz w:val="24"/>
                <w:szCs w:val="24"/>
                <w:color w:val="auto"/>
              </w:rPr>
            </w:pPr>
          </w:p>
        </w:tc>
      </w:tr>
      <w:tr>
        <w:trPr>
          <w:trHeight w:val="264"/>
        </w:trPr>
        <w:tc>
          <w:tcPr>
            <w:tcW w:w="8440" w:type="dxa"/>
            <w:vAlign w:val="bottom"/>
          </w:tcPr>
          <w:p>
            <w:pPr>
              <w:ind w:left="1680"/>
              <w:spacing w:after="0"/>
              <w:rPr>
                <w:sz w:val="20"/>
                <w:szCs w:val="20"/>
                <w:color w:val="auto"/>
              </w:rPr>
            </w:pPr>
            <w:r>
              <w:rPr>
                <w:rFonts w:ascii="Arial" w:cs="Arial" w:eastAsia="Arial" w:hAnsi="Arial"/>
                <w:sz w:val="20"/>
                <w:szCs w:val="20"/>
                <w:color w:val="auto"/>
              </w:rPr>
              <w:t>Execution of Corporate Contracts and Instruments</w:t>
            </w:r>
          </w:p>
        </w:tc>
        <w:tc>
          <w:tcPr>
            <w:tcW w:w="2620" w:type="dxa"/>
            <w:vAlign w:val="bottom"/>
          </w:tcPr>
          <w:p>
            <w:pPr>
              <w:jc w:val="right"/>
              <w:spacing w:after="0"/>
              <w:rPr>
                <w:sz w:val="20"/>
                <w:szCs w:val="20"/>
                <w:color w:val="auto"/>
              </w:rPr>
            </w:pPr>
            <w:r>
              <w:rPr>
                <w:rFonts w:ascii="Arial" w:cs="Arial" w:eastAsia="Arial" w:hAnsi="Arial"/>
                <w:sz w:val="20"/>
                <w:szCs w:val="20"/>
                <w:color w:val="auto"/>
              </w:rPr>
              <w:t>20</w:t>
            </w:r>
          </w:p>
        </w:tc>
      </w:tr>
      <w:tr>
        <w:trPr>
          <w:trHeight w:val="222"/>
        </w:trPr>
        <w:tc>
          <w:tcPr>
            <w:tcW w:w="8440" w:type="dxa"/>
            <w:vAlign w:val="bottom"/>
          </w:tcPr>
          <w:p>
            <w:pPr>
              <w:ind w:left="840"/>
              <w:spacing w:after="0" w:line="222" w:lineRule="exact"/>
              <w:rPr>
                <w:sz w:val="20"/>
                <w:szCs w:val="20"/>
                <w:color w:val="auto"/>
              </w:rPr>
            </w:pPr>
            <w:r>
              <w:rPr>
                <w:rFonts w:ascii="Arial" w:cs="Arial" w:eastAsia="Arial" w:hAnsi="Arial"/>
                <w:sz w:val="20"/>
                <w:szCs w:val="20"/>
                <w:color w:val="auto"/>
              </w:rPr>
              <w:t>7.2</w:t>
            </w:r>
          </w:p>
        </w:tc>
        <w:tc>
          <w:tcPr>
            <w:tcW w:w="2620" w:type="dxa"/>
            <w:vAlign w:val="bottom"/>
          </w:tcPr>
          <w:p>
            <w:pPr>
              <w:spacing w:after="0"/>
              <w:rPr>
                <w:sz w:val="19"/>
                <w:szCs w:val="19"/>
                <w:color w:val="auto"/>
              </w:rPr>
            </w:pPr>
          </w:p>
        </w:tc>
      </w:tr>
      <w:tr>
        <w:trPr>
          <w:trHeight w:val="264"/>
        </w:trPr>
        <w:tc>
          <w:tcPr>
            <w:tcW w:w="8440" w:type="dxa"/>
            <w:vAlign w:val="bottom"/>
          </w:tcPr>
          <w:p>
            <w:pPr>
              <w:ind w:left="1680"/>
              <w:spacing w:after="0"/>
              <w:rPr>
                <w:sz w:val="20"/>
                <w:szCs w:val="20"/>
                <w:color w:val="auto"/>
              </w:rPr>
            </w:pPr>
            <w:r>
              <w:rPr>
                <w:rFonts w:ascii="Arial" w:cs="Arial" w:eastAsia="Arial" w:hAnsi="Arial"/>
                <w:sz w:val="20"/>
                <w:szCs w:val="20"/>
                <w:color w:val="auto"/>
              </w:rPr>
              <w:t>Stock Certificates</w:t>
            </w:r>
          </w:p>
        </w:tc>
        <w:tc>
          <w:tcPr>
            <w:tcW w:w="2620" w:type="dxa"/>
            <w:vAlign w:val="bottom"/>
          </w:tcPr>
          <w:p>
            <w:pPr>
              <w:jc w:val="right"/>
              <w:spacing w:after="0"/>
              <w:rPr>
                <w:sz w:val="20"/>
                <w:szCs w:val="20"/>
                <w:color w:val="auto"/>
              </w:rPr>
            </w:pPr>
            <w:r>
              <w:rPr>
                <w:rFonts w:ascii="Arial" w:cs="Arial" w:eastAsia="Arial" w:hAnsi="Arial"/>
                <w:sz w:val="20"/>
                <w:szCs w:val="20"/>
                <w:color w:val="auto"/>
              </w:rPr>
              <w:t>20</w:t>
            </w:r>
          </w:p>
        </w:tc>
      </w:tr>
      <w:tr>
        <w:trPr>
          <w:trHeight w:val="222"/>
        </w:trPr>
        <w:tc>
          <w:tcPr>
            <w:tcW w:w="8440" w:type="dxa"/>
            <w:vAlign w:val="bottom"/>
          </w:tcPr>
          <w:p>
            <w:pPr>
              <w:ind w:left="840"/>
              <w:spacing w:after="0" w:line="222" w:lineRule="exact"/>
              <w:rPr>
                <w:sz w:val="20"/>
                <w:szCs w:val="20"/>
                <w:color w:val="auto"/>
              </w:rPr>
            </w:pPr>
            <w:r>
              <w:rPr>
                <w:rFonts w:ascii="Arial" w:cs="Arial" w:eastAsia="Arial" w:hAnsi="Arial"/>
                <w:sz w:val="20"/>
                <w:szCs w:val="20"/>
                <w:color w:val="auto"/>
              </w:rPr>
              <w:t>7.3</w:t>
            </w:r>
          </w:p>
        </w:tc>
        <w:tc>
          <w:tcPr>
            <w:tcW w:w="2620" w:type="dxa"/>
            <w:vAlign w:val="bottom"/>
          </w:tcPr>
          <w:p>
            <w:pPr>
              <w:spacing w:after="0"/>
              <w:rPr>
                <w:sz w:val="19"/>
                <w:szCs w:val="19"/>
                <w:color w:val="auto"/>
              </w:rPr>
            </w:pPr>
          </w:p>
        </w:tc>
      </w:tr>
      <w:tr>
        <w:trPr>
          <w:trHeight w:val="264"/>
        </w:trPr>
        <w:tc>
          <w:tcPr>
            <w:tcW w:w="8440" w:type="dxa"/>
            <w:vAlign w:val="bottom"/>
          </w:tcPr>
          <w:p>
            <w:pPr>
              <w:ind w:left="1680"/>
              <w:spacing w:after="0"/>
              <w:rPr>
                <w:sz w:val="20"/>
                <w:szCs w:val="20"/>
                <w:color w:val="auto"/>
              </w:rPr>
            </w:pPr>
            <w:r>
              <w:rPr>
                <w:rFonts w:ascii="Arial" w:cs="Arial" w:eastAsia="Arial" w:hAnsi="Arial"/>
                <w:sz w:val="20"/>
                <w:szCs w:val="20"/>
                <w:color w:val="auto"/>
              </w:rPr>
              <w:t>Special Designation of Certificates.</w:t>
            </w:r>
          </w:p>
        </w:tc>
        <w:tc>
          <w:tcPr>
            <w:tcW w:w="2620" w:type="dxa"/>
            <w:vAlign w:val="bottom"/>
          </w:tcPr>
          <w:p>
            <w:pPr>
              <w:jc w:val="right"/>
              <w:spacing w:after="0"/>
              <w:rPr>
                <w:sz w:val="20"/>
                <w:szCs w:val="20"/>
                <w:color w:val="auto"/>
              </w:rPr>
            </w:pPr>
            <w:r>
              <w:rPr>
                <w:rFonts w:ascii="Arial" w:cs="Arial" w:eastAsia="Arial" w:hAnsi="Arial"/>
                <w:sz w:val="20"/>
                <w:szCs w:val="20"/>
                <w:color w:val="auto"/>
              </w:rPr>
              <w:t>20</w:t>
            </w:r>
          </w:p>
        </w:tc>
      </w:tr>
      <w:tr>
        <w:trPr>
          <w:trHeight w:val="222"/>
        </w:trPr>
        <w:tc>
          <w:tcPr>
            <w:tcW w:w="8440" w:type="dxa"/>
            <w:vAlign w:val="bottom"/>
          </w:tcPr>
          <w:p>
            <w:pPr>
              <w:ind w:left="840"/>
              <w:spacing w:after="0" w:line="222" w:lineRule="exact"/>
              <w:rPr>
                <w:sz w:val="20"/>
                <w:szCs w:val="20"/>
                <w:color w:val="auto"/>
              </w:rPr>
            </w:pPr>
            <w:r>
              <w:rPr>
                <w:rFonts w:ascii="Arial" w:cs="Arial" w:eastAsia="Arial" w:hAnsi="Arial"/>
                <w:sz w:val="20"/>
                <w:szCs w:val="20"/>
                <w:color w:val="auto"/>
              </w:rPr>
              <w:t>7.4</w:t>
            </w:r>
          </w:p>
        </w:tc>
        <w:tc>
          <w:tcPr>
            <w:tcW w:w="2620" w:type="dxa"/>
            <w:vAlign w:val="bottom"/>
          </w:tcPr>
          <w:p>
            <w:pPr>
              <w:spacing w:after="0"/>
              <w:rPr>
                <w:sz w:val="19"/>
                <w:szCs w:val="19"/>
                <w:color w:val="auto"/>
              </w:rPr>
            </w:pPr>
          </w:p>
        </w:tc>
      </w:tr>
      <w:tr>
        <w:trPr>
          <w:trHeight w:val="264"/>
        </w:trPr>
        <w:tc>
          <w:tcPr>
            <w:tcW w:w="8440" w:type="dxa"/>
            <w:vAlign w:val="bottom"/>
          </w:tcPr>
          <w:p>
            <w:pPr>
              <w:ind w:left="1680"/>
              <w:spacing w:after="0"/>
              <w:rPr>
                <w:sz w:val="20"/>
                <w:szCs w:val="20"/>
                <w:color w:val="auto"/>
              </w:rPr>
            </w:pPr>
            <w:r>
              <w:rPr>
                <w:rFonts w:ascii="Arial" w:cs="Arial" w:eastAsia="Arial" w:hAnsi="Arial"/>
                <w:sz w:val="20"/>
                <w:szCs w:val="20"/>
                <w:color w:val="auto"/>
              </w:rPr>
              <w:t>Lost Certificates</w:t>
            </w:r>
          </w:p>
        </w:tc>
        <w:tc>
          <w:tcPr>
            <w:tcW w:w="2620" w:type="dxa"/>
            <w:vAlign w:val="bottom"/>
          </w:tcPr>
          <w:p>
            <w:pPr>
              <w:jc w:val="right"/>
              <w:spacing w:after="0"/>
              <w:rPr>
                <w:sz w:val="20"/>
                <w:szCs w:val="20"/>
                <w:color w:val="auto"/>
              </w:rPr>
            </w:pPr>
            <w:r>
              <w:rPr>
                <w:rFonts w:ascii="Arial" w:cs="Arial" w:eastAsia="Arial" w:hAnsi="Arial"/>
                <w:sz w:val="20"/>
                <w:szCs w:val="20"/>
                <w:color w:val="auto"/>
              </w:rPr>
              <w:t>21</w:t>
            </w:r>
          </w:p>
        </w:tc>
      </w:tr>
      <w:tr>
        <w:trPr>
          <w:trHeight w:val="222"/>
        </w:trPr>
        <w:tc>
          <w:tcPr>
            <w:tcW w:w="8440" w:type="dxa"/>
            <w:vAlign w:val="bottom"/>
          </w:tcPr>
          <w:p>
            <w:pPr>
              <w:ind w:left="840"/>
              <w:spacing w:after="0" w:line="222" w:lineRule="exact"/>
              <w:rPr>
                <w:sz w:val="20"/>
                <w:szCs w:val="20"/>
                <w:color w:val="auto"/>
              </w:rPr>
            </w:pPr>
            <w:r>
              <w:rPr>
                <w:rFonts w:ascii="Arial" w:cs="Arial" w:eastAsia="Arial" w:hAnsi="Arial"/>
                <w:sz w:val="20"/>
                <w:szCs w:val="20"/>
                <w:color w:val="auto"/>
              </w:rPr>
              <w:t>7.5</w:t>
            </w:r>
          </w:p>
        </w:tc>
        <w:tc>
          <w:tcPr>
            <w:tcW w:w="2620" w:type="dxa"/>
            <w:vAlign w:val="bottom"/>
          </w:tcPr>
          <w:p>
            <w:pPr>
              <w:spacing w:after="0"/>
              <w:rPr>
                <w:sz w:val="19"/>
                <w:szCs w:val="19"/>
                <w:color w:val="auto"/>
              </w:rPr>
            </w:pPr>
          </w:p>
        </w:tc>
      </w:tr>
      <w:tr>
        <w:trPr>
          <w:trHeight w:val="264"/>
        </w:trPr>
        <w:tc>
          <w:tcPr>
            <w:tcW w:w="8440" w:type="dxa"/>
            <w:vAlign w:val="bottom"/>
          </w:tcPr>
          <w:p>
            <w:pPr>
              <w:ind w:left="1680"/>
              <w:spacing w:after="0"/>
              <w:rPr>
                <w:sz w:val="20"/>
                <w:szCs w:val="20"/>
                <w:color w:val="auto"/>
              </w:rPr>
            </w:pPr>
            <w:r>
              <w:rPr>
                <w:rFonts w:ascii="Arial" w:cs="Arial" w:eastAsia="Arial" w:hAnsi="Arial"/>
                <w:sz w:val="20"/>
                <w:szCs w:val="20"/>
                <w:color w:val="auto"/>
              </w:rPr>
              <w:t>Shares Without Certificates</w:t>
            </w:r>
          </w:p>
        </w:tc>
        <w:tc>
          <w:tcPr>
            <w:tcW w:w="2620" w:type="dxa"/>
            <w:vAlign w:val="bottom"/>
          </w:tcPr>
          <w:p>
            <w:pPr>
              <w:jc w:val="right"/>
              <w:spacing w:after="0"/>
              <w:rPr>
                <w:sz w:val="20"/>
                <w:szCs w:val="20"/>
                <w:color w:val="auto"/>
              </w:rPr>
            </w:pPr>
            <w:r>
              <w:rPr>
                <w:rFonts w:ascii="Arial" w:cs="Arial" w:eastAsia="Arial" w:hAnsi="Arial"/>
                <w:sz w:val="20"/>
                <w:szCs w:val="20"/>
                <w:color w:val="auto"/>
              </w:rPr>
              <w:t>21</w:t>
            </w:r>
          </w:p>
        </w:tc>
      </w:tr>
      <w:tr>
        <w:trPr>
          <w:trHeight w:val="222"/>
        </w:trPr>
        <w:tc>
          <w:tcPr>
            <w:tcW w:w="8440" w:type="dxa"/>
            <w:vAlign w:val="bottom"/>
          </w:tcPr>
          <w:p>
            <w:pPr>
              <w:ind w:left="840"/>
              <w:spacing w:after="0" w:line="222" w:lineRule="exact"/>
              <w:rPr>
                <w:sz w:val="20"/>
                <w:szCs w:val="20"/>
                <w:color w:val="auto"/>
              </w:rPr>
            </w:pPr>
            <w:r>
              <w:rPr>
                <w:rFonts w:ascii="Arial" w:cs="Arial" w:eastAsia="Arial" w:hAnsi="Arial"/>
                <w:sz w:val="20"/>
                <w:szCs w:val="20"/>
                <w:color w:val="auto"/>
              </w:rPr>
              <w:t>7.6</w:t>
            </w:r>
          </w:p>
        </w:tc>
        <w:tc>
          <w:tcPr>
            <w:tcW w:w="2620" w:type="dxa"/>
            <w:vAlign w:val="bottom"/>
          </w:tcPr>
          <w:p>
            <w:pPr>
              <w:spacing w:after="0"/>
              <w:rPr>
                <w:sz w:val="19"/>
                <w:szCs w:val="19"/>
                <w:color w:val="auto"/>
              </w:rPr>
            </w:pPr>
          </w:p>
        </w:tc>
      </w:tr>
      <w:tr>
        <w:trPr>
          <w:trHeight w:val="264"/>
        </w:trPr>
        <w:tc>
          <w:tcPr>
            <w:tcW w:w="8440" w:type="dxa"/>
            <w:vAlign w:val="bottom"/>
          </w:tcPr>
          <w:p>
            <w:pPr>
              <w:ind w:left="1680"/>
              <w:spacing w:after="0"/>
              <w:rPr>
                <w:sz w:val="20"/>
                <w:szCs w:val="20"/>
                <w:color w:val="auto"/>
              </w:rPr>
            </w:pPr>
            <w:r>
              <w:rPr>
                <w:rFonts w:ascii="Arial" w:cs="Arial" w:eastAsia="Arial" w:hAnsi="Arial"/>
                <w:sz w:val="20"/>
                <w:szCs w:val="20"/>
                <w:color w:val="auto"/>
              </w:rPr>
              <w:t>Construction; Definitions</w:t>
            </w:r>
          </w:p>
        </w:tc>
        <w:tc>
          <w:tcPr>
            <w:tcW w:w="2620" w:type="dxa"/>
            <w:vAlign w:val="bottom"/>
          </w:tcPr>
          <w:p>
            <w:pPr>
              <w:jc w:val="right"/>
              <w:spacing w:after="0"/>
              <w:rPr>
                <w:sz w:val="20"/>
                <w:szCs w:val="20"/>
                <w:color w:val="auto"/>
              </w:rPr>
            </w:pPr>
            <w:r>
              <w:rPr>
                <w:rFonts w:ascii="Arial" w:cs="Arial" w:eastAsia="Arial" w:hAnsi="Arial"/>
                <w:sz w:val="20"/>
                <w:szCs w:val="20"/>
                <w:color w:val="auto"/>
              </w:rPr>
              <w:t>21</w:t>
            </w:r>
          </w:p>
        </w:tc>
      </w:tr>
      <w:tr>
        <w:trPr>
          <w:trHeight w:val="222"/>
        </w:trPr>
        <w:tc>
          <w:tcPr>
            <w:tcW w:w="8440" w:type="dxa"/>
            <w:vAlign w:val="bottom"/>
          </w:tcPr>
          <w:p>
            <w:pPr>
              <w:ind w:left="840"/>
              <w:spacing w:after="0" w:line="222" w:lineRule="exact"/>
              <w:rPr>
                <w:sz w:val="20"/>
                <w:szCs w:val="20"/>
                <w:color w:val="auto"/>
              </w:rPr>
            </w:pPr>
            <w:r>
              <w:rPr>
                <w:rFonts w:ascii="Arial" w:cs="Arial" w:eastAsia="Arial" w:hAnsi="Arial"/>
                <w:sz w:val="20"/>
                <w:szCs w:val="20"/>
                <w:color w:val="auto"/>
              </w:rPr>
              <w:t>7.7</w:t>
            </w:r>
          </w:p>
        </w:tc>
        <w:tc>
          <w:tcPr>
            <w:tcW w:w="2620" w:type="dxa"/>
            <w:vAlign w:val="bottom"/>
          </w:tcPr>
          <w:p>
            <w:pPr>
              <w:spacing w:after="0"/>
              <w:rPr>
                <w:sz w:val="19"/>
                <w:szCs w:val="19"/>
                <w:color w:val="auto"/>
              </w:rPr>
            </w:pPr>
          </w:p>
        </w:tc>
      </w:tr>
      <w:tr>
        <w:trPr>
          <w:trHeight w:val="264"/>
        </w:trPr>
        <w:tc>
          <w:tcPr>
            <w:tcW w:w="8440" w:type="dxa"/>
            <w:vAlign w:val="bottom"/>
          </w:tcPr>
          <w:p>
            <w:pPr>
              <w:ind w:left="1680"/>
              <w:spacing w:after="0"/>
              <w:rPr>
                <w:sz w:val="20"/>
                <w:szCs w:val="20"/>
                <w:color w:val="auto"/>
              </w:rPr>
            </w:pPr>
            <w:r>
              <w:rPr>
                <w:rFonts w:ascii="Arial" w:cs="Arial" w:eastAsia="Arial" w:hAnsi="Arial"/>
                <w:sz w:val="20"/>
                <w:szCs w:val="20"/>
                <w:color w:val="auto"/>
              </w:rPr>
              <w:t>Dividends</w:t>
            </w:r>
          </w:p>
        </w:tc>
        <w:tc>
          <w:tcPr>
            <w:tcW w:w="2620" w:type="dxa"/>
            <w:vAlign w:val="bottom"/>
          </w:tcPr>
          <w:p>
            <w:pPr>
              <w:jc w:val="right"/>
              <w:spacing w:after="0"/>
              <w:rPr>
                <w:sz w:val="20"/>
                <w:szCs w:val="20"/>
                <w:color w:val="auto"/>
              </w:rPr>
            </w:pPr>
            <w:r>
              <w:rPr>
                <w:rFonts w:ascii="Arial" w:cs="Arial" w:eastAsia="Arial" w:hAnsi="Arial"/>
                <w:sz w:val="20"/>
                <w:szCs w:val="20"/>
                <w:color w:val="auto"/>
              </w:rPr>
              <w:t>21</w:t>
            </w:r>
          </w:p>
        </w:tc>
      </w:tr>
      <w:tr>
        <w:trPr>
          <w:trHeight w:val="222"/>
        </w:trPr>
        <w:tc>
          <w:tcPr>
            <w:tcW w:w="8440" w:type="dxa"/>
            <w:vAlign w:val="bottom"/>
          </w:tcPr>
          <w:p>
            <w:pPr>
              <w:ind w:left="840"/>
              <w:spacing w:after="0" w:line="222" w:lineRule="exact"/>
              <w:rPr>
                <w:sz w:val="20"/>
                <w:szCs w:val="20"/>
                <w:color w:val="auto"/>
              </w:rPr>
            </w:pPr>
            <w:r>
              <w:rPr>
                <w:rFonts w:ascii="Arial" w:cs="Arial" w:eastAsia="Arial" w:hAnsi="Arial"/>
                <w:sz w:val="20"/>
                <w:szCs w:val="20"/>
                <w:color w:val="auto"/>
              </w:rPr>
              <w:t>7.8</w:t>
            </w:r>
          </w:p>
        </w:tc>
        <w:tc>
          <w:tcPr>
            <w:tcW w:w="2620" w:type="dxa"/>
            <w:vAlign w:val="bottom"/>
          </w:tcPr>
          <w:p>
            <w:pPr>
              <w:spacing w:after="0"/>
              <w:rPr>
                <w:sz w:val="19"/>
                <w:szCs w:val="19"/>
                <w:color w:val="auto"/>
              </w:rPr>
            </w:pPr>
          </w:p>
        </w:tc>
      </w:tr>
      <w:tr>
        <w:trPr>
          <w:trHeight w:val="264"/>
        </w:trPr>
        <w:tc>
          <w:tcPr>
            <w:tcW w:w="8440" w:type="dxa"/>
            <w:vAlign w:val="bottom"/>
          </w:tcPr>
          <w:p>
            <w:pPr>
              <w:ind w:left="1680"/>
              <w:spacing w:after="0"/>
              <w:rPr>
                <w:sz w:val="20"/>
                <w:szCs w:val="20"/>
                <w:color w:val="auto"/>
              </w:rPr>
            </w:pPr>
            <w:r>
              <w:rPr>
                <w:rFonts w:ascii="Arial" w:cs="Arial" w:eastAsia="Arial" w:hAnsi="Arial"/>
                <w:sz w:val="20"/>
                <w:szCs w:val="20"/>
                <w:color w:val="auto"/>
              </w:rPr>
              <w:t>Fiscal Year</w:t>
            </w:r>
          </w:p>
        </w:tc>
        <w:tc>
          <w:tcPr>
            <w:tcW w:w="2620" w:type="dxa"/>
            <w:vAlign w:val="bottom"/>
          </w:tcPr>
          <w:p>
            <w:pPr>
              <w:jc w:val="right"/>
              <w:spacing w:after="0"/>
              <w:rPr>
                <w:sz w:val="20"/>
                <w:szCs w:val="20"/>
                <w:color w:val="auto"/>
              </w:rPr>
            </w:pPr>
            <w:r>
              <w:rPr>
                <w:rFonts w:ascii="Arial" w:cs="Arial" w:eastAsia="Arial" w:hAnsi="Arial"/>
                <w:sz w:val="20"/>
                <w:szCs w:val="20"/>
                <w:color w:val="auto"/>
              </w:rPr>
              <w:t>22</w:t>
            </w:r>
          </w:p>
        </w:tc>
      </w:tr>
      <w:tr>
        <w:trPr>
          <w:trHeight w:val="222"/>
        </w:trPr>
        <w:tc>
          <w:tcPr>
            <w:tcW w:w="8440" w:type="dxa"/>
            <w:vAlign w:val="bottom"/>
          </w:tcPr>
          <w:p>
            <w:pPr>
              <w:ind w:left="840"/>
              <w:spacing w:after="0" w:line="222" w:lineRule="exact"/>
              <w:rPr>
                <w:sz w:val="20"/>
                <w:szCs w:val="20"/>
                <w:color w:val="auto"/>
              </w:rPr>
            </w:pPr>
            <w:r>
              <w:rPr>
                <w:rFonts w:ascii="Arial" w:cs="Arial" w:eastAsia="Arial" w:hAnsi="Arial"/>
                <w:sz w:val="20"/>
                <w:szCs w:val="20"/>
                <w:color w:val="auto"/>
              </w:rPr>
              <w:t>7.9</w:t>
            </w:r>
          </w:p>
        </w:tc>
        <w:tc>
          <w:tcPr>
            <w:tcW w:w="2620" w:type="dxa"/>
            <w:vAlign w:val="bottom"/>
          </w:tcPr>
          <w:p>
            <w:pPr>
              <w:spacing w:after="0"/>
              <w:rPr>
                <w:sz w:val="19"/>
                <w:szCs w:val="19"/>
                <w:color w:val="auto"/>
              </w:rPr>
            </w:pPr>
          </w:p>
        </w:tc>
      </w:tr>
      <w:tr>
        <w:trPr>
          <w:trHeight w:val="264"/>
        </w:trPr>
        <w:tc>
          <w:tcPr>
            <w:tcW w:w="8440" w:type="dxa"/>
            <w:vAlign w:val="bottom"/>
          </w:tcPr>
          <w:p>
            <w:pPr>
              <w:ind w:left="1680"/>
              <w:spacing w:after="0"/>
              <w:rPr>
                <w:sz w:val="20"/>
                <w:szCs w:val="20"/>
                <w:color w:val="auto"/>
              </w:rPr>
            </w:pPr>
            <w:r>
              <w:rPr>
                <w:rFonts w:ascii="Arial" w:cs="Arial" w:eastAsia="Arial" w:hAnsi="Arial"/>
                <w:sz w:val="20"/>
                <w:szCs w:val="20"/>
                <w:color w:val="auto"/>
              </w:rPr>
              <w:t>Seal</w:t>
            </w:r>
          </w:p>
        </w:tc>
        <w:tc>
          <w:tcPr>
            <w:tcW w:w="2620" w:type="dxa"/>
            <w:vAlign w:val="bottom"/>
          </w:tcPr>
          <w:p>
            <w:pPr>
              <w:jc w:val="right"/>
              <w:spacing w:after="0"/>
              <w:rPr>
                <w:sz w:val="20"/>
                <w:szCs w:val="20"/>
                <w:color w:val="auto"/>
              </w:rPr>
            </w:pPr>
            <w:r>
              <w:rPr>
                <w:rFonts w:ascii="Arial" w:cs="Arial" w:eastAsia="Arial" w:hAnsi="Arial"/>
                <w:sz w:val="20"/>
                <w:szCs w:val="20"/>
                <w:color w:val="auto"/>
              </w:rPr>
              <w:t>22</w:t>
            </w:r>
          </w:p>
        </w:tc>
      </w:tr>
      <w:tr>
        <w:trPr>
          <w:trHeight w:val="222"/>
        </w:trPr>
        <w:tc>
          <w:tcPr>
            <w:tcW w:w="8440" w:type="dxa"/>
            <w:vAlign w:val="bottom"/>
          </w:tcPr>
          <w:p>
            <w:pPr>
              <w:ind w:left="840"/>
              <w:spacing w:after="0" w:line="222" w:lineRule="exact"/>
              <w:rPr>
                <w:sz w:val="20"/>
                <w:szCs w:val="20"/>
                <w:color w:val="auto"/>
              </w:rPr>
            </w:pPr>
            <w:r>
              <w:rPr>
                <w:rFonts w:ascii="Arial" w:cs="Arial" w:eastAsia="Arial" w:hAnsi="Arial"/>
                <w:sz w:val="20"/>
                <w:szCs w:val="20"/>
                <w:color w:val="auto"/>
              </w:rPr>
              <w:t>7.1</w:t>
            </w:r>
          </w:p>
        </w:tc>
        <w:tc>
          <w:tcPr>
            <w:tcW w:w="2620" w:type="dxa"/>
            <w:vAlign w:val="bottom"/>
          </w:tcPr>
          <w:p>
            <w:pPr>
              <w:spacing w:after="0"/>
              <w:rPr>
                <w:sz w:val="19"/>
                <w:szCs w:val="19"/>
                <w:color w:val="auto"/>
              </w:rPr>
            </w:pPr>
          </w:p>
        </w:tc>
      </w:tr>
      <w:tr>
        <w:trPr>
          <w:trHeight w:val="264"/>
        </w:trPr>
        <w:tc>
          <w:tcPr>
            <w:tcW w:w="8440" w:type="dxa"/>
            <w:vAlign w:val="bottom"/>
          </w:tcPr>
          <w:p>
            <w:pPr>
              <w:ind w:left="1680"/>
              <w:spacing w:after="0"/>
              <w:rPr>
                <w:sz w:val="20"/>
                <w:szCs w:val="20"/>
                <w:color w:val="auto"/>
              </w:rPr>
            </w:pPr>
            <w:r>
              <w:rPr>
                <w:rFonts w:ascii="Arial" w:cs="Arial" w:eastAsia="Arial" w:hAnsi="Arial"/>
                <w:sz w:val="20"/>
                <w:szCs w:val="20"/>
                <w:color w:val="auto"/>
              </w:rPr>
              <w:t>Transfer of Stock</w:t>
            </w:r>
          </w:p>
        </w:tc>
        <w:tc>
          <w:tcPr>
            <w:tcW w:w="2620" w:type="dxa"/>
            <w:vAlign w:val="bottom"/>
          </w:tcPr>
          <w:p>
            <w:pPr>
              <w:jc w:val="right"/>
              <w:spacing w:after="0"/>
              <w:rPr>
                <w:sz w:val="20"/>
                <w:szCs w:val="20"/>
                <w:color w:val="auto"/>
              </w:rPr>
            </w:pPr>
            <w:r>
              <w:rPr>
                <w:rFonts w:ascii="Arial" w:cs="Arial" w:eastAsia="Arial" w:hAnsi="Arial"/>
                <w:sz w:val="20"/>
                <w:szCs w:val="20"/>
                <w:color w:val="auto"/>
              </w:rPr>
              <w:t>22</w:t>
            </w:r>
          </w:p>
        </w:tc>
      </w:tr>
      <w:tr>
        <w:trPr>
          <w:trHeight w:val="222"/>
        </w:trPr>
        <w:tc>
          <w:tcPr>
            <w:tcW w:w="8440" w:type="dxa"/>
            <w:vAlign w:val="bottom"/>
          </w:tcPr>
          <w:p>
            <w:pPr>
              <w:ind w:left="840"/>
              <w:spacing w:after="0" w:line="222" w:lineRule="exact"/>
              <w:rPr>
                <w:sz w:val="20"/>
                <w:szCs w:val="20"/>
                <w:color w:val="auto"/>
              </w:rPr>
            </w:pPr>
            <w:r>
              <w:rPr>
                <w:rFonts w:ascii="Arial" w:cs="Arial" w:eastAsia="Arial" w:hAnsi="Arial"/>
                <w:sz w:val="20"/>
                <w:szCs w:val="20"/>
                <w:color w:val="auto"/>
              </w:rPr>
              <w:t>7.11</w:t>
            </w:r>
          </w:p>
        </w:tc>
        <w:tc>
          <w:tcPr>
            <w:tcW w:w="2620" w:type="dxa"/>
            <w:vAlign w:val="bottom"/>
          </w:tcPr>
          <w:p>
            <w:pPr>
              <w:spacing w:after="0"/>
              <w:rPr>
                <w:sz w:val="19"/>
                <w:szCs w:val="19"/>
                <w:color w:val="auto"/>
              </w:rPr>
            </w:pPr>
          </w:p>
        </w:tc>
      </w:tr>
      <w:tr>
        <w:trPr>
          <w:trHeight w:val="264"/>
        </w:trPr>
        <w:tc>
          <w:tcPr>
            <w:tcW w:w="8440" w:type="dxa"/>
            <w:vAlign w:val="bottom"/>
          </w:tcPr>
          <w:p>
            <w:pPr>
              <w:ind w:left="1680"/>
              <w:spacing w:after="0"/>
              <w:rPr>
                <w:sz w:val="20"/>
                <w:szCs w:val="20"/>
                <w:color w:val="auto"/>
              </w:rPr>
            </w:pPr>
            <w:r>
              <w:rPr>
                <w:rFonts w:ascii="Arial" w:cs="Arial" w:eastAsia="Arial" w:hAnsi="Arial"/>
                <w:sz w:val="20"/>
                <w:szCs w:val="20"/>
                <w:color w:val="auto"/>
              </w:rPr>
              <w:t>Stock Transfer Agreements</w:t>
            </w:r>
          </w:p>
        </w:tc>
        <w:tc>
          <w:tcPr>
            <w:tcW w:w="2620" w:type="dxa"/>
            <w:vAlign w:val="bottom"/>
          </w:tcPr>
          <w:p>
            <w:pPr>
              <w:jc w:val="right"/>
              <w:spacing w:after="0"/>
              <w:rPr>
                <w:sz w:val="20"/>
                <w:szCs w:val="20"/>
                <w:color w:val="auto"/>
              </w:rPr>
            </w:pPr>
            <w:r>
              <w:rPr>
                <w:rFonts w:ascii="Arial" w:cs="Arial" w:eastAsia="Arial" w:hAnsi="Arial"/>
                <w:sz w:val="20"/>
                <w:szCs w:val="20"/>
                <w:color w:val="auto"/>
              </w:rPr>
              <w:t>22</w:t>
            </w:r>
          </w:p>
        </w:tc>
      </w:tr>
      <w:tr>
        <w:trPr>
          <w:trHeight w:val="222"/>
        </w:trPr>
        <w:tc>
          <w:tcPr>
            <w:tcW w:w="8440" w:type="dxa"/>
            <w:vAlign w:val="bottom"/>
          </w:tcPr>
          <w:p>
            <w:pPr>
              <w:ind w:left="840"/>
              <w:spacing w:after="0" w:line="222" w:lineRule="exact"/>
              <w:rPr>
                <w:sz w:val="20"/>
                <w:szCs w:val="20"/>
                <w:color w:val="auto"/>
              </w:rPr>
            </w:pPr>
            <w:r>
              <w:rPr>
                <w:rFonts w:ascii="Arial" w:cs="Arial" w:eastAsia="Arial" w:hAnsi="Arial"/>
                <w:sz w:val="20"/>
                <w:szCs w:val="20"/>
                <w:color w:val="auto"/>
              </w:rPr>
              <w:t>7.12</w:t>
            </w:r>
          </w:p>
        </w:tc>
        <w:tc>
          <w:tcPr>
            <w:tcW w:w="2620" w:type="dxa"/>
            <w:vAlign w:val="bottom"/>
          </w:tcPr>
          <w:p>
            <w:pPr>
              <w:spacing w:after="0"/>
              <w:rPr>
                <w:sz w:val="19"/>
                <w:szCs w:val="19"/>
                <w:color w:val="auto"/>
              </w:rPr>
            </w:pPr>
          </w:p>
        </w:tc>
      </w:tr>
      <w:tr>
        <w:trPr>
          <w:trHeight w:val="264"/>
        </w:trPr>
        <w:tc>
          <w:tcPr>
            <w:tcW w:w="8440" w:type="dxa"/>
            <w:vAlign w:val="bottom"/>
          </w:tcPr>
          <w:p>
            <w:pPr>
              <w:ind w:left="1680"/>
              <w:spacing w:after="0"/>
              <w:rPr>
                <w:sz w:val="20"/>
                <w:szCs w:val="20"/>
                <w:color w:val="auto"/>
              </w:rPr>
            </w:pPr>
            <w:r>
              <w:rPr>
                <w:rFonts w:ascii="Arial" w:cs="Arial" w:eastAsia="Arial" w:hAnsi="Arial"/>
                <w:sz w:val="20"/>
                <w:szCs w:val="20"/>
                <w:color w:val="auto"/>
              </w:rPr>
              <w:t>Registered Stockholders</w:t>
            </w:r>
          </w:p>
        </w:tc>
        <w:tc>
          <w:tcPr>
            <w:tcW w:w="2620" w:type="dxa"/>
            <w:vAlign w:val="bottom"/>
          </w:tcPr>
          <w:p>
            <w:pPr>
              <w:jc w:val="right"/>
              <w:spacing w:after="0"/>
              <w:rPr>
                <w:sz w:val="20"/>
                <w:szCs w:val="20"/>
                <w:color w:val="auto"/>
              </w:rPr>
            </w:pPr>
            <w:r>
              <w:rPr>
                <w:rFonts w:ascii="Arial" w:cs="Arial" w:eastAsia="Arial" w:hAnsi="Arial"/>
                <w:sz w:val="20"/>
                <w:szCs w:val="20"/>
                <w:color w:val="auto"/>
              </w:rPr>
              <w:t>22</w:t>
            </w:r>
          </w:p>
        </w:tc>
      </w:tr>
      <w:tr>
        <w:trPr>
          <w:trHeight w:val="222"/>
        </w:trPr>
        <w:tc>
          <w:tcPr>
            <w:tcW w:w="8440" w:type="dxa"/>
            <w:vAlign w:val="bottom"/>
          </w:tcPr>
          <w:p>
            <w:pPr>
              <w:ind w:left="840"/>
              <w:spacing w:after="0" w:line="222" w:lineRule="exact"/>
              <w:rPr>
                <w:sz w:val="20"/>
                <w:szCs w:val="20"/>
                <w:color w:val="auto"/>
              </w:rPr>
            </w:pPr>
            <w:r>
              <w:rPr>
                <w:rFonts w:ascii="Arial" w:cs="Arial" w:eastAsia="Arial" w:hAnsi="Arial"/>
                <w:sz w:val="20"/>
                <w:szCs w:val="20"/>
                <w:color w:val="auto"/>
              </w:rPr>
              <w:t>7.13</w:t>
            </w:r>
          </w:p>
        </w:tc>
        <w:tc>
          <w:tcPr>
            <w:tcW w:w="2620" w:type="dxa"/>
            <w:vAlign w:val="bottom"/>
          </w:tcPr>
          <w:p>
            <w:pPr>
              <w:spacing w:after="0"/>
              <w:rPr>
                <w:sz w:val="19"/>
                <w:szCs w:val="19"/>
                <w:color w:val="auto"/>
              </w:rPr>
            </w:pPr>
          </w:p>
        </w:tc>
      </w:tr>
      <w:tr>
        <w:trPr>
          <w:trHeight w:val="264"/>
        </w:trPr>
        <w:tc>
          <w:tcPr>
            <w:tcW w:w="8440" w:type="dxa"/>
            <w:vAlign w:val="bottom"/>
          </w:tcPr>
          <w:p>
            <w:pPr>
              <w:ind w:left="1680"/>
              <w:spacing w:after="0"/>
              <w:rPr>
                <w:sz w:val="20"/>
                <w:szCs w:val="20"/>
                <w:color w:val="auto"/>
              </w:rPr>
            </w:pPr>
            <w:r>
              <w:rPr>
                <w:rFonts w:ascii="Arial" w:cs="Arial" w:eastAsia="Arial" w:hAnsi="Arial"/>
                <w:sz w:val="20"/>
                <w:szCs w:val="20"/>
                <w:color w:val="auto"/>
              </w:rPr>
              <w:t>Waiver of Notice</w:t>
            </w:r>
          </w:p>
        </w:tc>
        <w:tc>
          <w:tcPr>
            <w:tcW w:w="2620" w:type="dxa"/>
            <w:vAlign w:val="bottom"/>
          </w:tcPr>
          <w:p>
            <w:pPr>
              <w:jc w:val="right"/>
              <w:spacing w:after="0"/>
              <w:rPr>
                <w:sz w:val="20"/>
                <w:szCs w:val="20"/>
                <w:color w:val="auto"/>
              </w:rPr>
            </w:pPr>
            <w:r>
              <w:rPr>
                <w:rFonts w:ascii="Arial" w:cs="Arial" w:eastAsia="Arial" w:hAnsi="Arial"/>
                <w:sz w:val="20"/>
                <w:szCs w:val="20"/>
                <w:color w:val="auto"/>
              </w:rPr>
              <w:t>21</w:t>
            </w:r>
          </w:p>
        </w:tc>
      </w:tr>
      <w:tr>
        <w:trPr>
          <w:trHeight w:val="540"/>
        </w:trPr>
        <w:tc>
          <w:tcPr>
            <w:tcW w:w="8440" w:type="dxa"/>
            <w:vAlign w:val="bottom"/>
          </w:tcPr>
          <w:p>
            <w:pPr>
              <w:spacing w:after="0"/>
              <w:rPr>
                <w:sz w:val="20"/>
                <w:szCs w:val="20"/>
                <w:color w:val="auto"/>
              </w:rPr>
            </w:pPr>
            <w:r>
              <w:rPr>
                <w:rFonts w:ascii="Arial" w:cs="Arial" w:eastAsia="Arial" w:hAnsi="Arial"/>
                <w:sz w:val="20"/>
                <w:szCs w:val="20"/>
                <w:color w:val="auto"/>
              </w:rPr>
              <w:t>Article VIII. Notice</w:t>
            </w:r>
          </w:p>
        </w:tc>
        <w:tc>
          <w:tcPr>
            <w:tcW w:w="2620" w:type="dxa"/>
            <w:vAlign w:val="bottom"/>
          </w:tcPr>
          <w:p>
            <w:pPr>
              <w:jc w:val="right"/>
              <w:spacing w:after="0"/>
              <w:rPr>
                <w:sz w:val="20"/>
                <w:szCs w:val="20"/>
                <w:color w:val="auto"/>
              </w:rPr>
            </w:pPr>
            <w:r>
              <w:rPr>
                <w:rFonts w:ascii="Arial" w:cs="Arial" w:eastAsia="Arial" w:hAnsi="Arial"/>
                <w:sz w:val="20"/>
                <w:szCs w:val="20"/>
                <w:color w:val="auto"/>
              </w:rPr>
              <w:t>23</w:t>
            </w:r>
          </w:p>
        </w:tc>
      </w:tr>
      <w:tr>
        <w:trPr>
          <w:trHeight w:val="276"/>
        </w:trPr>
        <w:tc>
          <w:tcPr>
            <w:tcW w:w="8440" w:type="dxa"/>
            <w:vAlign w:val="bottom"/>
          </w:tcPr>
          <w:p>
            <w:pPr>
              <w:ind w:left="840"/>
              <w:spacing w:after="0"/>
              <w:rPr>
                <w:sz w:val="20"/>
                <w:szCs w:val="20"/>
                <w:color w:val="auto"/>
              </w:rPr>
            </w:pPr>
            <w:r>
              <w:rPr>
                <w:rFonts w:ascii="Arial" w:cs="Arial" w:eastAsia="Arial" w:hAnsi="Arial"/>
                <w:sz w:val="20"/>
                <w:szCs w:val="20"/>
                <w:color w:val="auto"/>
              </w:rPr>
              <w:t>8.1</w:t>
            </w:r>
          </w:p>
        </w:tc>
        <w:tc>
          <w:tcPr>
            <w:tcW w:w="2620" w:type="dxa"/>
            <w:vAlign w:val="bottom"/>
          </w:tcPr>
          <w:p>
            <w:pPr>
              <w:spacing w:after="0"/>
              <w:rPr>
                <w:sz w:val="24"/>
                <w:szCs w:val="24"/>
                <w:color w:val="auto"/>
              </w:rPr>
            </w:pPr>
          </w:p>
        </w:tc>
      </w:tr>
      <w:tr>
        <w:trPr>
          <w:trHeight w:val="264"/>
        </w:trPr>
        <w:tc>
          <w:tcPr>
            <w:tcW w:w="8440" w:type="dxa"/>
            <w:vAlign w:val="bottom"/>
          </w:tcPr>
          <w:p>
            <w:pPr>
              <w:ind w:left="1680"/>
              <w:spacing w:after="0"/>
              <w:rPr>
                <w:sz w:val="20"/>
                <w:szCs w:val="20"/>
                <w:color w:val="auto"/>
              </w:rPr>
            </w:pPr>
            <w:r>
              <w:rPr>
                <w:rFonts w:ascii="Arial" w:cs="Arial" w:eastAsia="Arial" w:hAnsi="Arial"/>
                <w:sz w:val="20"/>
                <w:szCs w:val="20"/>
                <w:color w:val="auto"/>
              </w:rPr>
              <w:t>Delivery of Notice; Notice by Electronic Transmission</w:t>
            </w:r>
          </w:p>
        </w:tc>
        <w:tc>
          <w:tcPr>
            <w:tcW w:w="2620" w:type="dxa"/>
            <w:vAlign w:val="bottom"/>
          </w:tcPr>
          <w:p>
            <w:pPr>
              <w:jc w:val="right"/>
              <w:spacing w:after="0"/>
              <w:rPr>
                <w:sz w:val="20"/>
                <w:szCs w:val="20"/>
                <w:color w:val="auto"/>
              </w:rPr>
            </w:pPr>
            <w:r>
              <w:rPr>
                <w:rFonts w:ascii="Arial" w:cs="Arial" w:eastAsia="Arial" w:hAnsi="Arial"/>
                <w:sz w:val="20"/>
                <w:szCs w:val="20"/>
                <w:color w:val="auto"/>
              </w:rPr>
              <w:t>23</w:t>
            </w:r>
          </w:p>
        </w:tc>
      </w:tr>
      <w:tr>
        <w:trPr>
          <w:trHeight w:val="540"/>
        </w:trPr>
        <w:tc>
          <w:tcPr>
            <w:tcW w:w="8440" w:type="dxa"/>
            <w:vAlign w:val="bottom"/>
          </w:tcPr>
          <w:p>
            <w:pPr>
              <w:spacing w:after="0"/>
              <w:rPr>
                <w:sz w:val="20"/>
                <w:szCs w:val="20"/>
                <w:color w:val="auto"/>
              </w:rPr>
            </w:pPr>
            <w:r>
              <w:rPr>
                <w:rFonts w:ascii="Arial" w:cs="Arial" w:eastAsia="Arial" w:hAnsi="Arial"/>
                <w:sz w:val="20"/>
                <w:szCs w:val="20"/>
                <w:color w:val="auto"/>
              </w:rPr>
              <w:t>Article IX. Indemnification</w:t>
            </w:r>
          </w:p>
        </w:tc>
        <w:tc>
          <w:tcPr>
            <w:tcW w:w="2620" w:type="dxa"/>
            <w:vAlign w:val="bottom"/>
          </w:tcPr>
          <w:p>
            <w:pPr>
              <w:jc w:val="right"/>
              <w:spacing w:after="0"/>
              <w:rPr>
                <w:sz w:val="20"/>
                <w:szCs w:val="20"/>
                <w:color w:val="auto"/>
              </w:rPr>
            </w:pPr>
            <w:r>
              <w:rPr>
                <w:rFonts w:ascii="Arial" w:cs="Arial" w:eastAsia="Arial" w:hAnsi="Arial"/>
                <w:sz w:val="20"/>
                <w:szCs w:val="20"/>
                <w:color w:val="auto"/>
              </w:rPr>
              <w:t>24</w:t>
            </w:r>
          </w:p>
        </w:tc>
      </w:tr>
      <w:tr>
        <w:trPr>
          <w:trHeight w:val="276"/>
        </w:trPr>
        <w:tc>
          <w:tcPr>
            <w:tcW w:w="8440" w:type="dxa"/>
            <w:vAlign w:val="bottom"/>
          </w:tcPr>
          <w:p>
            <w:pPr>
              <w:ind w:left="840"/>
              <w:spacing w:after="0"/>
              <w:rPr>
                <w:sz w:val="20"/>
                <w:szCs w:val="20"/>
                <w:color w:val="auto"/>
              </w:rPr>
            </w:pPr>
            <w:r>
              <w:rPr>
                <w:rFonts w:ascii="Arial" w:cs="Arial" w:eastAsia="Arial" w:hAnsi="Arial"/>
                <w:sz w:val="20"/>
                <w:szCs w:val="20"/>
                <w:color w:val="auto"/>
              </w:rPr>
              <w:t>9.1</w:t>
            </w:r>
          </w:p>
        </w:tc>
        <w:tc>
          <w:tcPr>
            <w:tcW w:w="2620" w:type="dxa"/>
            <w:vAlign w:val="bottom"/>
          </w:tcPr>
          <w:p>
            <w:pPr>
              <w:spacing w:after="0"/>
              <w:rPr>
                <w:sz w:val="24"/>
                <w:szCs w:val="24"/>
                <w:color w:val="auto"/>
              </w:rPr>
            </w:pPr>
          </w:p>
        </w:tc>
      </w:tr>
      <w:tr>
        <w:trPr>
          <w:trHeight w:val="264"/>
        </w:trPr>
        <w:tc>
          <w:tcPr>
            <w:tcW w:w="8440" w:type="dxa"/>
            <w:vAlign w:val="bottom"/>
          </w:tcPr>
          <w:p>
            <w:pPr>
              <w:ind w:left="1680"/>
              <w:spacing w:after="0"/>
              <w:rPr>
                <w:sz w:val="20"/>
                <w:szCs w:val="20"/>
                <w:color w:val="auto"/>
              </w:rPr>
            </w:pPr>
            <w:r>
              <w:rPr>
                <w:rFonts w:ascii="Arial" w:cs="Arial" w:eastAsia="Arial" w:hAnsi="Arial"/>
                <w:sz w:val="20"/>
                <w:szCs w:val="20"/>
                <w:color w:val="auto"/>
              </w:rPr>
              <w:t>Indemnification of Directors and Officers</w:t>
            </w:r>
          </w:p>
        </w:tc>
        <w:tc>
          <w:tcPr>
            <w:tcW w:w="2620" w:type="dxa"/>
            <w:vAlign w:val="bottom"/>
          </w:tcPr>
          <w:p>
            <w:pPr>
              <w:jc w:val="right"/>
              <w:spacing w:after="0"/>
              <w:rPr>
                <w:sz w:val="20"/>
                <w:szCs w:val="20"/>
                <w:color w:val="auto"/>
              </w:rPr>
            </w:pPr>
            <w:r>
              <w:rPr>
                <w:rFonts w:ascii="Arial" w:cs="Arial" w:eastAsia="Arial" w:hAnsi="Arial"/>
                <w:sz w:val="20"/>
                <w:szCs w:val="20"/>
                <w:color w:val="auto"/>
              </w:rPr>
              <w:t>24</w:t>
            </w:r>
          </w:p>
        </w:tc>
      </w:tr>
      <w:tr>
        <w:trPr>
          <w:trHeight w:val="222"/>
        </w:trPr>
        <w:tc>
          <w:tcPr>
            <w:tcW w:w="8440" w:type="dxa"/>
            <w:vAlign w:val="bottom"/>
          </w:tcPr>
          <w:p>
            <w:pPr>
              <w:ind w:left="840"/>
              <w:spacing w:after="0" w:line="222" w:lineRule="exact"/>
              <w:rPr>
                <w:sz w:val="20"/>
                <w:szCs w:val="20"/>
                <w:color w:val="auto"/>
              </w:rPr>
            </w:pPr>
            <w:r>
              <w:rPr>
                <w:rFonts w:ascii="Arial" w:cs="Arial" w:eastAsia="Arial" w:hAnsi="Arial"/>
                <w:sz w:val="20"/>
                <w:szCs w:val="20"/>
                <w:color w:val="auto"/>
              </w:rPr>
              <w:t>9.2</w:t>
            </w:r>
          </w:p>
        </w:tc>
        <w:tc>
          <w:tcPr>
            <w:tcW w:w="2620" w:type="dxa"/>
            <w:vAlign w:val="bottom"/>
          </w:tcPr>
          <w:p>
            <w:pPr>
              <w:spacing w:after="0"/>
              <w:rPr>
                <w:sz w:val="19"/>
                <w:szCs w:val="19"/>
                <w:color w:val="auto"/>
              </w:rPr>
            </w:pPr>
          </w:p>
        </w:tc>
      </w:tr>
      <w:tr>
        <w:trPr>
          <w:trHeight w:val="264"/>
        </w:trPr>
        <w:tc>
          <w:tcPr>
            <w:tcW w:w="8440" w:type="dxa"/>
            <w:vAlign w:val="bottom"/>
          </w:tcPr>
          <w:p>
            <w:pPr>
              <w:ind w:left="1680"/>
              <w:spacing w:after="0"/>
              <w:rPr>
                <w:sz w:val="20"/>
                <w:szCs w:val="20"/>
                <w:color w:val="auto"/>
              </w:rPr>
            </w:pPr>
            <w:r>
              <w:rPr>
                <w:rFonts w:ascii="Arial" w:cs="Arial" w:eastAsia="Arial" w:hAnsi="Arial"/>
                <w:sz w:val="20"/>
                <w:szCs w:val="20"/>
                <w:color w:val="auto"/>
              </w:rPr>
              <w:t>Indemnification of Others</w:t>
            </w:r>
          </w:p>
        </w:tc>
        <w:tc>
          <w:tcPr>
            <w:tcW w:w="2620" w:type="dxa"/>
            <w:vAlign w:val="bottom"/>
          </w:tcPr>
          <w:p>
            <w:pPr>
              <w:jc w:val="right"/>
              <w:spacing w:after="0"/>
              <w:rPr>
                <w:sz w:val="20"/>
                <w:szCs w:val="20"/>
                <w:color w:val="auto"/>
              </w:rPr>
            </w:pPr>
            <w:r>
              <w:rPr>
                <w:rFonts w:ascii="Arial" w:cs="Arial" w:eastAsia="Arial" w:hAnsi="Arial"/>
                <w:sz w:val="20"/>
                <w:szCs w:val="20"/>
                <w:color w:val="auto"/>
              </w:rPr>
              <w:t>24</w:t>
            </w:r>
          </w:p>
        </w:tc>
      </w:tr>
      <w:tr>
        <w:trPr>
          <w:trHeight w:val="222"/>
        </w:trPr>
        <w:tc>
          <w:tcPr>
            <w:tcW w:w="8440" w:type="dxa"/>
            <w:vAlign w:val="bottom"/>
          </w:tcPr>
          <w:p>
            <w:pPr>
              <w:ind w:left="840"/>
              <w:spacing w:after="0" w:line="222" w:lineRule="exact"/>
              <w:rPr>
                <w:sz w:val="20"/>
                <w:szCs w:val="20"/>
                <w:color w:val="auto"/>
              </w:rPr>
            </w:pPr>
            <w:r>
              <w:rPr>
                <w:rFonts w:ascii="Arial" w:cs="Arial" w:eastAsia="Arial" w:hAnsi="Arial"/>
                <w:sz w:val="20"/>
                <w:szCs w:val="20"/>
                <w:color w:val="auto"/>
              </w:rPr>
              <w:t>9.3</w:t>
            </w:r>
          </w:p>
        </w:tc>
        <w:tc>
          <w:tcPr>
            <w:tcW w:w="2620" w:type="dxa"/>
            <w:vAlign w:val="bottom"/>
          </w:tcPr>
          <w:p>
            <w:pPr>
              <w:spacing w:after="0"/>
              <w:rPr>
                <w:sz w:val="19"/>
                <w:szCs w:val="19"/>
                <w:color w:val="auto"/>
              </w:rPr>
            </w:pPr>
          </w:p>
        </w:tc>
      </w:tr>
      <w:tr>
        <w:trPr>
          <w:trHeight w:val="264"/>
        </w:trPr>
        <w:tc>
          <w:tcPr>
            <w:tcW w:w="8440" w:type="dxa"/>
            <w:vAlign w:val="bottom"/>
          </w:tcPr>
          <w:p>
            <w:pPr>
              <w:ind w:left="1680"/>
              <w:spacing w:after="0"/>
              <w:rPr>
                <w:sz w:val="20"/>
                <w:szCs w:val="20"/>
                <w:color w:val="auto"/>
              </w:rPr>
            </w:pPr>
            <w:r>
              <w:rPr>
                <w:rFonts w:ascii="Arial" w:cs="Arial" w:eastAsia="Arial" w:hAnsi="Arial"/>
                <w:sz w:val="20"/>
                <w:szCs w:val="20"/>
                <w:color w:val="auto"/>
              </w:rPr>
              <w:t>Prepayment of Expenses</w:t>
            </w:r>
          </w:p>
        </w:tc>
        <w:tc>
          <w:tcPr>
            <w:tcW w:w="2620" w:type="dxa"/>
            <w:vAlign w:val="bottom"/>
          </w:tcPr>
          <w:p>
            <w:pPr>
              <w:jc w:val="right"/>
              <w:spacing w:after="0"/>
              <w:rPr>
                <w:sz w:val="20"/>
                <w:szCs w:val="20"/>
                <w:color w:val="auto"/>
              </w:rPr>
            </w:pPr>
            <w:r>
              <w:rPr>
                <w:rFonts w:ascii="Arial" w:cs="Arial" w:eastAsia="Arial" w:hAnsi="Arial"/>
                <w:sz w:val="20"/>
                <w:szCs w:val="20"/>
                <w:color w:val="auto"/>
              </w:rPr>
              <w:t>24</w:t>
            </w:r>
          </w:p>
        </w:tc>
      </w:tr>
      <w:tr>
        <w:trPr>
          <w:trHeight w:val="222"/>
        </w:trPr>
        <w:tc>
          <w:tcPr>
            <w:tcW w:w="8440" w:type="dxa"/>
            <w:vAlign w:val="bottom"/>
          </w:tcPr>
          <w:p>
            <w:pPr>
              <w:ind w:left="840"/>
              <w:spacing w:after="0" w:line="222" w:lineRule="exact"/>
              <w:rPr>
                <w:sz w:val="20"/>
                <w:szCs w:val="20"/>
                <w:color w:val="auto"/>
              </w:rPr>
            </w:pPr>
            <w:r>
              <w:rPr>
                <w:rFonts w:ascii="Arial" w:cs="Arial" w:eastAsia="Arial" w:hAnsi="Arial"/>
                <w:sz w:val="20"/>
                <w:szCs w:val="20"/>
                <w:color w:val="auto"/>
              </w:rPr>
              <w:t>9.4</w:t>
            </w:r>
          </w:p>
        </w:tc>
        <w:tc>
          <w:tcPr>
            <w:tcW w:w="2620" w:type="dxa"/>
            <w:vAlign w:val="bottom"/>
          </w:tcPr>
          <w:p>
            <w:pPr>
              <w:spacing w:after="0"/>
              <w:rPr>
                <w:sz w:val="19"/>
                <w:szCs w:val="19"/>
                <w:color w:val="auto"/>
              </w:rPr>
            </w:pPr>
          </w:p>
        </w:tc>
      </w:tr>
      <w:tr>
        <w:trPr>
          <w:trHeight w:val="264"/>
        </w:trPr>
        <w:tc>
          <w:tcPr>
            <w:tcW w:w="8440" w:type="dxa"/>
            <w:vAlign w:val="bottom"/>
          </w:tcPr>
          <w:p>
            <w:pPr>
              <w:ind w:left="1680"/>
              <w:spacing w:after="0"/>
              <w:rPr>
                <w:sz w:val="20"/>
                <w:szCs w:val="20"/>
                <w:color w:val="auto"/>
              </w:rPr>
            </w:pPr>
            <w:r>
              <w:rPr>
                <w:rFonts w:ascii="Arial" w:cs="Arial" w:eastAsia="Arial" w:hAnsi="Arial"/>
                <w:sz w:val="20"/>
                <w:szCs w:val="20"/>
                <w:color w:val="auto"/>
              </w:rPr>
              <w:t>Determination; Claim</w:t>
            </w:r>
          </w:p>
        </w:tc>
        <w:tc>
          <w:tcPr>
            <w:tcW w:w="2620" w:type="dxa"/>
            <w:vAlign w:val="bottom"/>
          </w:tcPr>
          <w:p>
            <w:pPr>
              <w:jc w:val="right"/>
              <w:spacing w:after="0"/>
              <w:rPr>
                <w:sz w:val="20"/>
                <w:szCs w:val="20"/>
                <w:color w:val="auto"/>
              </w:rPr>
            </w:pPr>
            <w:r>
              <w:rPr>
                <w:rFonts w:ascii="Arial" w:cs="Arial" w:eastAsia="Arial" w:hAnsi="Arial"/>
                <w:sz w:val="20"/>
                <w:szCs w:val="20"/>
                <w:color w:val="auto"/>
              </w:rPr>
              <w:t>25</w:t>
            </w:r>
          </w:p>
        </w:tc>
      </w:tr>
      <w:tr>
        <w:trPr>
          <w:trHeight w:val="222"/>
        </w:trPr>
        <w:tc>
          <w:tcPr>
            <w:tcW w:w="8440" w:type="dxa"/>
            <w:vAlign w:val="bottom"/>
          </w:tcPr>
          <w:p>
            <w:pPr>
              <w:ind w:left="840"/>
              <w:spacing w:after="0" w:line="222" w:lineRule="exact"/>
              <w:rPr>
                <w:sz w:val="20"/>
                <w:szCs w:val="20"/>
                <w:color w:val="auto"/>
              </w:rPr>
            </w:pPr>
            <w:r>
              <w:rPr>
                <w:rFonts w:ascii="Arial" w:cs="Arial" w:eastAsia="Arial" w:hAnsi="Arial"/>
                <w:sz w:val="20"/>
                <w:szCs w:val="20"/>
                <w:color w:val="auto"/>
              </w:rPr>
              <w:t>9.5</w:t>
            </w:r>
          </w:p>
        </w:tc>
        <w:tc>
          <w:tcPr>
            <w:tcW w:w="2620" w:type="dxa"/>
            <w:vAlign w:val="bottom"/>
          </w:tcPr>
          <w:p>
            <w:pPr>
              <w:spacing w:after="0"/>
              <w:rPr>
                <w:sz w:val="19"/>
                <w:szCs w:val="19"/>
                <w:color w:val="auto"/>
              </w:rPr>
            </w:pPr>
          </w:p>
        </w:tc>
      </w:tr>
      <w:tr>
        <w:trPr>
          <w:trHeight w:val="264"/>
        </w:trPr>
        <w:tc>
          <w:tcPr>
            <w:tcW w:w="8440" w:type="dxa"/>
            <w:vAlign w:val="bottom"/>
          </w:tcPr>
          <w:p>
            <w:pPr>
              <w:ind w:left="1680"/>
              <w:spacing w:after="0"/>
              <w:rPr>
                <w:sz w:val="20"/>
                <w:szCs w:val="20"/>
                <w:color w:val="auto"/>
              </w:rPr>
            </w:pPr>
            <w:r>
              <w:rPr>
                <w:rFonts w:ascii="Arial" w:cs="Arial" w:eastAsia="Arial" w:hAnsi="Arial"/>
                <w:sz w:val="20"/>
                <w:szCs w:val="20"/>
                <w:color w:val="auto"/>
              </w:rPr>
              <w:t>Non-Exclusivity of Rights</w:t>
            </w:r>
          </w:p>
        </w:tc>
        <w:tc>
          <w:tcPr>
            <w:tcW w:w="2620" w:type="dxa"/>
            <w:vAlign w:val="bottom"/>
          </w:tcPr>
          <w:p>
            <w:pPr>
              <w:jc w:val="right"/>
              <w:spacing w:after="0"/>
              <w:rPr>
                <w:sz w:val="20"/>
                <w:szCs w:val="20"/>
                <w:color w:val="auto"/>
              </w:rPr>
            </w:pPr>
            <w:r>
              <w:rPr>
                <w:rFonts w:ascii="Arial" w:cs="Arial" w:eastAsia="Arial" w:hAnsi="Arial"/>
                <w:sz w:val="20"/>
                <w:szCs w:val="20"/>
                <w:color w:val="auto"/>
              </w:rPr>
              <w:t>25</w:t>
            </w:r>
          </w:p>
        </w:tc>
      </w:tr>
      <w:tr>
        <w:trPr>
          <w:trHeight w:val="222"/>
        </w:trPr>
        <w:tc>
          <w:tcPr>
            <w:tcW w:w="8440" w:type="dxa"/>
            <w:vAlign w:val="bottom"/>
          </w:tcPr>
          <w:p>
            <w:pPr>
              <w:ind w:left="840"/>
              <w:spacing w:after="0" w:line="222" w:lineRule="exact"/>
              <w:rPr>
                <w:sz w:val="20"/>
                <w:szCs w:val="20"/>
                <w:color w:val="auto"/>
              </w:rPr>
            </w:pPr>
            <w:r>
              <w:rPr>
                <w:rFonts w:ascii="Arial" w:cs="Arial" w:eastAsia="Arial" w:hAnsi="Arial"/>
                <w:sz w:val="20"/>
                <w:szCs w:val="20"/>
                <w:color w:val="auto"/>
              </w:rPr>
              <w:t>9.6</w:t>
            </w:r>
          </w:p>
        </w:tc>
        <w:tc>
          <w:tcPr>
            <w:tcW w:w="2620" w:type="dxa"/>
            <w:vAlign w:val="bottom"/>
          </w:tcPr>
          <w:p>
            <w:pPr>
              <w:spacing w:after="0"/>
              <w:rPr>
                <w:sz w:val="19"/>
                <w:szCs w:val="19"/>
                <w:color w:val="auto"/>
              </w:rPr>
            </w:pPr>
          </w:p>
        </w:tc>
      </w:tr>
      <w:tr>
        <w:trPr>
          <w:trHeight w:val="264"/>
        </w:trPr>
        <w:tc>
          <w:tcPr>
            <w:tcW w:w="8440" w:type="dxa"/>
            <w:vAlign w:val="bottom"/>
          </w:tcPr>
          <w:p>
            <w:pPr>
              <w:ind w:left="1680"/>
              <w:spacing w:after="0"/>
              <w:rPr>
                <w:sz w:val="20"/>
                <w:szCs w:val="20"/>
                <w:color w:val="auto"/>
              </w:rPr>
            </w:pPr>
            <w:r>
              <w:rPr>
                <w:rFonts w:ascii="Arial" w:cs="Arial" w:eastAsia="Arial" w:hAnsi="Arial"/>
                <w:sz w:val="20"/>
                <w:szCs w:val="20"/>
                <w:color w:val="auto"/>
              </w:rPr>
              <w:t>Insurance</w:t>
            </w:r>
          </w:p>
        </w:tc>
        <w:tc>
          <w:tcPr>
            <w:tcW w:w="2620" w:type="dxa"/>
            <w:vAlign w:val="bottom"/>
          </w:tcPr>
          <w:p>
            <w:pPr>
              <w:jc w:val="right"/>
              <w:spacing w:after="0"/>
              <w:rPr>
                <w:sz w:val="20"/>
                <w:szCs w:val="20"/>
                <w:color w:val="auto"/>
              </w:rPr>
            </w:pPr>
            <w:r>
              <w:rPr>
                <w:rFonts w:ascii="Arial" w:cs="Arial" w:eastAsia="Arial" w:hAnsi="Arial"/>
                <w:sz w:val="20"/>
                <w:szCs w:val="20"/>
                <w:color w:val="auto"/>
              </w:rPr>
              <w:t>25</w:t>
            </w:r>
          </w:p>
        </w:tc>
      </w:tr>
      <w:tr>
        <w:trPr>
          <w:trHeight w:val="256"/>
        </w:trPr>
        <w:tc>
          <w:tcPr>
            <w:tcW w:w="8440" w:type="dxa"/>
            <w:vAlign w:val="bottom"/>
          </w:tcPr>
          <w:p>
            <w:pPr>
              <w:ind w:left="840"/>
              <w:spacing w:after="0"/>
              <w:rPr>
                <w:sz w:val="20"/>
                <w:szCs w:val="20"/>
                <w:color w:val="auto"/>
              </w:rPr>
            </w:pPr>
            <w:r>
              <w:rPr>
                <w:rFonts w:ascii="Arial" w:cs="Arial" w:eastAsia="Arial" w:hAnsi="Arial"/>
                <w:sz w:val="20"/>
                <w:szCs w:val="20"/>
                <w:color w:val="auto"/>
              </w:rPr>
              <w:t>9.7</w:t>
            </w:r>
          </w:p>
        </w:tc>
        <w:tc>
          <w:tcPr>
            <w:tcW w:w="2620" w:type="dxa"/>
            <w:vAlign w:val="bottom"/>
          </w:tcPr>
          <w:p>
            <w:pPr>
              <w:spacing w:after="0"/>
              <w:rPr>
                <w:sz w:val="22"/>
                <w:szCs w:val="22"/>
                <w:color w:val="auto"/>
              </w:rPr>
            </w:pPr>
          </w:p>
        </w:tc>
      </w:tr>
    </w:tbl>
    <w:p>
      <w:pPr>
        <w:sectPr>
          <w:pgSz w:w="11900" w:h="16882" w:orient="portrait"/>
          <w:cols w:equalWidth="0" w:num="1">
            <w:col w:w="11060"/>
          </w:cols>
          <w:pgMar w:left="420" w:top="1440" w:right="419" w:bottom="0" w:gutter="0" w:footer="0" w:header="0"/>
        </w:sectPr>
      </w:pPr>
    </w:p>
    <w:bookmarkStart w:id="22" w:name="page23"/>
    <w:bookmarkEnd w:id="2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65"/>
        </w:trPr>
        <w:tc>
          <w:tcPr>
            <w:tcW w:w="7760" w:type="dxa"/>
            <w:vAlign w:val="bottom"/>
          </w:tcPr>
          <w:p>
            <w:pPr>
              <w:ind w:left="1680"/>
              <w:spacing w:after="0"/>
              <w:rPr>
                <w:sz w:val="20"/>
                <w:szCs w:val="20"/>
                <w:color w:val="auto"/>
              </w:rPr>
            </w:pPr>
            <w:r>
              <w:rPr>
                <w:rFonts w:ascii="Arial" w:cs="Arial" w:eastAsia="Arial" w:hAnsi="Arial"/>
                <w:sz w:val="20"/>
                <w:szCs w:val="20"/>
                <w:color w:val="auto"/>
              </w:rPr>
              <w:t>Other Indemnification</w:t>
            </w:r>
          </w:p>
        </w:tc>
        <w:tc>
          <w:tcPr>
            <w:tcW w:w="3300" w:type="dxa"/>
            <w:vAlign w:val="bottom"/>
          </w:tcPr>
          <w:p>
            <w:pPr>
              <w:jc w:val="right"/>
              <w:spacing w:after="0"/>
              <w:rPr>
                <w:sz w:val="20"/>
                <w:szCs w:val="20"/>
                <w:color w:val="auto"/>
              </w:rPr>
            </w:pPr>
            <w:r>
              <w:rPr>
                <w:rFonts w:ascii="Arial" w:cs="Arial" w:eastAsia="Arial" w:hAnsi="Arial"/>
                <w:sz w:val="20"/>
                <w:szCs w:val="20"/>
                <w:color w:val="auto"/>
              </w:rPr>
              <w:t>25</w:t>
            </w:r>
          </w:p>
        </w:tc>
      </w:tr>
      <w:tr>
        <w:trPr>
          <w:trHeight w:val="222"/>
        </w:trPr>
        <w:tc>
          <w:tcPr>
            <w:tcW w:w="7760" w:type="dxa"/>
            <w:vAlign w:val="bottom"/>
          </w:tcPr>
          <w:p>
            <w:pPr>
              <w:jc w:val="center"/>
              <w:ind w:right="5741"/>
              <w:spacing w:after="0" w:line="222" w:lineRule="exact"/>
              <w:rPr>
                <w:sz w:val="20"/>
                <w:szCs w:val="20"/>
                <w:color w:val="auto"/>
              </w:rPr>
            </w:pPr>
            <w:r>
              <w:rPr>
                <w:rFonts w:ascii="Arial" w:cs="Arial" w:eastAsia="Arial" w:hAnsi="Arial"/>
                <w:sz w:val="20"/>
                <w:szCs w:val="20"/>
                <w:color w:val="auto"/>
                <w:w w:val="86"/>
              </w:rPr>
              <w:t>9.8</w:t>
            </w:r>
          </w:p>
        </w:tc>
        <w:tc>
          <w:tcPr>
            <w:tcW w:w="3300" w:type="dxa"/>
            <w:vAlign w:val="bottom"/>
          </w:tcPr>
          <w:p>
            <w:pPr>
              <w:spacing w:after="0"/>
              <w:rPr>
                <w:sz w:val="19"/>
                <w:szCs w:val="19"/>
                <w:color w:val="auto"/>
              </w:rPr>
            </w:pPr>
          </w:p>
        </w:tc>
      </w:tr>
      <w:tr>
        <w:trPr>
          <w:trHeight w:val="264"/>
        </w:trPr>
        <w:tc>
          <w:tcPr>
            <w:tcW w:w="7760" w:type="dxa"/>
            <w:vAlign w:val="bottom"/>
          </w:tcPr>
          <w:p>
            <w:pPr>
              <w:ind w:left="1680"/>
              <w:spacing w:after="0"/>
              <w:rPr>
                <w:sz w:val="20"/>
                <w:szCs w:val="20"/>
                <w:color w:val="auto"/>
              </w:rPr>
            </w:pPr>
            <w:r>
              <w:rPr>
                <w:rFonts w:ascii="Arial" w:cs="Arial" w:eastAsia="Arial" w:hAnsi="Arial"/>
                <w:sz w:val="20"/>
                <w:szCs w:val="20"/>
                <w:color w:val="auto"/>
              </w:rPr>
              <w:t>Continuation of Indemnification</w:t>
            </w:r>
          </w:p>
        </w:tc>
        <w:tc>
          <w:tcPr>
            <w:tcW w:w="3300" w:type="dxa"/>
            <w:vAlign w:val="bottom"/>
          </w:tcPr>
          <w:p>
            <w:pPr>
              <w:jc w:val="right"/>
              <w:spacing w:after="0"/>
              <w:rPr>
                <w:sz w:val="20"/>
                <w:szCs w:val="20"/>
                <w:color w:val="auto"/>
              </w:rPr>
            </w:pPr>
            <w:r>
              <w:rPr>
                <w:rFonts w:ascii="Arial" w:cs="Arial" w:eastAsia="Arial" w:hAnsi="Arial"/>
                <w:sz w:val="20"/>
                <w:szCs w:val="20"/>
                <w:color w:val="auto"/>
              </w:rPr>
              <w:t>25</w:t>
            </w:r>
          </w:p>
        </w:tc>
      </w:tr>
      <w:tr>
        <w:trPr>
          <w:trHeight w:val="222"/>
        </w:trPr>
        <w:tc>
          <w:tcPr>
            <w:tcW w:w="7760" w:type="dxa"/>
            <w:vAlign w:val="bottom"/>
          </w:tcPr>
          <w:p>
            <w:pPr>
              <w:jc w:val="center"/>
              <w:ind w:right="5741"/>
              <w:spacing w:after="0" w:line="222" w:lineRule="exact"/>
              <w:rPr>
                <w:sz w:val="20"/>
                <w:szCs w:val="20"/>
                <w:color w:val="auto"/>
              </w:rPr>
            </w:pPr>
            <w:r>
              <w:rPr>
                <w:rFonts w:ascii="Arial" w:cs="Arial" w:eastAsia="Arial" w:hAnsi="Arial"/>
                <w:sz w:val="20"/>
                <w:szCs w:val="20"/>
                <w:color w:val="auto"/>
                <w:w w:val="86"/>
              </w:rPr>
              <w:t>9.9</w:t>
            </w:r>
          </w:p>
        </w:tc>
        <w:tc>
          <w:tcPr>
            <w:tcW w:w="3300" w:type="dxa"/>
            <w:vAlign w:val="bottom"/>
          </w:tcPr>
          <w:p>
            <w:pPr>
              <w:spacing w:after="0"/>
              <w:rPr>
                <w:sz w:val="19"/>
                <w:szCs w:val="19"/>
                <w:color w:val="auto"/>
              </w:rPr>
            </w:pPr>
          </w:p>
        </w:tc>
      </w:tr>
      <w:tr>
        <w:trPr>
          <w:trHeight w:val="264"/>
        </w:trPr>
        <w:tc>
          <w:tcPr>
            <w:tcW w:w="7760" w:type="dxa"/>
            <w:vAlign w:val="bottom"/>
          </w:tcPr>
          <w:p>
            <w:pPr>
              <w:ind w:left="1680"/>
              <w:spacing w:after="0"/>
              <w:rPr>
                <w:sz w:val="20"/>
                <w:szCs w:val="20"/>
                <w:color w:val="auto"/>
              </w:rPr>
            </w:pPr>
            <w:r>
              <w:rPr>
                <w:rFonts w:ascii="Arial" w:cs="Arial" w:eastAsia="Arial" w:hAnsi="Arial"/>
                <w:sz w:val="20"/>
                <w:szCs w:val="20"/>
                <w:color w:val="auto"/>
              </w:rPr>
              <w:t>Amendment or Repeal; Interpretation</w:t>
            </w:r>
          </w:p>
        </w:tc>
        <w:tc>
          <w:tcPr>
            <w:tcW w:w="3300" w:type="dxa"/>
            <w:vAlign w:val="bottom"/>
          </w:tcPr>
          <w:p>
            <w:pPr>
              <w:jc w:val="right"/>
              <w:spacing w:after="0"/>
              <w:rPr>
                <w:sz w:val="20"/>
                <w:szCs w:val="20"/>
                <w:color w:val="auto"/>
              </w:rPr>
            </w:pPr>
            <w:r>
              <w:rPr>
                <w:rFonts w:ascii="Arial" w:cs="Arial" w:eastAsia="Arial" w:hAnsi="Arial"/>
                <w:sz w:val="20"/>
                <w:szCs w:val="20"/>
                <w:color w:val="auto"/>
              </w:rPr>
              <w:t>25</w:t>
            </w:r>
          </w:p>
        </w:tc>
      </w:tr>
      <w:tr>
        <w:trPr>
          <w:trHeight w:val="540"/>
        </w:trPr>
        <w:tc>
          <w:tcPr>
            <w:tcW w:w="7760" w:type="dxa"/>
            <w:vAlign w:val="bottom"/>
          </w:tcPr>
          <w:p>
            <w:pPr>
              <w:jc w:val="center"/>
              <w:ind w:right="5781"/>
              <w:spacing w:after="0"/>
              <w:rPr>
                <w:sz w:val="20"/>
                <w:szCs w:val="20"/>
                <w:color w:val="auto"/>
              </w:rPr>
            </w:pPr>
            <w:r>
              <w:rPr>
                <w:rFonts w:ascii="Arial" w:cs="Arial" w:eastAsia="Arial" w:hAnsi="Arial"/>
                <w:sz w:val="20"/>
                <w:szCs w:val="20"/>
                <w:color w:val="auto"/>
                <w:w w:val="92"/>
              </w:rPr>
              <w:t>Article X. Amendments</w:t>
            </w:r>
          </w:p>
        </w:tc>
        <w:tc>
          <w:tcPr>
            <w:tcW w:w="3300" w:type="dxa"/>
            <w:vAlign w:val="bottom"/>
          </w:tcPr>
          <w:p>
            <w:pPr>
              <w:jc w:val="right"/>
              <w:spacing w:after="0"/>
              <w:rPr>
                <w:sz w:val="20"/>
                <w:szCs w:val="20"/>
                <w:color w:val="auto"/>
              </w:rPr>
            </w:pPr>
            <w:r>
              <w:rPr>
                <w:rFonts w:ascii="Arial" w:cs="Arial" w:eastAsia="Arial" w:hAnsi="Arial"/>
                <w:sz w:val="20"/>
                <w:szCs w:val="20"/>
                <w:color w:val="auto"/>
              </w:rPr>
              <w:t>26</w:t>
            </w:r>
          </w:p>
        </w:tc>
      </w:tr>
      <w:tr>
        <w:trPr>
          <w:trHeight w:val="540"/>
        </w:trPr>
        <w:tc>
          <w:tcPr>
            <w:tcW w:w="7760" w:type="dxa"/>
            <w:vAlign w:val="bottom"/>
          </w:tcPr>
          <w:p>
            <w:pPr>
              <w:spacing w:after="0"/>
              <w:rPr>
                <w:sz w:val="20"/>
                <w:szCs w:val="20"/>
                <w:color w:val="auto"/>
              </w:rPr>
            </w:pPr>
            <w:r>
              <w:rPr>
                <w:rFonts w:ascii="Arial" w:cs="Arial" w:eastAsia="Arial" w:hAnsi="Arial"/>
                <w:sz w:val="20"/>
                <w:szCs w:val="20"/>
                <w:color w:val="auto"/>
              </w:rPr>
              <w:t>Article XI. Definitions</w:t>
            </w:r>
          </w:p>
        </w:tc>
        <w:tc>
          <w:tcPr>
            <w:tcW w:w="3300" w:type="dxa"/>
            <w:vAlign w:val="bottom"/>
          </w:tcPr>
          <w:p>
            <w:pPr>
              <w:jc w:val="right"/>
              <w:spacing w:after="0"/>
              <w:rPr>
                <w:sz w:val="20"/>
                <w:szCs w:val="20"/>
                <w:color w:val="auto"/>
              </w:rPr>
            </w:pPr>
            <w:r>
              <w:rPr>
                <w:rFonts w:ascii="Arial" w:cs="Arial" w:eastAsia="Arial" w:hAnsi="Arial"/>
                <w:sz w:val="20"/>
                <w:szCs w:val="20"/>
                <w:color w:val="auto"/>
              </w:rPr>
              <w:t>26</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ii</w:t>
      </w:r>
    </w:p>
    <w:p>
      <w:pPr>
        <w:sectPr>
          <w:pgSz w:w="11900" w:h="16838" w:orient="portrait"/>
          <w:cols w:equalWidth="0" w:num="1">
            <w:col w:w="11060"/>
          </w:cols>
          <w:pgMar w:left="420" w:top="68" w:right="419" w:bottom="1440" w:gutter="0" w:footer="0" w:header="0"/>
        </w:sectPr>
      </w:pPr>
    </w:p>
    <w:bookmarkStart w:id="23" w:name="page24"/>
    <w:bookmarkEnd w:id="23"/>
    <w:p>
      <w:pPr>
        <w:jc w:val="center"/>
        <w:spacing w:after="0"/>
        <w:rPr>
          <w:sz w:val="20"/>
          <w:szCs w:val="20"/>
          <w:color w:val="auto"/>
        </w:rPr>
      </w:pPr>
      <w:r>
        <w:rPr>
          <w:rFonts w:ascii="Arial" w:cs="Arial" w:eastAsia="Arial" w:hAnsi="Arial"/>
          <w:sz w:val="20"/>
          <w:szCs w:val="20"/>
          <w:b w:val="1"/>
          <w:bCs w:val="1"/>
          <w:color w:val="auto"/>
        </w:rPr>
        <w:t>Amended and Restated Bylaws of</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Expensify,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I.</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Corporate Offices</w:t>
      </w:r>
    </w:p>
    <w:p>
      <w:pPr>
        <w:spacing w:after="0" w:line="200"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20"/>
          <w:szCs w:val="20"/>
          <w:color w:val="auto"/>
        </w:rPr>
        <w:t>1.1</w:t>
      </w:r>
      <w:r>
        <w:rPr>
          <w:sz w:val="20"/>
          <w:szCs w:val="20"/>
          <w:color w:val="auto"/>
        </w:rPr>
        <w:tab/>
      </w:r>
      <w:r>
        <w:rPr>
          <w:rFonts w:ascii="Arial" w:cs="Arial" w:eastAsia="Arial" w:hAnsi="Arial"/>
          <w:sz w:val="16"/>
          <w:szCs w:val="16"/>
          <w:u w:val="single" w:color="auto"/>
          <w:color w:val="auto"/>
        </w:rPr>
        <w:t>Registered Office</w:t>
      </w:r>
      <w:r>
        <w:rPr>
          <w:rFonts w:ascii="Arial" w:cs="Arial" w:eastAsia="Arial" w:hAnsi="Arial"/>
          <w:sz w:val="16"/>
          <w:szCs w:val="16"/>
          <w:color w:val="auto"/>
        </w:rPr>
        <w:t>.</w:t>
      </w:r>
    </w:p>
    <w:p>
      <w:pPr>
        <w:spacing w:after="0" w:line="216"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The address of the registered office of Expensify, Inc. (the “</w:t>
      </w:r>
      <w:r>
        <w:rPr>
          <w:rFonts w:ascii="Arial" w:cs="Arial" w:eastAsia="Arial" w:hAnsi="Arial"/>
          <w:sz w:val="20"/>
          <w:szCs w:val="20"/>
          <w:u w:val="single" w:color="auto"/>
          <w:color w:val="auto"/>
        </w:rPr>
        <w:t>Corporation</w:t>
      </w:r>
      <w:r>
        <w:rPr>
          <w:rFonts w:ascii="Arial" w:cs="Arial" w:eastAsia="Arial" w:hAnsi="Arial"/>
          <w:sz w:val="20"/>
          <w:szCs w:val="20"/>
          <w:color w:val="auto"/>
        </w:rPr>
        <w:t>”) in the State of Delaware, and the name of its registered agent at such address, shall be as set forth in the Corporation’s certificate of incorporation, as the same may be amended and/or restated from time to time (the “</w:t>
      </w:r>
      <w:r>
        <w:rPr>
          <w:rFonts w:ascii="Arial" w:cs="Arial" w:eastAsia="Arial" w:hAnsi="Arial"/>
          <w:sz w:val="20"/>
          <w:szCs w:val="20"/>
          <w:u w:val="single" w:color="auto"/>
          <w:color w:val="auto"/>
        </w:rPr>
        <w:t>Certificate of Incorporation</w:t>
      </w:r>
      <w:r>
        <w:rPr>
          <w:rFonts w:ascii="Arial" w:cs="Arial" w:eastAsia="Arial" w:hAnsi="Arial"/>
          <w:sz w:val="20"/>
          <w:szCs w:val="20"/>
          <w:color w:val="auto"/>
        </w:rPr>
        <w:t>”).</w:t>
      </w:r>
    </w:p>
    <w:p>
      <w:pPr>
        <w:spacing w:after="0" w:line="186"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20"/>
          <w:szCs w:val="20"/>
          <w:color w:val="auto"/>
        </w:rPr>
        <w:t>1.2</w:t>
      </w:r>
      <w:r>
        <w:rPr>
          <w:sz w:val="20"/>
          <w:szCs w:val="20"/>
          <w:color w:val="auto"/>
        </w:rPr>
        <w:tab/>
      </w:r>
      <w:r>
        <w:rPr>
          <w:rFonts w:ascii="Arial" w:cs="Arial" w:eastAsia="Arial" w:hAnsi="Arial"/>
          <w:sz w:val="18"/>
          <w:szCs w:val="18"/>
          <w:u w:val="single" w:color="auto"/>
          <w:color w:val="auto"/>
        </w:rPr>
        <w:t>Other Offices</w:t>
      </w:r>
      <w:r>
        <w:rPr>
          <w:rFonts w:ascii="Arial" w:cs="Arial" w:eastAsia="Arial" w:hAnsi="Arial"/>
          <w:sz w:val="18"/>
          <w:szCs w:val="18"/>
          <w:color w:val="auto"/>
        </w:rPr>
        <w:t>.</w:t>
      </w:r>
    </w:p>
    <w:p>
      <w:pPr>
        <w:spacing w:after="0" w:line="216" w:lineRule="exact"/>
        <w:rPr>
          <w:sz w:val="20"/>
          <w:szCs w:val="20"/>
          <w:color w:val="auto"/>
        </w:rPr>
      </w:pPr>
    </w:p>
    <w:p>
      <w:pPr>
        <w:jc w:val="both"/>
        <w:ind w:right="20" w:firstLine="648"/>
        <w:spacing w:after="0" w:line="287" w:lineRule="auto"/>
        <w:rPr>
          <w:sz w:val="20"/>
          <w:szCs w:val="20"/>
          <w:color w:val="auto"/>
        </w:rPr>
      </w:pPr>
      <w:r>
        <w:rPr>
          <w:rFonts w:ascii="Arial" w:cs="Arial" w:eastAsia="Arial" w:hAnsi="Arial"/>
          <w:sz w:val="19"/>
          <w:szCs w:val="19"/>
          <w:color w:val="auto"/>
        </w:rPr>
        <w:t>The Corporation may have additional offices at any place or places, within or outside the State of Delaware, as the Corporation’s board of directors (the “</w:t>
      </w:r>
      <w:r>
        <w:rPr>
          <w:rFonts w:ascii="Arial" w:cs="Arial" w:eastAsia="Arial" w:hAnsi="Arial"/>
          <w:sz w:val="19"/>
          <w:szCs w:val="19"/>
          <w:u w:val="single" w:color="auto"/>
          <w:color w:val="auto"/>
        </w:rPr>
        <w:t>Board</w:t>
      </w:r>
      <w:r>
        <w:rPr>
          <w:rFonts w:ascii="Arial" w:cs="Arial" w:eastAsia="Arial" w:hAnsi="Arial"/>
          <w:sz w:val="19"/>
          <w:szCs w:val="19"/>
          <w:color w:val="auto"/>
        </w:rPr>
        <w:t>”) may from time to time establish or as the business of the Corporation may require.</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II.</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Meetings of Stockholders</w:t>
      </w:r>
    </w:p>
    <w:p>
      <w:pPr>
        <w:spacing w:after="0" w:line="200"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20"/>
          <w:szCs w:val="20"/>
          <w:color w:val="auto"/>
        </w:rPr>
        <w:t>2.1</w:t>
      </w:r>
      <w:r>
        <w:rPr>
          <w:sz w:val="20"/>
          <w:szCs w:val="20"/>
          <w:color w:val="auto"/>
        </w:rPr>
        <w:tab/>
      </w:r>
      <w:r>
        <w:rPr>
          <w:rFonts w:ascii="Arial" w:cs="Arial" w:eastAsia="Arial" w:hAnsi="Arial"/>
          <w:sz w:val="16"/>
          <w:szCs w:val="16"/>
          <w:u w:val="single" w:color="auto"/>
          <w:color w:val="auto"/>
        </w:rPr>
        <w:t>Place of Meetings</w:t>
      </w:r>
      <w:r>
        <w:rPr>
          <w:rFonts w:ascii="Arial" w:cs="Arial" w:eastAsia="Arial" w:hAnsi="Arial"/>
          <w:sz w:val="16"/>
          <w:szCs w:val="16"/>
          <w:color w:val="auto"/>
        </w:rPr>
        <w:t>.</w:t>
      </w:r>
    </w:p>
    <w:p>
      <w:pPr>
        <w:spacing w:after="0" w:line="216"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Meetings of stockholders shall be held at any place within or outside the State of Delaware, designated by the Board. The Board may, in its sole discretion, determine that a meeting of stockholders shall not be held at any place, but may instead be held solely by means of remote communication as authorized by Section 211(a)(2) of the General Corporation Law of the State of Delaware (the “</w:t>
      </w:r>
      <w:r>
        <w:rPr>
          <w:rFonts w:ascii="Arial" w:cs="Arial" w:eastAsia="Arial" w:hAnsi="Arial"/>
          <w:sz w:val="18"/>
          <w:szCs w:val="18"/>
          <w:u w:val="single" w:color="auto"/>
          <w:color w:val="auto"/>
        </w:rPr>
        <w:t>DGCL</w:t>
      </w:r>
      <w:r>
        <w:rPr>
          <w:rFonts w:ascii="Arial" w:cs="Arial" w:eastAsia="Arial" w:hAnsi="Arial"/>
          <w:sz w:val="18"/>
          <w:szCs w:val="18"/>
          <w:color w:val="auto"/>
        </w:rPr>
        <w:t>”). In the absence of any such designation or determination, stockholders’ meetings shall be held at the Corporation’s principal executive office.</w:t>
      </w:r>
    </w:p>
    <w:p>
      <w:pPr>
        <w:spacing w:after="0" w:line="161"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20"/>
          <w:szCs w:val="20"/>
          <w:color w:val="auto"/>
        </w:rPr>
        <w:t>2.2</w:t>
      </w:r>
      <w:r>
        <w:rPr>
          <w:sz w:val="20"/>
          <w:szCs w:val="20"/>
          <w:color w:val="auto"/>
        </w:rPr>
        <w:tab/>
      </w:r>
      <w:r>
        <w:rPr>
          <w:rFonts w:ascii="Arial" w:cs="Arial" w:eastAsia="Arial" w:hAnsi="Arial"/>
          <w:sz w:val="18"/>
          <w:szCs w:val="18"/>
          <w:u w:val="single" w:color="auto"/>
          <w:color w:val="auto"/>
        </w:rPr>
        <w:t>Annual Meeting</w:t>
      </w:r>
      <w:r>
        <w:rPr>
          <w:rFonts w:ascii="Arial" w:cs="Arial" w:eastAsia="Arial" w:hAnsi="Arial"/>
          <w:sz w:val="18"/>
          <w:szCs w:val="18"/>
          <w:color w:val="auto"/>
        </w:rPr>
        <w:t>.</w:t>
      </w:r>
    </w:p>
    <w:p>
      <w:pPr>
        <w:spacing w:after="0" w:line="216" w:lineRule="exact"/>
        <w:rPr>
          <w:sz w:val="20"/>
          <w:szCs w:val="20"/>
          <w:color w:val="auto"/>
        </w:rPr>
      </w:pPr>
    </w:p>
    <w:p>
      <w:pPr>
        <w:jc w:val="both"/>
        <w:ind w:right="20" w:firstLine="648"/>
        <w:spacing w:after="0" w:line="250" w:lineRule="auto"/>
        <w:rPr>
          <w:sz w:val="20"/>
          <w:szCs w:val="20"/>
          <w:color w:val="auto"/>
        </w:rPr>
      </w:pPr>
      <w:r>
        <w:rPr>
          <w:rFonts w:ascii="Arial" w:cs="Arial" w:eastAsia="Arial" w:hAnsi="Arial"/>
          <w:sz w:val="20"/>
          <w:szCs w:val="20"/>
          <w:color w:val="auto"/>
        </w:rPr>
        <w:t>The Board shall designate the date and time of the annual meeting. At the annual meeting, directors shall be elected and other proper business properly brought before the meeting in accordance with Section 2.3 of these Bylaws may be transacted. The Board may postpone, reschedule or cancel any previously scheduled annual meeting of stockholders.</w:t>
      </w:r>
    </w:p>
    <w:p>
      <w:pPr>
        <w:spacing w:after="0" w:line="186"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20"/>
          <w:szCs w:val="20"/>
          <w:color w:val="auto"/>
        </w:rPr>
        <w:t>2.3</w:t>
      </w:r>
      <w:r>
        <w:rPr>
          <w:sz w:val="20"/>
          <w:szCs w:val="20"/>
          <w:color w:val="auto"/>
        </w:rPr>
        <w:tab/>
      </w:r>
      <w:r>
        <w:rPr>
          <w:rFonts w:ascii="Arial" w:cs="Arial" w:eastAsia="Arial" w:hAnsi="Arial"/>
          <w:sz w:val="18"/>
          <w:szCs w:val="18"/>
          <w:u w:val="single" w:color="auto"/>
          <w:color w:val="auto"/>
        </w:rPr>
        <w:t>Notice of Business to be Brought before an Annual Meeting</w:t>
      </w:r>
      <w:r>
        <w:rPr>
          <w:rFonts w:ascii="Arial" w:cs="Arial" w:eastAsia="Arial" w:hAnsi="Arial"/>
          <w:sz w:val="18"/>
          <w:szCs w:val="18"/>
          <w:color w:val="auto"/>
        </w:rPr>
        <w:t>.</w:t>
      </w:r>
    </w:p>
    <w:p>
      <w:pPr>
        <w:spacing w:after="0" w:line="216" w:lineRule="exact"/>
        <w:rPr>
          <w:sz w:val="20"/>
          <w:szCs w:val="20"/>
          <w:color w:val="auto"/>
        </w:rPr>
      </w:pPr>
    </w:p>
    <w:p>
      <w:pPr>
        <w:jc w:val="both"/>
        <w:ind w:firstLine="1304"/>
        <w:spacing w:after="0" w:line="276" w:lineRule="auto"/>
        <w:tabs>
          <w:tab w:leader="none" w:pos="1757" w:val="left"/>
        </w:tabs>
        <w:numPr>
          <w:ilvl w:val="0"/>
          <w:numId w:val="17"/>
        </w:numPr>
        <w:rPr>
          <w:rFonts w:ascii="Arial" w:cs="Arial" w:eastAsia="Arial" w:hAnsi="Arial"/>
          <w:sz w:val="18"/>
          <w:szCs w:val="18"/>
          <w:color w:val="auto"/>
        </w:rPr>
      </w:pPr>
      <w:r>
        <w:rPr>
          <w:rFonts w:ascii="Arial" w:cs="Arial" w:eastAsia="Arial" w:hAnsi="Arial"/>
          <w:sz w:val="18"/>
          <w:szCs w:val="18"/>
          <w:color w:val="auto"/>
        </w:rPr>
        <w:t>At an annual meeting of the stockholders, only such business shall be conducted as shall have been properly brought before the meeting. To be properly brought before an annual meeting, business must be (i) specified in a notice of meeting given by or at the direction of the Board, (ii) if not specified in a notice of meeting, otherwise brought before the meeting by the Board or the Chairman of the Board or (iii) otherwise properly brought before the meeting by a stockholder present in person who (A) (1) was a record owner of shares of the Corporation both at the time of giving the notice provided for in this Section 2.3 and at the time of the meeting, (2) is entitled to vote at the meeting, and (3) has complied with this Section 2.3 in all applicable respects or (B) properly made such proposal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w:t>
      </w:r>
    </w:p>
    <w:p>
      <w:pPr>
        <w:sectPr>
          <w:pgSz w:w="11900" w:h="16838" w:orient="portrait"/>
          <w:cols w:equalWidth="0" w:num="1">
            <w:col w:w="11240"/>
          </w:cols>
          <w:pgMar w:left="320" w:top="1413" w:right="339" w:bottom="1440" w:gutter="0" w:footer="0" w:header="0"/>
        </w:sectPr>
      </w:pPr>
    </w:p>
    <w:bookmarkStart w:id="24" w:name="page25"/>
    <w:bookmarkEnd w:id="24"/>
    <w:p>
      <w:pPr>
        <w:jc w:val="both"/>
        <w:spacing w:after="0" w:line="250" w:lineRule="auto"/>
        <w:rPr>
          <w:sz w:val="20"/>
          <w:szCs w:val="20"/>
          <w:color w:val="auto"/>
        </w:rPr>
      </w:pPr>
      <w:r>
        <w:rPr>
          <w:rFonts w:ascii="Arial" w:cs="Arial" w:eastAsia="Arial" w:hAnsi="Arial"/>
          <w:sz w:val="20"/>
          <w:szCs w:val="20"/>
          <w:color w:val="auto"/>
        </w:rPr>
        <w:t>accordance with Rule 14a-8 under the Securities Exchange Act of 1934, as amended, and the rules and regulations thereunder (as so amended and inclusive of such rules and regulations, the “</w:t>
      </w:r>
      <w:r>
        <w:rPr>
          <w:rFonts w:ascii="Arial" w:cs="Arial" w:eastAsia="Arial" w:hAnsi="Arial"/>
          <w:sz w:val="20"/>
          <w:szCs w:val="20"/>
          <w:u w:val="single" w:color="auto"/>
          <w:color w:val="auto"/>
        </w:rPr>
        <w:t>Exchange Act</w:t>
      </w:r>
      <w:r>
        <w:rPr>
          <w:rFonts w:ascii="Arial" w:cs="Arial" w:eastAsia="Arial" w:hAnsi="Arial"/>
          <w:sz w:val="20"/>
          <w:szCs w:val="20"/>
          <w:color w:val="auto"/>
        </w:rPr>
        <w:t>”). The foregoing clause (iii) shall be the exclusive means for a stockholder to propose business to be brought before an annual meeting of the stockholders.</w:t>
      </w:r>
    </w:p>
    <w:p>
      <w:pPr>
        <w:spacing w:after="0" w:line="186" w:lineRule="exact"/>
        <w:rPr>
          <w:sz w:val="20"/>
          <w:szCs w:val="20"/>
          <w:color w:val="auto"/>
        </w:rPr>
      </w:pPr>
    </w:p>
    <w:p>
      <w:pPr>
        <w:jc w:val="both"/>
        <w:ind w:firstLine="1296"/>
        <w:spacing w:after="0" w:line="257" w:lineRule="auto"/>
        <w:rPr>
          <w:sz w:val="20"/>
          <w:szCs w:val="20"/>
          <w:color w:val="auto"/>
        </w:rPr>
      </w:pPr>
      <w:r>
        <w:rPr>
          <w:rFonts w:ascii="Arial" w:cs="Arial" w:eastAsia="Arial" w:hAnsi="Arial"/>
          <w:sz w:val="19"/>
          <w:szCs w:val="19"/>
          <w:color w:val="auto"/>
        </w:rPr>
        <w:t>For purposes of this Section 2.3, “present in person” shall mean that the stockholder proposing that the business be brought before the annual meeting of the Corporation, or a qualified representative of such proposing stockholder, appears at such annual meeting. A “qualified representative” of such proposing stockholder shall be a duly authorized officer, manager or partner of such stockholder or any other person authorized by a writing executed by such stockholder or an electronic transmission delivered by such stockholder to act for such stockholder as proxy at the meeting of stockholders and such person must produce such writing or electronic transmission, or a reliable reproduction of the writing or electronic transmission, at the meeting of stockholders. Stockholders seeking to nominate persons for election to the Board of Directors must comply with Section 2.5 and Section 2.6 and this Section 2.3 shall not be applicable to nominations except as expressly provided in Section 2.5 and Section 2.6.</w:t>
      </w:r>
    </w:p>
    <w:p>
      <w:pPr>
        <w:spacing w:after="0" w:line="180" w:lineRule="exact"/>
        <w:rPr>
          <w:sz w:val="20"/>
          <w:szCs w:val="20"/>
          <w:color w:val="auto"/>
        </w:rPr>
      </w:pPr>
    </w:p>
    <w:p>
      <w:pPr>
        <w:jc w:val="both"/>
        <w:ind w:firstLine="1304"/>
        <w:spacing w:after="0" w:line="249" w:lineRule="auto"/>
        <w:tabs>
          <w:tab w:leader="none" w:pos="1729" w:val="left"/>
        </w:tabs>
        <w:numPr>
          <w:ilvl w:val="0"/>
          <w:numId w:val="18"/>
        </w:numPr>
        <w:rPr>
          <w:rFonts w:ascii="Arial" w:cs="Arial" w:eastAsia="Arial" w:hAnsi="Arial"/>
          <w:sz w:val="19"/>
          <w:szCs w:val="19"/>
          <w:color w:val="auto"/>
        </w:rPr>
      </w:pPr>
      <w:r>
        <w:rPr>
          <w:rFonts w:ascii="Arial" w:cs="Arial" w:eastAsia="Arial" w:hAnsi="Arial"/>
          <w:sz w:val="19"/>
          <w:szCs w:val="19"/>
          <w:color w:val="auto"/>
        </w:rPr>
        <w:t xml:space="preserve">Without qualification, for business to be properly brought before an annual meeting by a stockholder, the business must constitute a proper matter for stockholder action and the stockholder must (i) provide Timely Notice (as defined below) thereof in writing and in proper form to the Secretary of the Corporation and (ii) provide any updates or supplements to such notice at the times and in the forms required by this Section 2.3. To be timely, a stockholder’s notice must be delivered to, or mailed and received at, the principal executive offices of the Corporation not less than ninety (90) days nor more than one hundred twenty (120) days prior to the one-year anniversary of the preceding year’s annual meeting;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in the case of the first annual meeting of stockholders following the closing of the Corporation’s initial underwritten public offering of common stock, the date of the preceding year’s annual meeting shall be deemed to be June 1; </w:t>
      </w:r>
      <w:r>
        <w:rPr>
          <w:rFonts w:ascii="Arial" w:cs="Arial" w:eastAsia="Arial" w:hAnsi="Arial"/>
          <w:sz w:val="19"/>
          <w:szCs w:val="19"/>
          <w:i w:val="1"/>
          <w:iCs w:val="1"/>
          <w:color w:val="auto"/>
        </w:rPr>
        <w:t>provided further, however</w:t>
      </w:r>
      <w:r>
        <w:rPr>
          <w:rFonts w:ascii="Arial" w:cs="Arial" w:eastAsia="Arial" w:hAnsi="Arial"/>
          <w:sz w:val="19"/>
          <w:szCs w:val="19"/>
          <w:color w:val="auto"/>
        </w:rPr>
        <w:t>, that if the date of the annual meeting is more than thirty (30) days before or more than sixty (60) days after such anniversary date, notice by the stockholder to be timely must be so delivered, or mailed and received, not later than the ninetieth (90</w:t>
      </w:r>
      <w:r>
        <w:rPr>
          <w:rFonts w:ascii="Arial" w:cs="Arial" w:eastAsia="Arial" w:hAnsi="Arial"/>
          <w:sz w:val="24"/>
          <w:szCs w:val="24"/>
          <w:color w:val="auto"/>
          <w:vertAlign w:val="superscript"/>
        </w:rPr>
        <w:t>th</w:t>
      </w:r>
      <w:r>
        <w:rPr>
          <w:rFonts w:ascii="Arial" w:cs="Arial" w:eastAsia="Arial" w:hAnsi="Arial"/>
          <w:sz w:val="19"/>
          <w:szCs w:val="19"/>
          <w:color w:val="auto"/>
        </w:rPr>
        <w:t>) day prior to such annual meeting or, if later, the tenth (10</w:t>
      </w:r>
      <w:r>
        <w:rPr>
          <w:rFonts w:ascii="Arial" w:cs="Arial" w:eastAsia="Arial" w:hAnsi="Arial"/>
          <w:sz w:val="24"/>
          <w:szCs w:val="24"/>
          <w:color w:val="auto"/>
          <w:vertAlign w:val="superscript"/>
        </w:rPr>
        <w:t>th</w:t>
      </w:r>
      <w:r>
        <w:rPr>
          <w:rFonts w:ascii="Arial" w:cs="Arial" w:eastAsia="Arial" w:hAnsi="Arial"/>
          <w:sz w:val="19"/>
          <w:szCs w:val="19"/>
          <w:color w:val="auto"/>
        </w:rPr>
        <w:t>) day following the day on which public disclosure of the date of such annual meeting was first made by the Corporation (such notice within such time periods, “</w:t>
      </w:r>
      <w:r>
        <w:rPr>
          <w:rFonts w:ascii="Arial" w:cs="Arial" w:eastAsia="Arial" w:hAnsi="Arial"/>
          <w:sz w:val="19"/>
          <w:szCs w:val="19"/>
          <w:u w:val="single" w:color="auto"/>
          <w:color w:val="auto"/>
        </w:rPr>
        <w:t>Timely Notice</w:t>
      </w:r>
      <w:r>
        <w:rPr>
          <w:rFonts w:ascii="Arial" w:cs="Arial" w:eastAsia="Arial" w:hAnsi="Arial"/>
          <w:sz w:val="19"/>
          <w:szCs w:val="19"/>
          <w:color w:val="auto"/>
        </w:rPr>
        <w:t>”). In no event shall any adjournment or postponement of an annual meeting or the announcement thereof commence a new time period (or extend any time period) for the giving of Timely Notice as described above.</w:t>
      </w:r>
    </w:p>
    <w:p>
      <w:pPr>
        <w:spacing w:after="0" w:line="193" w:lineRule="exact"/>
        <w:rPr>
          <w:rFonts w:ascii="Arial" w:cs="Arial" w:eastAsia="Arial" w:hAnsi="Arial"/>
          <w:sz w:val="19"/>
          <w:szCs w:val="19"/>
          <w:color w:val="auto"/>
        </w:rPr>
      </w:pPr>
    </w:p>
    <w:p>
      <w:pPr>
        <w:ind w:left="1720" w:hanging="416"/>
        <w:spacing w:after="0"/>
        <w:tabs>
          <w:tab w:leader="none" w:pos="1720" w:val="left"/>
        </w:tabs>
        <w:numPr>
          <w:ilvl w:val="0"/>
          <w:numId w:val="18"/>
        </w:numPr>
        <w:rPr>
          <w:rFonts w:ascii="Arial" w:cs="Arial" w:eastAsia="Arial" w:hAnsi="Arial"/>
          <w:sz w:val="20"/>
          <w:szCs w:val="20"/>
          <w:color w:val="auto"/>
        </w:rPr>
      </w:pPr>
      <w:r>
        <w:rPr>
          <w:rFonts w:ascii="Arial" w:cs="Arial" w:eastAsia="Arial" w:hAnsi="Arial"/>
          <w:sz w:val="20"/>
          <w:szCs w:val="20"/>
          <w:color w:val="auto"/>
        </w:rPr>
        <w:t>To be in proper form for purposes of this Section 2.3, a stockholder’s notice to the Secretary shall set forth:</w:t>
      </w:r>
    </w:p>
    <w:p>
      <w:pPr>
        <w:spacing w:after="0" w:line="242" w:lineRule="exact"/>
        <w:rPr>
          <w:rFonts w:ascii="Arial" w:cs="Arial" w:eastAsia="Arial" w:hAnsi="Arial"/>
          <w:sz w:val="20"/>
          <w:szCs w:val="20"/>
          <w:color w:val="auto"/>
        </w:rPr>
      </w:pPr>
    </w:p>
    <w:p>
      <w:pPr>
        <w:jc w:val="both"/>
        <w:ind w:firstLine="1952"/>
        <w:spacing w:after="0" w:line="273" w:lineRule="auto"/>
        <w:tabs>
          <w:tab w:leader="none" w:pos="2539" w:val="left"/>
        </w:tabs>
        <w:numPr>
          <w:ilvl w:val="1"/>
          <w:numId w:val="18"/>
        </w:numPr>
        <w:rPr>
          <w:rFonts w:ascii="Arial" w:cs="Arial" w:eastAsia="Arial" w:hAnsi="Arial"/>
          <w:sz w:val="19"/>
          <w:szCs w:val="19"/>
          <w:color w:val="auto"/>
        </w:rPr>
      </w:pPr>
      <w:r>
        <w:rPr>
          <w:rFonts w:ascii="Arial" w:cs="Arial" w:eastAsia="Arial" w:hAnsi="Arial"/>
          <w:sz w:val="18"/>
          <w:szCs w:val="18"/>
          <w:color w:val="auto"/>
        </w:rPr>
        <w:t>As to each Proposing Person (as defined below), (A) the name and address of such Proposing Person (including, if applicable, the name and address that appear on the Corporation’s books and records); and (B) the class or series and number of shares of the Corporation that are, directly or indirectly, owned of record or beneficially owned (within the meaning of Rule 13d-3 under the Exchange Act) by such Proposing Person, except that such Proposing Person shall in all events be deemed to beneficially own any shares of any class or series of the Corporation as to which such Proposing Person has a right to acquire beneficial ownership at any time in the future (the disclosures to be made pursuant to the foregoing clauses (A) and (B) are referred to as “</w:t>
      </w:r>
      <w:r>
        <w:rPr>
          <w:rFonts w:ascii="Arial" w:cs="Arial" w:eastAsia="Arial" w:hAnsi="Arial"/>
          <w:sz w:val="18"/>
          <w:szCs w:val="18"/>
          <w:u w:val="single" w:color="auto"/>
          <w:color w:val="auto"/>
        </w:rPr>
        <w:t>Stockholder Information</w:t>
      </w:r>
      <w:r>
        <w:rPr>
          <w:rFonts w:ascii="Arial" w:cs="Arial" w:eastAsia="Arial" w:hAnsi="Arial"/>
          <w:sz w:val="18"/>
          <w:szCs w:val="18"/>
          <w:color w:val="auto"/>
        </w:rPr>
        <w:t>”);</w:t>
      </w:r>
    </w:p>
    <w:p>
      <w:pPr>
        <w:spacing w:after="0" w:line="194" w:lineRule="exact"/>
        <w:rPr>
          <w:rFonts w:ascii="Arial" w:cs="Arial" w:eastAsia="Arial" w:hAnsi="Arial"/>
          <w:sz w:val="19"/>
          <w:szCs w:val="19"/>
          <w:color w:val="auto"/>
        </w:rPr>
      </w:pPr>
    </w:p>
    <w:p>
      <w:pPr>
        <w:ind w:right="20" w:firstLine="1952"/>
        <w:spacing w:after="0" w:line="238" w:lineRule="auto"/>
        <w:tabs>
          <w:tab w:leader="none" w:pos="2424" w:val="left"/>
        </w:tabs>
        <w:numPr>
          <w:ilvl w:val="1"/>
          <w:numId w:val="18"/>
        </w:numPr>
        <w:rPr>
          <w:rFonts w:ascii="Arial" w:cs="Arial" w:eastAsia="Arial" w:hAnsi="Arial"/>
          <w:sz w:val="22"/>
          <w:szCs w:val="22"/>
          <w:color w:val="auto"/>
        </w:rPr>
      </w:pPr>
      <w:r>
        <w:rPr>
          <w:rFonts w:ascii="Arial" w:cs="Arial" w:eastAsia="Arial" w:hAnsi="Arial"/>
          <w:sz w:val="20"/>
          <w:szCs w:val="20"/>
          <w:color w:val="auto"/>
        </w:rPr>
        <w:t>As to each Proposing Person, (A) the full notional amount of any securities that, directly or indirectly, underlie any “derivative security” (as such term is defined in Rule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w:t>
      </w:r>
    </w:p>
    <w:p>
      <w:pPr>
        <w:sectPr>
          <w:pgSz w:w="11900" w:h="16838" w:orient="portrait"/>
          <w:cols w:equalWidth="0" w:num="1">
            <w:col w:w="11240"/>
          </w:cols>
          <w:pgMar w:left="320" w:top="1419" w:right="339" w:bottom="1440" w:gutter="0" w:footer="0" w:header="0"/>
        </w:sectPr>
      </w:pPr>
    </w:p>
    <w:bookmarkStart w:id="25" w:name="page26"/>
    <w:bookmarkEnd w:id="25"/>
    <w:p>
      <w:pPr>
        <w:jc w:val="both"/>
        <w:spacing w:after="0" w:line="268" w:lineRule="auto"/>
        <w:rPr>
          <w:sz w:val="20"/>
          <w:szCs w:val="20"/>
          <w:color w:val="auto"/>
        </w:rPr>
      </w:pPr>
      <w:r>
        <w:rPr>
          <w:rFonts w:ascii="Arial" w:cs="Arial" w:eastAsia="Arial" w:hAnsi="Arial"/>
          <w:sz w:val="18"/>
          <w:szCs w:val="18"/>
          <w:color w:val="auto"/>
        </w:rPr>
        <w:t>16a-1(c) under the Exchange Act) that constitutes a “call equivalent position” (as such term is defined in Rule 16a-1(b) under the Exchange Act) (“</w:t>
      </w:r>
      <w:r>
        <w:rPr>
          <w:rFonts w:ascii="Arial" w:cs="Arial" w:eastAsia="Arial" w:hAnsi="Arial"/>
          <w:sz w:val="18"/>
          <w:szCs w:val="18"/>
          <w:u w:val="single" w:color="auto"/>
          <w:color w:val="auto"/>
        </w:rPr>
        <w:t>Synthetic Equity Position</w:t>
      </w:r>
      <w:r>
        <w:rPr>
          <w:rFonts w:ascii="Arial" w:cs="Arial" w:eastAsia="Arial" w:hAnsi="Arial"/>
          <w:sz w:val="18"/>
          <w:szCs w:val="18"/>
          <w:color w:val="auto"/>
        </w:rPr>
        <w:t xml:space="preserve">”) and that is, directly or indirectly, held or maintained by such Proposing Person with respect to any shares of any class or series of shares of the Corporation;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for the purposes of the definition of “Synthetic Equity Position,” the term “derivative security” shall also include any security or instrument that would not otherwise constitute a “derivative security” as a result of any feature that would make any conversion, exercise or similar right or privilege of such security or instrument becoming determinable only at some future date or upon the happening of a future occurrence, in which case the determination of the amount of securities into which such security or instrument would be convertible or exercisable shall be made assuming that such security or instrument is immediately convertible or exercisable at the time of such determination; and, </w:t>
      </w:r>
      <w:r>
        <w:rPr>
          <w:rFonts w:ascii="Arial" w:cs="Arial" w:eastAsia="Arial" w:hAnsi="Arial"/>
          <w:sz w:val="18"/>
          <w:szCs w:val="18"/>
          <w:i w:val="1"/>
          <w:iCs w:val="1"/>
          <w:color w:val="auto"/>
        </w:rPr>
        <w:t>provided, further,</w:t>
      </w:r>
      <w:r>
        <w:rPr>
          <w:rFonts w:ascii="Arial" w:cs="Arial" w:eastAsia="Arial" w:hAnsi="Arial"/>
          <w:sz w:val="18"/>
          <w:szCs w:val="18"/>
          <w:color w:val="auto"/>
        </w:rPr>
        <w:t xml:space="preserve"> that any Proposing Person satisfying the requirements of Rule 13d-1(b)(1) under the Exchange Act (other than a Proposing Person that so satisfies Rule 13d-1(b)(1) under the Exchange Act solely by reason of Rule 13d-1(b)(1)(ii)(E)) shall not be deemed to hold or maintain the notional amount of any securities that underlie a Synthetic Equity Position held by such Proposing Person as a hedge with respect to a bona fide derivatives trade or position of such Proposing Person arising in the ordinary course of such Proposing Person's business as a derivatives dealer, (B) any rights to dividends on the shares of any class or series of shares of the Corporation owned beneficially by such Proposing Person that are separated or separable from the underlying shares of the Corporation, (C) any material pending or threatened legal proceeding in which such Proposing Person is a party or material participant involving the Corporation or any of its officers or directors, or any affiliate of the Corporation, (D) any other material relationship between such Proposing Person, on the one hand, and the Corporation or any affiliate of the Corporation, on the other hand, (E) any direct or indirect material interest in any material contract or agreement of such Proposing Person with the Corporation or any affiliate of the Corporation (including, in any such case, any employment agreement, collective bargaining agreement or consulting agreement), (F) a representation that such Proposing Person intends or is part of a group which intends to deliver a proxy statement or form of proxy to holders of at least the percentage of the Corporation’s outstanding capital stock required to approve or adopt the proposal or otherwise solicit proxies or votes from stockholders in support of such proposal and (G) any other information relating to such Proposing Person that would be required to be disclosed in a proxy statement or other filing required to be made in connection with solicitations of proxies or consents by such Proposing Person in support of the business proposed to be brought before the meeting pursuant to Section 14(a) of the Exchange Act (the disclosures to be made pursuant to the foregoing clauses (A) through (G) are referred to as “</w:t>
      </w:r>
      <w:r>
        <w:rPr>
          <w:rFonts w:ascii="Arial" w:cs="Arial" w:eastAsia="Arial" w:hAnsi="Arial"/>
          <w:sz w:val="18"/>
          <w:szCs w:val="18"/>
          <w:u w:val="single" w:color="auto"/>
          <w:color w:val="auto"/>
        </w:rPr>
        <w:t>Disclosable Interests</w:t>
      </w:r>
      <w:r>
        <w:rPr>
          <w:rFonts w:ascii="Arial" w:cs="Arial" w:eastAsia="Arial" w:hAnsi="Arial"/>
          <w:sz w:val="18"/>
          <w:szCs w:val="18"/>
          <w:color w:val="auto"/>
        </w:rPr>
        <w:t xml:space="preserv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Disclosable Interests shall not include any such disclosures with respect to the ordinary course business activities of any broker, dealer, commercial bank, trust company or other nominee who is a Proposing Person solely as a result of being the stockholder directed to prepare and submit the notice required by these Bylaws on behalf of a beneficial owner; and</w:t>
      </w:r>
    </w:p>
    <w:p>
      <w:pPr>
        <w:spacing w:after="0" w:line="199" w:lineRule="exact"/>
        <w:rPr>
          <w:sz w:val="20"/>
          <w:szCs w:val="20"/>
          <w:color w:val="auto"/>
        </w:rPr>
      </w:pPr>
    </w:p>
    <w:p>
      <w:pPr>
        <w:jc w:val="both"/>
        <w:ind w:firstLine="1952"/>
        <w:spacing w:after="0" w:line="288" w:lineRule="auto"/>
        <w:tabs>
          <w:tab w:leader="none" w:pos="2565" w:val="left"/>
        </w:tabs>
        <w:numPr>
          <w:ilvl w:val="0"/>
          <w:numId w:val="19"/>
        </w:numPr>
        <w:rPr>
          <w:rFonts w:ascii="Arial" w:cs="Arial" w:eastAsia="Arial" w:hAnsi="Arial"/>
          <w:sz w:val="18"/>
          <w:szCs w:val="18"/>
          <w:color w:val="auto"/>
        </w:rPr>
      </w:pPr>
      <w:r>
        <w:rPr>
          <w:rFonts w:ascii="Arial" w:cs="Arial" w:eastAsia="Arial" w:hAnsi="Arial"/>
          <w:sz w:val="17"/>
          <w:szCs w:val="17"/>
          <w:color w:val="auto"/>
        </w:rPr>
        <w:t>As to each item of business that the stockholder proposes to bring before the annual meeting, (A) a brief description of the business desired to be brought before the annual meeting, the reasons for conducting such business at the annual meeting and any material interest in such business of each Proposing Person, (B) the text of the proposal or business (including the text of any resolutions proposed for consideration and in the event that such business includes a proposal to amend the Bylaws, the language of the proposed amendment), and (C) a reasonably detailed description of all agreements, arrangements and understandings (x) between or among any of the Proposing Persons or (y) between or among any Proposing Person and any other record or beneficial holder(s) or persons(s) who have a right to acquire beneficial ownership at any time in the future of the shares of any class or series of the Corporation (including their names) in connection with the proposal of such business by such stockholder; and (D) any other information relating to such item of business that would be required to be disclosed in a proxy statement or other filing required to be made in connection with solicitations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w:t>
      </w:r>
    </w:p>
    <w:p>
      <w:pPr>
        <w:sectPr>
          <w:pgSz w:w="11900" w:h="16838" w:orient="portrait"/>
          <w:cols w:equalWidth="0" w:num="1">
            <w:col w:w="11240"/>
          </w:cols>
          <w:pgMar w:left="320" w:top="1419" w:right="339" w:bottom="1440" w:gutter="0" w:footer="0" w:header="0"/>
        </w:sectPr>
      </w:pPr>
    </w:p>
    <w:bookmarkStart w:id="26" w:name="page27"/>
    <w:bookmarkEnd w:id="26"/>
    <w:p>
      <w:pPr>
        <w:jc w:val="both"/>
        <w:spacing w:after="0" w:line="246" w:lineRule="auto"/>
        <w:rPr>
          <w:sz w:val="20"/>
          <w:szCs w:val="20"/>
          <w:color w:val="auto"/>
        </w:rPr>
      </w:pPr>
      <w:r>
        <w:rPr>
          <w:rFonts w:ascii="Arial" w:cs="Arial" w:eastAsia="Arial" w:hAnsi="Arial"/>
          <w:sz w:val="20"/>
          <w:szCs w:val="20"/>
          <w:color w:val="auto"/>
        </w:rPr>
        <w:t xml:space="preserve">proxies in support of the business proposed to be brought before the meeting pursuant to Section 14(a) of the Exchange Act; </w:t>
      </w:r>
      <w:r>
        <w:rPr>
          <w:rFonts w:ascii="Arial" w:cs="Arial" w:eastAsia="Arial" w:hAnsi="Arial"/>
          <w:sz w:val="20"/>
          <w:szCs w:val="20"/>
          <w:i w:val="1"/>
          <w:iCs w:val="1"/>
          <w:color w:val="auto"/>
        </w:rPr>
        <w:t>provided</w:t>
      </w:r>
      <w:r>
        <w:rPr>
          <w:rFonts w:ascii="Arial" w:cs="Arial" w:eastAsia="Arial" w:hAnsi="Arial"/>
          <w:sz w:val="20"/>
          <w:szCs w:val="20"/>
          <w:color w:val="auto"/>
        </w:rPr>
        <w:t xml:space="preserve">, </w:t>
      </w:r>
      <w:r>
        <w:rPr>
          <w:rFonts w:ascii="Arial" w:cs="Arial" w:eastAsia="Arial" w:hAnsi="Arial"/>
          <w:sz w:val="20"/>
          <w:szCs w:val="20"/>
          <w:i w:val="1"/>
          <w:iCs w:val="1"/>
          <w:color w:val="auto"/>
        </w:rPr>
        <w:t>however</w:t>
      </w:r>
      <w:r>
        <w:rPr>
          <w:rFonts w:ascii="Arial" w:cs="Arial" w:eastAsia="Arial" w:hAnsi="Arial"/>
          <w:sz w:val="20"/>
          <w:szCs w:val="20"/>
          <w:color w:val="auto"/>
        </w:rPr>
        <w:t>, that the disclosures required by this paragraph (iii) shall not include any disclosures with respect to any broker, dealer, commercial</w:t>
      </w:r>
      <w:r>
        <w:rPr>
          <w:rFonts w:ascii="Arial" w:cs="Arial" w:eastAsia="Arial" w:hAnsi="Arial"/>
          <w:sz w:val="20"/>
          <w:szCs w:val="20"/>
          <w:i w:val="1"/>
          <w:iCs w:val="1"/>
          <w:color w:val="auto"/>
        </w:rPr>
        <w:t xml:space="preserve"> </w:t>
      </w:r>
      <w:r>
        <w:rPr>
          <w:rFonts w:ascii="Arial" w:cs="Arial" w:eastAsia="Arial" w:hAnsi="Arial"/>
          <w:sz w:val="20"/>
          <w:szCs w:val="20"/>
          <w:color w:val="auto"/>
        </w:rPr>
        <w:t>bank, trust company or other nominee who is a Proposing Person solely as a result of being the stockholder directed to prepare and submit the notice required by these Bylaws on behalf of a beneficial owner.</w:t>
      </w:r>
    </w:p>
    <w:p>
      <w:pPr>
        <w:spacing w:after="0" w:line="191"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For purposes of this Section 2.3, the term “</w:t>
      </w:r>
      <w:r>
        <w:rPr>
          <w:rFonts w:ascii="Arial" w:cs="Arial" w:eastAsia="Arial" w:hAnsi="Arial"/>
          <w:sz w:val="20"/>
          <w:szCs w:val="20"/>
          <w:u w:val="single" w:color="auto"/>
          <w:color w:val="auto"/>
        </w:rPr>
        <w:t>Proposing Person</w:t>
      </w:r>
      <w:r>
        <w:rPr>
          <w:rFonts w:ascii="Arial" w:cs="Arial" w:eastAsia="Arial" w:hAnsi="Arial"/>
          <w:sz w:val="20"/>
          <w:szCs w:val="20"/>
          <w:color w:val="auto"/>
        </w:rPr>
        <w:t>” shall mean (i) the stockholder providing the notice of business proposed to be brought before an annual meeting, (ii) the beneficial owner or beneficial owners, if different, on whose behalf the notice of the business proposed to be brought before the annual meeting is made, and (iii) any participant (as defined in paragraphs (a)(ii)-(vi) of Instruction 3 to Item 4 of Schedule 14A) with such stockholder in such solicitation.</w:t>
      </w:r>
    </w:p>
    <w:p>
      <w:pPr>
        <w:spacing w:after="0" w:line="191" w:lineRule="exact"/>
        <w:rPr>
          <w:sz w:val="20"/>
          <w:szCs w:val="20"/>
          <w:color w:val="auto"/>
        </w:rPr>
      </w:pPr>
    </w:p>
    <w:p>
      <w:pPr>
        <w:jc w:val="both"/>
        <w:ind w:firstLine="1304"/>
        <w:spacing w:after="0" w:line="302" w:lineRule="auto"/>
        <w:tabs>
          <w:tab w:leader="none" w:pos="1779" w:val="left"/>
        </w:tabs>
        <w:numPr>
          <w:ilvl w:val="1"/>
          <w:numId w:val="20"/>
        </w:numPr>
        <w:rPr>
          <w:rFonts w:ascii="Arial" w:cs="Arial" w:eastAsia="Arial" w:hAnsi="Arial"/>
          <w:sz w:val="16"/>
          <w:szCs w:val="16"/>
          <w:color w:val="auto"/>
        </w:rPr>
      </w:pPr>
      <w:r>
        <w:rPr>
          <w:rFonts w:ascii="Arial" w:cs="Arial" w:eastAsia="Arial" w:hAnsi="Arial"/>
          <w:sz w:val="16"/>
          <w:szCs w:val="16"/>
          <w:color w:val="auto"/>
        </w:rPr>
        <w:t>A Proposing Person shall update and supplement its notice to the Corporation of its intent to propose business at an annual meeting, if necessary, so that the information provided or required to be provided in such notice pursuant to this Section 2.3 shall be true and correct as of the record date for stockholders entitled to vote at the meeting and as of the date that is ten (10) business days prior to the meeting or any adjournment or postponement thereof, and such update and supplement shall be delivered to, or mailed and received by, the Secretary at the principal executive offices of the Corporation not later than five (5) business days after the record date for stockholders entitled to vote at the meeting (in the case of the update and supplement required to be made as of such record date), and not later than eight</w:t>
      </w:r>
    </w:p>
    <w:p>
      <w:pPr>
        <w:spacing w:after="0" w:line="3" w:lineRule="exact"/>
        <w:rPr>
          <w:rFonts w:ascii="Arial" w:cs="Arial" w:eastAsia="Arial" w:hAnsi="Arial"/>
          <w:sz w:val="16"/>
          <w:szCs w:val="16"/>
          <w:color w:val="auto"/>
        </w:rPr>
      </w:pPr>
    </w:p>
    <w:p>
      <w:pPr>
        <w:jc w:val="both"/>
        <w:ind w:firstLine="8"/>
        <w:spacing w:after="0"/>
        <w:tabs>
          <w:tab w:leader="none" w:pos="285" w:val="left"/>
        </w:tabs>
        <w:numPr>
          <w:ilvl w:val="0"/>
          <w:numId w:val="21"/>
        </w:numPr>
        <w:rPr>
          <w:rFonts w:ascii="Arial" w:cs="Arial" w:eastAsia="Arial" w:hAnsi="Arial"/>
          <w:sz w:val="20"/>
          <w:szCs w:val="20"/>
          <w:color w:val="auto"/>
        </w:rPr>
      </w:pPr>
      <w:r>
        <w:rPr>
          <w:rFonts w:ascii="Arial" w:cs="Arial" w:eastAsia="Arial" w:hAnsi="Arial"/>
          <w:sz w:val="20"/>
          <w:szCs w:val="20"/>
          <w:color w:val="auto"/>
        </w:rPr>
        <w:t>business days prior to the date for the meeting or, if practicable, any adjournment or postponement thereof (and, if not practicable, on the first practicable date prior to the date to which the meeting has been adjourned or postponed) (in the case of the update and supplement required to be made as of ten (10) business days prior to the meeting or any adjournment or postponement thereof). For the avoidance of doubt, the obligation to update and supplement as set forth in this paragraph or any other Section of these Bylaws shall not limit the Corporation’s rights with respect to any deficiencies in any notice provided by a stockholder, extend any applicable deadlines hereunder or enable or be deemed to permit a stockholder who has previously submitted notice hereunder to amend or update any proposal or to submit any new proposal, including by changing or adding matters, business or resolutions proposed to be brought before a meeting of the stockholders.</w:t>
      </w:r>
    </w:p>
    <w:p>
      <w:pPr>
        <w:spacing w:after="0" w:line="196" w:lineRule="exact"/>
        <w:rPr>
          <w:rFonts w:ascii="Arial" w:cs="Arial" w:eastAsia="Arial" w:hAnsi="Arial"/>
          <w:sz w:val="20"/>
          <w:szCs w:val="20"/>
          <w:color w:val="auto"/>
        </w:rPr>
      </w:pPr>
    </w:p>
    <w:p>
      <w:pPr>
        <w:jc w:val="both"/>
        <w:ind w:firstLine="1304"/>
        <w:spacing w:after="0" w:line="282" w:lineRule="auto"/>
        <w:tabs>
          <w:tab w:leader="none" w:pos="1750" w:val="left"/>
        </w:tabs>
        <w:numPr>
          <w:ilvl w:val="1"/>
          <w:numId w:val="21"/>
        </w:numPr>
        <w:rPr>
          <w:rFonts w:ascii="Arial" w:cs="Arial" w:eastAsia="Arial" w:hAnsi="Arial"/>
          <w:sz w:val="18"/>
          <w:szCs w:val="18"/>
          <w:color w:val="auto"/>
        </w:rPr>
      </w:pPr>
      <w:r>
        <w:rPr>
          <w:rFonts w:ascii="Arial" w:cs="Arial" w:eastAsia="Arial" w:hAnsi="Arial"/>
          <w:sz w:val="18"/>
          <w:szCs w:val="18"/>
          <w:color w:val="auto"/>
        </w:rPr>
        <w:t>Notwithstanding anything in these Bylaws to the contrary, no business shall be conducted at an annual meeting that is not properly brought before the meeting in accordance with this Section 2.3. The presiding officer of the meeting shall, if the facts warrant, determine that the business was not properly brought before the meeting in accordance with this Section 2.3, and if he or she should so determine, he or she shall so declare to the meeting and any such business not properly brought before the meeting shall not be transacted.</w:t>
      </w:r>
    </w:p>
    <w:p>
      <w:pPr>
        <w:spacing w:after="0" w:line="161" w:lineRule="exact"/>
        <w:rPr>
          <w:rFonts w:ascii="Arial" w:cs="Arial" w:eastAsia="Arial" w:hAnsi="Arial"/>
          <w:sz w:val="18"/>
          <w:szCs w:val="18"/>
          <w:color w:val="auto"/>
        </w:rPr>
      </w:pPr>
    </w:p>
    <w:p>
      <w:pPr>
        <w:jc w:val="both"/>
        <w:ind w:firstLine="1304"/>
        <w:spacing w:after="0" w:line="243" w:lineRule="auto"/>
        <w:tabs>
          <w:tab w:leader="none" w:pos="1763" w:val="left"/>
        </w:tabs>
        <w:numPr>
          <w:ilvl w:val="1"/>
          <w:numId w:val="21"/>
        </w:numPr>
        <w:rPr>
          <w:rFonts w:ascii="Arial" w:cs="Arial" w:eastAsia="Arial" w:hAnsi="Arial"/>
          <w:sz w:val="20"/>
          <w:szCs w:val="20"/>
          <w:color w:val="auto"/>
        </w:rPr>
      </w:pPr>
      <w:r>
        <w:rPr>
          <w:rFonts w:ascii="Arial" w:cs="Arial" w:eastAsia="Arial" w:hAnsi="Arial"/>
          <w:sz w:val="20"/>
          <w:szCs w:val="20"/>
          <w:color w:val="auto"/>
        </w:rPr>
        <w:t>This Section 2.3 is expressly intended to apply to any business proposed to be brought before an annual meeting of stockholders other than any proposal made in accordance with Rule 14a-8 under the Exchange Act and included in the Corporation’s proxy statement. In addition to the requirements of this Section 2.3 with respect to any business proposed to be brought before an annual meeting, each Proposing Person shall comply with all applicable requirements of the Exchange Act with respect to any such business. Nothing in this Section 2.3 shall be deemed to affect the rights of stockholders to request inclusion of proposals in the Corporation’s proxy statement pursuant to Rule 14a-8 under the Exchange 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4</w:t>
      </w:r>
    </w:p>
    <w:p>
      <w:pPr>
        <w:sectPr>
          <w:pgSz w:w="11900" w:h="16838" w:orient="portrait"/>
          <w:cols w:equalWidth="0" w:num="1">
            <w:col w:w="11240"/>
          </w:cols>
          <w:pgMar w:left="320" w:top="1419" w:right="339" w:bottom="1440" w:gutter="0" w:footer="0" w:header="0"/>
        </w:sectPr>
      </w:pPr>
    </w:p>
    <w:bookmarkStart w:id="27" w:name="page28"/>
    <w:bookmarkEnd w:id="27"/>
    <w:p>
      <w:pPr>
        <w:jc w:val="both"/>
        <w:ind w:firstLine="1304"/>
        <w:spacing w:after="0" w:line="250" w:lineRule="auto"/>
        <w:tabs>
          <w:tab w:leader="none" w:pos="1749" w:val="left"/>
        </w:tabs>
        <w:numPr>
          <w:ilvl w:val="0"/>
          <w:numId w:val="22"/>
        </w:numPr>
        <w:rPr>
          <w:rFonts w:ascii="Arial" w:cs="Arial" w:eastAsia="Arial" w:hAnsi="Arial"/>
          <w:sz w:val="20"/>
          <w:szCs w:val="20"/>
          <w:color w:val="auto"/>
        </w:rPr>
      </w:pPr>
      <w:r>
        <w:rPr>
          <w:rFonts w:ascii="Arial" w:cs="Arial" w:eastAsia="Arial" w:hAnsi="Arial"/>
          <w:sz w:val="20"/>
          <w:szCs w:val="20"/>
          <w:color w:val="auto"/>
        </w:rPr>
        <w:t>For purposes of these Bylaws, “</w:t>
      </w:r>
      <w:r>
        <w:rPr>
          <w:rFonts w:ascii="Arial" w:cs="Arial" w:eastAsia="Arial" w:hAnsi="Arial"/>
          <w:sz w:val="20"/>
          <w:szCs w:val="20"/>
          <w:u w:val="single" w:color="auto"/>
          <w:color w:val="auto"/>
        </w:rPr>
        <w:t>public disclosure</w:t>
      </w:r>
      <w:r>
        <w:rPr>
          <w:rFonts w:ascii="Arial" w:cs="Arial" w:eastAsia="Arial" w:hAnsi="Arial"/>
          <w:sz w:val="20"/>
          <w:szCs w:val="20"/>
          <w:color w:val="auto"/>
        </w:rPr>
        <w:t>” shall mean disclosure in a press release reported by a national news service or in a document publicly filed by the Corporation with the Securities and Exchange Commission pursuant to Sections 13, 14 or 15(d) of the Exchange Act.</w:t>
      </w:r>
    </w:p>
    <w:p>
      <w:pPr>
        <w:spacing w:after="0" w:line="186"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20"/>
          <w:szCs w:val="20"/>
          <w:color w:val="auto"/>
        </w:rPr>
        <w:t>2.4</w:t>
      </w:r>
      <w:r>
        <w:rPr>
          <w:sz w:val="20"/>
          <w:szCs w:val="20"/>
          <w:color w:val="auto"/>
        </w:rPr>
        <w:tab/>
      </w:r>
      <w:r>
        <w:rPr>
          <w:rFonts w:ascii="Arial" w:cs="Arial" w:eastAsia="Arial" w:hAnsi="Arial"/>
          <w:sz w:val="16"/>
          <w:szCs w:val="16"/>
          <w:u w:val="single" w:color="auto"/>
          <w:color w:val="auto"/>
        </w:rPr>
        <w:t>Special Meetings</w:t>
      </w:r>
      <w:r>
        <w:rPr>
          <w:rFonts w:ascii="Arial" w:cs="Arial" w:eastAsia="Arial" w:hAnsi="Arial"/>
          <w:sz w:val="16"/>
          <w:szCs w:val="16"/>
          <w:color w:val="auto"/>
        </w:rPr>
        <w:t>.</w:t>
      </w:r>
    </w:p>
    <w:p>
      <w:pPr>
        <w:spacing w:after="0" w:line="216" w:lineRule="exact"/>
        <w:rPr>
          <w:sz w:val="20"/>
          <w:szCs w:val="20"/>
          <w:color w:val="auto"/>
        </w:rPr>
      </w:pPr>
    </w:p>
    <w:p>
      <w:pPr>
        <w:jc w:val="both"/>
        <w:ind w:firstLine="1304"/>
        <w:spacing w:after="0" w:line="246" w:lineRule="auto"/>
        <w:tabs>
          <w:tab w:leader="none" w:pos="1767" w:val="left"/>
        </w:tabs>
        <w:numPr>
          <w:ilvl w:val="0"/>
          <w:numId w:val="23"/>
        </w:numPr>
        <w:rPr>
          <w:rFonts w:ascii="Arial" w:cs="Arial" w:eastAsia="Arial" w:hAnsi="Arial"/>
          <w:sz w:val="20"/>
          <w:szCs w:val="20"/>
          <w:color w:val="auto"/>
        </w:rPr>
      </w:pPr>
      <w:r>
        <w:rPr>
          <w:rFonts w:ascii="Arial" w:cs="Arial" w:eastAsia="Arial" w:hAnsi="Arial"/>
          <w:sz w:val="20"/>
          <w:szCs w:val="20"/>
          <w:color w:val="auto"/>
        </w:rPr>
        <w:t>Special meetings of the stockholders may be called only by such persons and only in such manner as set forth in the Certificate of Incorporation. Business transacted at any special meeting of stockholders shall be limited to matters relating to the purpose or purposes stated in the notice of meeting. The Board may postpone, reschedule or cancel any previously scheduled special meeting of stockholders.</w:t>
      </w:r>
    </w:p>
    <w:p>
      <w:pPr>
        <w:spacing w:after="0" w:line="191" w:lineRule="exact"/>
        <w:rPr>
          <w:rFonts w:ascii="Arial" w:cs="Arial" w:eastAsia="Arial" w:hAnsi="Arial"/>
          <w:sz w:val="20"/>
          <w:szCs w:val="20"/>
          <w:color w:val="auto"/>
        </w:rPr>
      </w:pPr>
    </w:p>
    <w:p>
      <w:pPr>
        <w:jc w:val="both"/>
        <w:ind w:firstLine="1304"/>
        <w:spacing w:after="0" w:line="255" w:lineRule="auto"/>
        <w:tabs>
          <w:tab w:leader="none" w:pos="1799" w:val="left"/>
        </w:tabs>
        <w:numPr>
          <w:ilvl w:val="0"/>
          <w:numId w:val="23"/>
        </w:numPr>
        <w:rPr>
          <w:rFonts w:ascii="Arial" w:cs="Arial" w:eastAsia="Arial" w:hAnsi="Arial"/>
          <w:sz w:val="19"/>
          <w:szCs w:val="19"/>
          <w:color w:val="auto"/>
        </w:rPr>
      </w:pPr>
      <w:r>
        <w:rPr>
          <w:rFonts w:ascii="Arial" w:cs="Arial" w:eastAsia="Arial" w:hAnsi="Arial"/>
          <w:sz w:val="19"/>
          <w:szCs w:val="19"/>
          <w:color w:val="auto"/>
        </w:rPr>
        <w:t>In order for a stockholder to call a special meeting of stockholders as permitted by and subject to the Certificate of Incorporation, such holder must deliver in writing and in proper form to the Secretary of the Corporation at the principal executive offices of the Corporation a written demand to call such special meeting in accordance with, and subject to, this Section 2.4. Such demand must be made by a stockholder of record as of the date of such demand (the “</w:t>
      </w:r>
      <w:r>
        <w:rPr>
          <w:rFonts w:ascii="Arial" w:cs="Arial" w:eastAsia="Arial" w:hAnsi="Arial"/>
          <w:sz w:val="19"/>
          <w:szCs w:val="19"/>
          <w:u w:val="single" w:color="auto"/>
          <w:color w:val="auto"/>
        </w:rPr>
        <w:t>Demand Record Date</w:t>
      </w:r>
      <w:r>
        <w:rPr>
          <w:rFonts w:ascii="Arial" w:cs="Arial" w:eastAsia="Arial" w:hAnsi="Arial"/>
          <w:sz w:val="19"/>
          <w:szCs w:val="19"/>
          <w:color w:val="auto"/>
        </w:rPr>
        <w:t>”) who holds at least a majority of the total voting power of the outstanding shares of capital stock of the Corporation entitled to vote generally in the election of directors (the “</w:t>
      </w:r>
      <w:r>
        <w:rPr>
          <w:rFonts w:ascii="Arial" w:cs="Arial" w:eastAsia="Arial" w:hAnsi="Arial"/>
          <w:sz w:val="19"/>
          <w:szCs w:val="19"/>
          <w:u w:val="single" w:color="auto"/>
          <w:color w:val="auto"/>
        </w:rPr>
        <w:t>Requisite</w:t>
      </w:r>
      <w:r>
        <w:rPr>
          <w:rFonts w:ascii="Arial" w:cs="Arial" w:eastAsia="Arial" w:hAnsi="Arial"/>
          <w:sz w:val="19"/>
          <w:szCs w:val="19"/>
          <w:color w:val="auto"/>
        </w:rPr>
        <w:t xml:space="preserve"> </w:t>
      </w:r>
      <w:r>
        <w:rPr>
          <w:rFonts w:ascii="Arial" w:cs="Arial" w:eastAsia="Arial" w:hAnsi="Arial"/>
          <w:sz w:val="19"/>
          <w:szCs w:val="19"/>
          <w:u w:val="single" w:color="auto"/>
          <w:color w:val="auto"/>
        </w:rPr>
        <w:t>Percentage</w:t>
      </w:r>
      <w:r>
        <w:rPr>
          <w:rFonts w:ascii="Arial" w:cs="Arial" w:eastAsia="Arial" w:hAnsi="Arial"/>
          <w:sz w:val="19"/>
          <w:szCs w:val="19"/>
          <w:color w:val="auto"/>
        </w:rPr>
        <w:t>”). Only a stockholder of record who holds the Requisite Percentage on the Demand Record Date shall be entitled to demand that the Secretary of the Corporation call a special meeting of the stockholders pursuant to this Section 2.4. The notice of a special meeting shall state the purpose or purposes of the special meeting, and the business to be conducted at the special meeting shall be limited to the purpose or purposes stated in the notice and otherwise comply with the procedures set forth in this Section 2.4. Except in accordance with this Section 2.4, stockholders shall not be permitted to propose business to be brought before a special meeting of the stockholders. A stockholder who nominates persons for election to the board of directors at a special meeting must also comply with the requirements set forth in Section 2.5 and Section 2.6.</w:t>
      </w:r>
    </w:p>
    <w:p>
      <w:pPr>
        <w:spacing w:after="0" w:line="184" w:lineRule="exact"/>
        <w:rPr>
          <w:rFonts w:ascii="Arial" w:cs="Arial" w:eastAsia="Arial" w:hAnsi="Arial"/>
          <w:sz w:val="19"/>
          <w:szCs w:val="19"/>
          <w:color w:val="auto"/>
        </w:rPr>
      </w:pPr>
    </w:p>
    <w:p>
      <w:pPr>
        <w:jc w:val="both"/>
        <w:ind w:firstLine="1304"/>
        <w:spacing w:after="0" w:line="260" w:lineRule="auto"/>
        <w:tabs>
          <w:tab w:leader="none" w:pos="1732" w:val="left"/>
        </w:tabs>
        <w:numPr>
          <w:ilvl w:val="0"/>
          <w:numId w:val="23"/>
        </w:numPr>
        <w:rPr>
          <w:rFonts w:ascii="Arial" w:cs="Arial" w:eastAsia="Arial" w:hAnsi="Arial"/>
          <w:sz w:val="19"/>
          <w:szCs w:val="19"/>
          <w:color w:val="auto"/>
        </w:rPr>
      </w:pPr>
      <w:r>
        <w:rPr>
          <w:rFonts w:ascii="Arial" w:cs="Arial" w:eastAsia="Arial" w:hAnsi="Arial"/>
          <w:sz w:val="19"/>
          <w:szCs w:val="19"/>
          <w:color w:val="auto"/>
        </w:rPr>
        <w:t>To be in proper form for purposes of this Section 2.4, a demand to call a special meeting shall set forth (i) the business proposed to be conducted at the special meeting or the proposed election of directors at the special meeting, as the case may be, (ii) the text of the proposal or business (including the text of any resolutions proposed for consideration), if applicable, and (iii) if directors are proposed to be elected at the special meeting, the Nominee Information (as defined below) for each person whom the holder of the Requisite Percentage expects to nominate for election as a director at the special meeting.</w:t>
      </w:r>
    </w:p>
    <w:p>
      <w:pPr>
        <w:spacing w:after="0" w:line="180" w:lineRule="exact"/>
        <w:rPr>
          <w:rFonts w:ascii="Arial" w:cs="Arial" w:eastAsia="Arial" w:hAnsi="Arial"/>
          <w:sz w:val="19"/>
          <w:szCs w:val="19"/>
          <w:color w:val="auto"/>
        </w:rPr>
      </w:pPr>
    </w:p>
    <w:p>
      <w:pPr>
        <w:jc w:val="both"/>
        <w:ind w:firstLine="1304"/>
        <w:spacing w:after="0" w:line="276" w:lineRule="auto"/>
        <w:tabs>
          <w:tab w:leader="none" w:pos="1768" w:val="left"/>
        </w:tabs>
        <w:numPr>
          <w:ilvl w:val="0"/>
          <w:numId w:val="23"/>
        </w:numPr>
        <w:rPr>
          <w:rFonts w:ascii="Arial" w:cs="Arial" w:eastAsia="Arial" w:hAnsi="Arial"/>
          <w:sz w:val="18"/>
          <w:szCs w:val="18"/>
          <w:color w:val="auto"/>
        </w:rPr>
      </w:pPr>
      <w:r>
        <w:rPr>
          <w:rFonts w:ascii="Arial" w:cs="Arial" w:eastAsia="Arial" w:hAnsi="Arial"/>
          <w:sz w:val="18"/>
          <w:szCs w:val="18"/>
          <w:color w:val="auto"/>
        </w:rPr>
        <w:t>After receipt of a demand in proper form and in accordance with this Section 2.4 from a stockholder or stockholders holding the Requisite Percentage, the Board shall duly call, and determine the place, date and time of, a special meeting of stockholders for the purpose or purposes and to conduct the business specified in the demand received by the Corporation. Notwithstanding anything in these Bylaws to the contrary, the Board may submit its own proposal or proposals for consideration at such a special meeting. The record date for notice and voting for such a special meeting shall be fixed in accordance with Section 2.12 of these Bylaws. The Board shall provide written notice of such special meeting to the stockholders in accordance with Section 2.7 of these Bylaws.</w:t>
      </w:r>
    </w:p>
    <w:p>
      <w:pPr>
        <w:spacing w:after="0" w:line="164" w:lineRule="exact"/>
        <w:rPr>
          <w:rFonts w:ascii="Arial" w:cs="Arial" w:eastAsia="Arial" w:hAnsi="Arial"/>
          <w:sz w:val="18"/>
          <w:szCs w:val="18"/>
          <w:color w:val="auto"/>
        </w:rPr>
      </w:pPr>
    </w:p>
    <w:p>
      <w:pPr>
        <w:jc w:val="both"/>
        <w:ind w:firstLine="1304"/>
        <w:spacing w:after="0" w:line="342" w:lineRule="auto"/>
        <w:tabs>
          <w:tab w:leader="none" w:pos="1834" w:val="left"/>
        </w:tabs>
        <w:numPr>
          <w:ilvl w:val="0"/>
          <w:numId w:val="23"/>
        </w:numPr>
        <w:rPr>
          <w:rFonts w:ascii="Arial" w:cs="Arial" w:eastAsia="Arial" w:hAnsi="Arial"/>
          <w:sz w:val="16"/>
          <w:szCs w:val="16"/>
          <w:color w:val="auto"/>
        </w:rPr>
      </w:pPr>
      <w:r>
        <w:rPr>
          <w:rFonts w:ascii="Arial" w:cs="Arial" w:eastAsia="Arial" w:hAnsi="Arial"/>
          <w:sz w:val="16"/>
          <w:szCs w:val="16"/>
          <w:color w:val="auto"/>
        </w:rPr>
        <w:t>In connection with a special meeting called in accordance with this Section 2.4, the stockholder who delivered a demand to call a special meeting to the Secretary shall further update and supplement the information previously provided to the Corporation in connection with such demand, if necessary, so that the information provided or required to be provided in such request or demand pursuant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w:t>
      </w:r>
    </w:p>
    <w:p>
      <w:pPr>
        <w:sectPr>
          <w:pgSz w:w="11900" w:h="16838" w:orient="portrait"/>
          <w:cols w:equalWidth="0" w:num="1">
            <w:col w:w="11240"/>
          </w:cols>
          <w:pgMar w:left="320" w:top="1419" w:right="339" w:bottom="1440" w:gutter="0" w:footer="0" w:header="0"/>
        </w:sectPr>
      </w:pPr>
    </w:p>
    <w:bookmarkStart w:id="28" w:name="page29"/>
    <w:bookmarkEnd w:id="28"/>
    <w:p>
      <w:pPr>
        <w:jc w:val="both"/>
        <w:spacing w:after="0" w:line="270" w:lineRule="auto"/>
        <w:rPr>
          <w:sz w:val="20"/>
          <w:szCs w:val="20"/>
          <w:color w:val="auto"/>
        </w:rPr>
      </w:pPr>
      <w:r>
        <w:rPr>
          <w:rFonts w:ascii="Arial" w:cs="Arial" w:eastAsia="Arial" w:hAnsi="Arial"/>
          <w:sz w:val="18"/>
          <w:szCs w:val="18"/>
          <w:color w:val="auto"/>
        </w:rPr>
        <w:t>to this Section 2.4 shall be true and correct as of the record date for stockholders entitled to vote at the special meeting and as of the date that is ten (10) business days prior to the special meeting or any adjournment or postponement thereof, and such update and supplement shall be delivered to, or mailed and received by, the Secretary at the principal executive offices of the Corporation not later than five (5) business days after the record date for stockholders entitled to vote at the special meeting (in the case of the update and supplement required to be made as of such record date), and not later than eight (8) business days prior to the date for the special meeting or, if practicable, any adjournment or postponement thereof (and, if not practicable, on the first practicable date prior to the date to which the special meeting has been adjourned or postponed) (in the case of the update and supplement required to be made as of ten (10) business days prior to the special meeting or any adjournment or postponement thereof). For the avoidance of doubt, the obligation to update and supplement as set forth in this paragraph or any other Section of these Bylaws shall not limit the Corporation’s rights with respect to any deficiencies in any request or demand provided by a stockholder, extend any applicable deadlines hereunder or enable or be deemed to permit a stockholder who has previously submitted a request or demand hereunder to amend or update any such request or demand, including by changing or adding nominees, matters, business or resolutions proposed to be brought before a meeting of the stockholders.</w:t>
      </w:r>
    </w:p>
    <w:p>
      <w:pPr>
        <w:spacing w:after="0" w:line="176" w:lineRule="exact"/>
        <w:rPr>
          <w:sz w:val="20"/>
          <w:szCs w:val="20"/>
          <w:color w:val="auto"/>
        </w:rPr>
      </w:pPr>
    </w:p>
    <w:p>
      <w:pPr>
        <w:jc w:val="both"/>
        <w:ind w:firstLine="1304"/>
        <w:spacing w:after="0" w:line="276" w:lineRule="auto"/>
        <w:tabs>
          <w:tab w:leader="none" w:pos="1731" w:val="left"/>
        </w:tabs>
        <w:numPr>
          <w:ilvl w:val="0"/>
          <w:numId w:val="24"/>
        </w:numPr>
        <w:rPr>
          <w:rFonts w:ascii="Arial" w:cs="Arial" w:eastAsia="Arial" w:hAnsi="Arial"/>
          <w:sz w:val="18"/>
          <w:szCs w:val="18"/>
          <w:color w:val="auto"/>
        </w:rPr>
      </w:pPr>
      <w:r>
        <w:rPr>
          <w:rFonts w:ascii="Arial" w:cs="Arial" w:eastAsia="Arial" w:hAnsi="Arial"/>
          <w:sz w:val="18"/>
          <w:szCs w:val="18"/>
          <w:color w:val="auto"/>
        </w:rPr>
        <w:t>Notwithstanding anything in these Bylaws to the contrary, the Secretary shall not be required to call a special meeting pursuant to this Section 2.4 except in accordance with this Section 2.4. If the Board shall determine that any demand to call and hold a special meeting was not properly made in accordance with this Section 2.4, or shall determine that a stockholder submitting a demand to call the special meeting has not otherwise complied with this Section 2.4, then the Board shall not be required to call and hold the special meeting. In addition to the requirements of this Section 2.4, each stockholder submitting a demand to call and hold a special meeting shall comply with all requirements of applicable law with respect to such demand, including all requirements of the Exchange Act.</w:t>
      </w:r>
    </w:p>
    <w:p>
      <w:pPr>
        <w:spacing w:after="0" w:line="165"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20"/>
          <w:szCs w:val="20"/>
          <w:color w:val="auto"/>
        </w:rPr>
        <w:t>2.5</w:t>
      </w:r>
      <w:r>
        <w:rPr>
          <w:sz w:val="20"/>
          <w:szCs w:val="20"/>
          <w:color w:val="auto"/>
        </w:rPr>
        <w:tab/>
      </w:r>
      <w:r>
        <w:rPr>
          <w:rFonts w:ascii="Arial" w:cs="Arial" w:eastAsia="Arial" w:hAnsi="Arial"/>
          <w:sz w:val="18"/>
          <w:szCs w:val="18"/>
          <w:u w:val="single" w:color="auto"/>
          <w:color w:val="auto"/>
        </w:rPr>
        <w:t>Notice of Nominations for Election to the Board</w:t>
      </w:r>
      <w:r>
        <w:rPr>
          <w:rFonts w:ascii="Arial" w:cs="Arial" w:eastAsia="Arial" w:hAnsi="Arial"/>
          <w:sz w:val="18"/>
          <w:szCs w:val="18"/>
          <w:color w:val="auto"/>
        </w:rPr>
        <w:t>.</w:t>
      </w:r>
    </w:p>
    <w:p>
      <w:pPr>
        <w:spacing w:after="0" w:line="216" w:lineRule="exact"/>
        <w:rPr>
          <w:sz w:val="20"/>
          <w:szCs w:val="20"/>
          <w:color w:val="auto"/>
        </w:rPr>
      </w:pPr>
    </w:p>
    <w:p>
      <w:pPr>
        <w:jc w:val="both"/>
        <w:ind w:firstLine="1304"/>
        <w:spacing w:after="0" w:line="255" w:lineRule="auto"/>
        <w:tabs>
          <w:tab w:leader="none" w:pos="1813" w:val="left"/>
        </w:tabs>
        <w:numPr>
          <w:ilvl w:val="0"/>
          <w:numId w:val="25"/>
        </w:numPr>
        <w:rPr>
          <w:rFonts w:ascii="Arial" w:cs="Arial" w:eastAsia="Arial" w:hAnsi="Arial"/>
          <w:sz w:val="19"/>
          <w:szCs w:val="19"/>
          <w:color w:val="auto"/>
        </w:rPr>
      </w:pPr>
      <w:r>
        <w:rPr>
          <w:rFonts w:ascii="Arial" w:cs="Arial" w:eastAsia="Arial" w:hAnsi="Arial"/>
          <w:sz w:val="19"/>
          <w:szCs w:val="19"/>
          <w:color w:val="auto"/>
        </w:rPr>
        <w:t>Nominations of any person for election to the Board at an annual meeting or at a special meeting (but only if the election of directors is a matter specified in the notice of meeting given by or at the direction of the person calling such special meeting) may be made at such meeting only (i) by or at the direction of the Board, including by any committee or persons authorized to do so by the Board or these Bylaws, or (ii) by a stockholder present in person (A) who was a record owner of shares of the Corporation both at the time of giving the notice provided for in this Section 2.5 and at the time of the meeting, (B) is entitled to vote at the meeting, and (C) has complied with this Section 2.5 and Section 2.6 as to such notice and nomination. For purposes of this Section 2.5, “present in person” shall mean that the stockholder proposing that the business be brought before the meeting of the Corporation, or a qualified representative of such stockholder, appear at such meeting. A “qualified representative” of such proposing stockholder shall be a duly authorized officer, manager or partner of such stockholder or any other person authorized by a writing executed by such stockholder or an electronic transmission delivered by such stockholder to act for such stockholder as proxy at the meeting of stockholders and such person must produce such writing or electronic transmission, or a reliable reproduction of the writing or electronic transmission, at the meeting of stockholders. The foregoing clause (ii) shall be the exclusive means for a stockholder to make any nomination of a person or persons for election to the Board at an annual meeting or special meeting.</w:t>
      </w:r>
    </w:p>
    <w:p>
      <w:pPr>
        <w:spacing w:after="0" w:line="181" w:lineRule="exact"/>
        <w:rPr>
          <w:rFonts w:ascii="Arial" w:cs="Arial" w:eastAsia="Arial" w:hAnsi="Arial"/>
          <w:sz w:val="19"/>
          <w:szCs w:val="19"/>
          <w:color w:val="auto"/>
        </w:rPr>
      </w:pPr>
    </w:p>
    <w:p>
      <w:pPr>
        <w:jc w:val="both"/>
        <w:ind w:firstLine="1304"/>
        <w:spacing w:after="0" w:line="250" w:lineRule="auto"/>
        <w:tabs>
          <w:tab w:leader="none" w:pos="1733" w:val="left"/>
        </w:tabs>
        <w:numPr>
          <w:ilvl w:val="0"/>
          <w:numId w:val="25"/>
        </w:numPr>
        <w:rPr>
          <w:rFonts w:ascii="Arial" w:cs="Arial" w:eastAsia="Arial" w:hAnsi="Arial"/>
          <w:sz w:val="20"/>
          <w:szCs w:val="20"/>
          <w:color w:val="auto"/>
        </w:rPr>
      </w:pPr>
      <w:r>
        <w:rPr>
          <w:rFonts w:ascii="Arial" w:cs="Arial" w:eastAsia="Arial" w:hAnsi="Arial"/>
          <w:sz w:val="20"/>
          <w:szCs w:val="20"/>
          <w:color w:val="auto"/>
        </w:rPr>
        <w:t>(i) Without qualification, for a stockholder to make any nomination of a person or persons for election to the Board at an annual meeting, the stockholder must (1) provide Timely Notice (as defined in Section 2.3) thereof in writing and in proper form to the Secretary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w:t>
      </w:r>
    </w:p>
    <w:p>
      <w:pPr>
        <w:sectPr>
          <w:pgSz w:w="11900" w:h="16838" w:orient="portrait"/>
          <w:cols w:equalWidth="0" w:num="1">
            <w:col w:w="11240"/>
          </w:cols>
          <w:pgMar w:left="320" w:top="1419" w:right="339" w:bottom="1440" w:gutter="0" w:footer="0" w:header="0"/>
        </w:sectPr>
      </w:pPr>
    </w:p>
    <w:bookmarkStart w:id="29" w:name="page30"/>
    <w:bookmarkEnd w:id="29"/>
    <w:p>
      <w:pPr>
        <w:jc w:val="both"/>
        <w:spacing w:after="0" w:line="250" w:lineRule="auto"/>
        <w:rPr>
          <w:sz w:val="20"/>
          <w:szCs w:val="20"/>
          <w:color w:val="auto"/>
        </w:rPr>
      </w:pPr>
      <w:r>
        <w:rPr>
          <w:rFonts w:ascii="Arial" w:cs="Arial" w:eastAsia="Arial" w:hAnsi="Arial"/>
          <w:sz w:val="20"/>
          <w:szCs w:val="20"/>
          <w:color w:val="auto"/>
        </w:rPr>
        <w:t>Corporation, (2) provide the information, agreements and questionnaires with respect to such stockholder and its candidate for nomination as required to be set forth by this Section 2.5 and Section 2.6 and (3) provide any updates or supplements to such notice at the times and in the forms required by this Section 2.5 and Section 2.6</w:t>
      </w:r>
      <w:r>
        <w:rPr>
          <w:rFonts w:ascii="Arial" w:cs="Arial" w:eastAsia="Arial" w:hAnsi="Arial"/>
          <w:sz w:val="20"/>
          <w:szCs w:val="20"/>
          <w:i w:val="1"/>
          <w:iCs w:val="1"/>
          <w:color w:val="auto"/>
        </w:rPr>
        <w:t>.</w:t>
      </w:r>
    </w:p>
    <w:p>
      <w:pPr>
        <w:spacing w:after="0" w:line="213" w:lineRule="exact"/>
        <w:rPr>
          <w:sz w:val="20"/>
          <w:szCs w:val="20"/>
          <w:color w:val="auto"/>
        </w:rPr>
      </w:pPr>
    </w:p>
    <w:p>
      <w:pPr>
        <w:jc w:val="both"/>
        <w:ind w:firstLine="1952"/>
        <w:spacing w:after="0" w:line="266" w:lineRule="auto"/>
        <w:tabs>
          <w:tab w:leader="none" w:pos="2464" w:val="left"/>
        </w:tabs>
        <w:numPr>
          <w:ilvl w:val="2"/>
          <w:numId w:val="26"/>
        </w:numPr>
        <w:rPr>
          <w:rFonts w:ascii="Arial" w:cs="Arial" w:eastAsia="Arial" w:hAnsi="Arial"/>
          <w:sz w:val="19"/>
          <w:szCs w:val="19"/>
          <w:color w:val="auto"/>
        </w:rPr>
      </w:pPr>
      <w:r>
        <w:rPr>
          <w:rFonts w:ascii="Arial" w:cs="Arial" w:eastAsia="Arial" w:hAnsi="Arial"/>
          <w:sz w:val="18"/>
          <w:szCs w:val="18"/>
          <w:color w:val="auto"/>
        </w:rPr>
        <w:t>Without qualification, if the election of directors is a matter specified in the notice of meeting given by or at the direction of the person calling a special meeting, then for a stockholder to make any nomination of a person or persons for election to the Board at a special meeting, the stockholder must (i) provide timely notice thereof (such notice, the “</w:t>
      </w:r>
      <w:r>
        <w:rPr>
          <w:rFonts w:ascii="Arial" w:cs="Arial" w:eastAsia="Arial" w:hAnsi="Arial"/>
          <w:sz w:val="18"/>
          <w:szCs w:val="18"/>
          <w:u w:val="single" w:color="auto"/>
          <w:color w:val="auto"/>
        </w:rPr>
        <w:t>Special Meeting Nomination Timely</w:t>
      </w:r>
      <w:r>
        <w:rPr>
          <w:rFonts w:ascii="Arial" w:cs="Arial" w:eastAsia="Arial" w:hAnsi="Arial"/>
          <w:sz w:val="18"/>
          <w:szCs w:val="18"/>
          <w:color w:val="auto"/>
        </w:rPr>
        <w:t xml:space="preserve"> </w:t>
      </w:r>
      <w:r>
        <w:rPr>
          <w:rFonts w:ascii="Arial" w:cs="Arial" w:eastAsia="Arial" w:hAnsi="Arial"/>
          <w:sz w:val="18"/>
          <w:szCs w:val="18"/>
          <w:u w:val="single" w:color="auto"/>
          <w:color w:val="auto"/>
        </w:rPr>
        <w:t>Notice</w:t>
      </w:r>
      <w:r>
        <w:rPr>
          <w:rFonts w:ascii="Arial" w:cs="Arial" w:eastAsia="Arial" w:hAnsi="Arial"/>
          <w:sz w:val="18"/>
          <w:szCs w:val="18"/>
          <w:color w:val="auto"/>
        </w:rPr>
        <w:t>”) in writing and in proper form to the Secretary of the Corporation at the principal executive offices of the Corporation, (ii) provide the information with respect to such stockholder and its candidate for nomination as required by this Section 2.5 and Section 2.6, and</w:t>
      </w:r>
    </w:p>
    <w:p>
      <w:pPr>
        <w:spacing w:after="0" w:line="3" w:lineRule="exact"/>
        <w:rPr>
          <w:rFonts w:ascii="Arial" w:cs="Arial" w:eastAsia="Arial" w:hAnsi="Arial"/>
          <w:sz w:val="19"/>
          <w:szCs w:val="19"/>
          <w:color w:val="auto"/>
        </w:rPr>
      </w:pPr>
    </w:p>
    <w:p>
      <w:pPr>
        <w:jc w:val="both"/>
        <w:ind w:firstLine="8"/>
        <w:spacing w:after="0"/>
        <w:tabs>
          <w:tab w:leader="none" w:pos="3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provide any updates or supplements to such notice at the times and in the forms required by this Section 2.5. To be a Special Meeting Nomination Timely Notice, a stockholder’s notice for nominations to be made at a special meeting must be delivered to, or mailed and received at, the principal executive offices of the Corporation not earlier than the one hundred twentieth (120</w:t>
      </w:r>
      <w:r>
        <w:rPr>
          <w:rFonts w:ascii="Arial" w:cs="Arial" w:eastAsia="Arial" w:hAnsi="Arial"/>
          <w:sz w:val="23"/>
          <w:szCs w:val="23"/>
          <w:color w:val="auto"/>
          <w:vertAlign w:val="superscript"/>
        </w:rPr>
        <w:t>th</w:t>
      </w:r>
      <w:r>
        <w:rPr>
          <w:rFonts w:ascii="Arial" w:cs="Arial" w:eastAsia="Arial" w:hAnsi="Arial"/>
          <w:sz w:val="18"/>
          <w:szCs w:val="18"/>
          <w:color w:val="auto"/>
        </w:rPr>
        <w:t>) day prior to such special meeting and not later than the ninetieth (90</w:t>
      </w:r>
      <w:r>
        <w:rPr>
          <w:rFonts w:ascii="Arial" w:cs="Arial" w:eastAsia="Arial" w:hAnsi="Arial"/>
          <w:sz w:val="23"/>
          <w:szCs w:val="23"/>
          <w:color w:val="auto"/>
          <w:vertAlign w:val="superscript"/>
        </w:rPr>
        <w:t>th</w:t>
      </w:r>
      <w:r>
        <w:rPr>
          <w:rFonts w:ascii="Arial" w:cs="Arial" w:eastAsia="Arial" w:hAnsi="Arial"/>
          <w:sz w:val="18"/>
          <w:szCs w:val="18"/>
          <w:color w:val="auto"/>
        </w:rPr>
        <w:t>) day prior to such special meeting or, if later, the tenth (10</w:t>
      </w:r>
      <w:r>
        <w:rPr>
          <w:rFonts w:ascii="Arial" w:cs="Arial" w:eastAsia="Arial" w:hAnsi="Arial"/>
          <w:sz w:val="23"/>
          <w:szCs w:val="23"/>
          <w:color w:val="auto"/>
          <w:vertAlign w:val="superscript"/>
        </w:rPr>
        <w:t>th</w:t>
      </w:r>
      <w:r>
        <w:rPr>
          <w:rFonts w:ascii="Arial" w:cs="Arial" w:eastAsia="Arial" w:hAnsi="Arial"/>
          <w:sz w:val="18"/>
          <w:szCs w:val="18"/>
          <w:color w:val="auto"/>
        </w:rPr>
        <w:t>) day following the day on which public disclosure (as defined in Section 2.3) of the date of such special meeting at which directors are to be elected was first made.</w:t>
      </w:r>
    </w:p>
    <w:p>
      <w:pPr>
        <w:spacing w:after="0" w:line="224" w:lineRule="exact"/>
        <w:rPr>
          <w:rFonts w:ascii="Arial" w:cs="Arial" w:eastAsia="Arial" w:hAnsi="Arial"/>
          <w:sz w:val="18"/>
          <w:szCs w:val="18"/>
          <w:color w:val="auto"/>
        </w:rPr>
      </w:pPr>
    </w:p>
    <w:p>
      <w:pPr>
        <w:ind w:right="20" w:firstLine="1952"/>
        <w:spacing w:after="0" w:line="303" w:lineRule="auto"/>
        <w:tabs>
          <w:tab w:leader="none" w:pos="2673" w:val="left"/>
        </w:tabs>
        <w:numPr>
          <w:ilvl w:val="2"/>
          <w:numId w:val="27"/>
        </w:numPr>
        <w:rPr>
          <w:rFonts w:ascii="Arial" w:cs="Arial" w:eastAsia="Arial" w:hAnsi="Arial"/>
          <w:sz w:val="19"/>
          <w:szCs w:val="19"/>
          <w:color w:val="auto"/>
        </w:rPr>
      </w:pPr>
      <w:r>
        <w:rPr>
          <w:rFonts w:ascii="Arial" w:cs="Arial" w:eastAsia="Arial" w:hAnsi="Arial"/>
          <w:sz w:val="18"/>
          <w:szCs w:val="18"/>
          <w:color w:val="auto"/>
        </w:rPr>
        <w:t>In no event shall any adjournment or postponement of an annual meeting or special meeting or the announcement thereof commence a new time period (or extend any time period) for the giving of a stockholder’s notice as described above.</w:t>
      </w:r>
    </w:p>
    <w:p>
      <w:pPr>
        <w:spacing w:after="0" w:line="164" w:lineRule="exact"/>
        <w:rPr>
          <w:rFonts w:ascii="Arial" w:cs="Arial" w:eastAsia="Arial" w:hAnsi="Arial"/>
          <w:sz w:val="19"/>
          <w:szCs w:val="19"/>
          <w:color w:val="auto"/>
        </w:rPr>
      </w:pPr>
    </w:p>
    <w:p>
      <w:pPr>
        <w:jc w:val="both"/>
        <w:ind w:firstLine="1952"/>
        <w:spacing w:after="0" w:line="271" w:lineRule="auto"/>
        <w:tabs>
          <w:tab w:leader="none" w:pos="2485" w:val="left"/>
        </w:tabs>
        <w:numPr>
          <w:ilvl w:val="2"/>
          <w:numId w:val="27"/>
        </w:numPr>
        <w:rPr>
          <w:rFonts w:ascii="Arial" w:cs="Arial" w:eastAsia="Arial" w:hAnsi="Arial"/>
          <w:sz w:val="19"/>
          <w:szCs w:val="19"/>
          <w:color w:val="auto"/>
        </w:rPr>
      </w:pPr>
      <w:r>
        <w:rPr>
          <w:rFonts w:ascii="Arial" w:cs="Arial" w:eastAsia="Arial" w:hAnsi="Arial"/>
          <w:sz w:val="18"/>
          <w:szCs w:val="18"/>
          <w:color w:val="auto"/>
        </w:rPr>
        <w:t>In no event may a Nominating Person provide Timely Notice or Special Meeting Nomination Timely Notice, as the case may be, with respect to a greater number of director candidates than are subject to election by stockholders at the applicable meeting. In the event that the number of directors to be elected to the Board at the annual meeting is increased effective after the time period for which nominations would otherwise be due under this Section 2.5 and there is no public announcement by the Corporation naming the nominees for the additional directorships at least one hundred (100) days prior to the first anniversary of the preceding year’s annual meeting, a stockholder’s notice required by this Section 2.5_shall also be considered timely, but only with respect to nominees for the additional directorships, if it shall be delivered to the Secretary at the principal executive offices of the Corporation not later than the close of business on the tenth (10th) day following the day on which such public disclosure is first made by the Corporation.</w:t>
      </w:r>
    </w:p>
    <w:p>
      <w:pPr>
        <w:spacing w:after="0" w:line="169" w:lineRule="exact"/>
        <w:rPr>
          <w:rFonts w:ascii="Arial" w:cs="Arial" w:eastAsia="Arial" w:hAnsi="Arial"/>
          <w:sz w:val="19"/>
          <w:szCs w:val="19"/>
          <w:color w:val="auto"/>
        </w:rPr>
      </w:pPr>
    </w:p>
    <w:p>
      <w:pPr>
        <w:ind w:left="1720" w:hanging="416"/>
        <w:spacing w:after="0"/>
        <w:tabs>
          <w:tab w:leader="none" w:pos="1720" w:val="left"/>
        </w:tabs>
        <w:numPr>
          <w:ilvl w:val="1"/>
          <w:numId w:val="27"/>
        </w:numPr>
        <w:rPr>
          <w:rFonts w:ascii="Arial" w:cs="Arial" w:eastAsia="Arial" w:hAnsi="Arial"/>
          <w:sz w:val="20"/>
          <w:szCs w:val="20"/>
          <w:color w:val="auto"/>
        </w:rPr>
      </w:pPr>
      <w:r>
        <w:rPr>
          <w:rFonts w:ascii="Arial" w:cs="Arial" w:eastAsia="Arial" w:hAnsi="Arial"/>
          <w:sz w:val="20"/>
          <w:szCs w:val="20"/>
          <w:color w:val="auto"/>
        </w:rPr>
        <w:t>To be in proper form for purposes of this Section 2.5, a stockholder’s notice to the Secretary shall set forth:</w:t>
      </w:r>
    </w:p>
    <w:p>
      <w:pPr>
        <w:spacing w:after="0" w:line="242" w:lineRule="exact"/>
        <w:rPr>
          <w:rFonts w:ascii="Arial" w:cs="Arial" w:eastAsia="Arial" w:hAnsi="Arial"/>
          <w:sz w:val="20"/>
          <w:szCs w:val="20"/>
          <w:color w:val="auto"/>
        </w:rPr>
      </w:pPr>
    </w:p>
    <w:p>
      <w:pPr>
        <w:jc w:val="both"/>
        <w:ind w:firstLine="1952"/>
        <w:spacing w:after="0" w:line="238" w:lineRule="auto"/>
        <w:tabs>
          <w:tab w:leader="none" w:pos="2377" w:val="left"/>
        </w:tabs>
        <w:numPr>
          <w:ilvl w:val="2"/>
          <w:numId w:val="28"/>
        </w:numPr>
        <w:rPr>
          <w:rFonts w:ascii="Arial" w:cs="Arial" w:eastAsia="Arial" w:hAnsi="Arial"/>
          <w:sz w:val="22"/>
          <w:szCs w:val="22"/>
          <w:color w:val="auto"/>
        </w:rPr>
      </w:pPr>
      <w:r>
        <w:rPr>
          <w:rFonts w:ascii="Arial" w:cs="Arial" w:eastAsia="Arial" w:hAnsi="Arial"/>
          <w:sz w:val="20"/>
          <w:szCs w:val="20"/>
          <w:color w:val="auto"/>
        </w:rPr>
        <w:t>As to each Nominating Person (as defined below), the Stockholder Information (as defined in Section 2.3(c)(i), except that for purposes of this Section 2.5, the term “Nominating Person” shall be substituted for the term “Proposing Person” in all places it appears in Section 2.3(c)(i));</w:t>
      </w:r>
    </w:p>
    <w:p>
      <w:pPr>
        <w:spacing w:after="0" w:line="224" w:lineRule="exact"/>
        <w:rPr>
          <w:rFonts w:ascii="Arial" w:cs="Arial" w:eastAsia="Arial" w:hAnsi="Arial"/>
          <w:sz w:val="22"/>
          <w:szCs w:val="22"/>
          <w:color w:val="auto"/>
        </w:rPr>
      </w:pPr>
    </w:p>
    <w:p>
      <w:pPr>
        <w:jc w:val="both"/>
        <w:ind w:firstLine="1952"/>
        <w:spacing w:after="0" w:line="238" w:lineRule="auto"/>
        <w:tabs>
          <w:tab w:leader="none" w:pos="2518" w:val="left"/>
        </w:tabs>
        <w:numPr>
          <w:ilvl w:val="2"/>
          <w:numId w:val="28"/>
        </w:numPr>
        <w:rPr>
          <w:rFonts w:ascii="Arial" w:cs="Arial" w:eastAsia="Arial" w:hAnsi="Arial"/>
          <w:sz w:val="22"/>
          <w:szCs w:val="22"/>
          <w:color w:val="auto"/>
        </w:rPr>
      </w:pPr>
      <w:r>
        <w:rPr>
          <w:rFonts w:ascii="Arial" w:cs="Arial" w:eastAsia="Arial" w:hAnsi="Arial"/>
          <w:sz w:val="20"/>
          <w:szCs w:val="20"/>
          <w:color w:val="auto"/>
        </w:rPr>
        <w:t>As to each Nominating Person, any Disclosable Interests (as defined in Section 2.3(c)(ii), except that for purposes of this Section 2.5, the term “Nominating Person” shall be substituted for the term “Proposing Person” in all places it appears in Section 2.3(c)(ii) and the disclosure with respect to the business to be brought before the meeting in Section 2.3(c)(iii) shall be made with respect to the election of directors at the meeting);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7</w:t>
      </w:r>
    </w:p>
    <w:p>
      <w:pPr>
        <w:sectPr>
          <w:pgSz w:w="11900" w:h="16838" w:orient="portrait"/>
          <w:cols w:equalWidth="0" w:num="1">
            <w:col w:w="11240"/>
          </w:cols>
          <w:pgMar w:left="320" w:top="1419" w:right="339" w:bottom="1440" w:gutter="0" w:footer="0" w:header="0"/>
        </w:sectPr>
      </w:pPr>
    </w:p>
    <w:bookmarkStart w:id="30" w:name="page31"/>
    <w:bookmarkEnd w:id="30"/>
    <w:p>
      <w:pPr>
        <w:spacing w:after="0" w:line="6" w:lineRule="exact"/>
        <w:rPr>
          <w:sz w:val="20"/>
          <w:szCs w:val="20"/>
          <w:color w:val="auto"/>
        </w:rPr>
      </w:pPr>
    </w:p>
    <w:p>
      <w:pPr>
        <w:jc w:val="both"/>
        <w:ind w:firstLine="1952"/>
        <w:spacing w:after="0" w:line="269" w:lineRule="auto"/>
        <w:tabs>
          <w:tab w:leader="none" w:pos="2578" w:val="left"/>
        </w:tabs>
        <w:numPr>
          <w:ilvl w:val="0"/>
          <w:numId w:val="29"/>
        </w:numPr>
        <w:rPr>
          <w:rFonts w:ascii="Arial" w:cs="Arial" w:eastAsia="Arial" w:hAnsi="Arial"/>
          <w:sz w:val="19"/>
          <w:szCs w:val="19"/>
          <w:color w:val="auto"/>
        </w:rPr>
      </w:pPr>
      <w:r>
        <w:rPr>
          <w:rFonts w:ascii="Arial" w:cs="Arial" w:eastAsia="Arial" w:hAnsi="Arial"/>
          <w:sz w:val="18"/>
          <w:szCs w:val="18"/>
          <w:color w:val="auto"/>
        </w:rPr>
        <w:t>As to each candidate whom a Nominating Person proposes to nominate for election as a director, (A) all information with respect to such candidate for nomination that would be required to be set forth in a stockholder’s notice pursuant to this Section 2.5 and Section 2.6 if such candidate for nomination were a Nominating Person, (B) all information relating to such candidate for nomination that is required to be disclosed in a proxy statement or other filings required to be made in connection with solicitations of proxies for election of directors in a contested election pursuant to Section 14(a) under the Exchange Act (including such candidate’s written consent to being named in the Corporation’s proxy statement as a nominee and to serving as a director if elected), (C) a description of any direct or indirect material interest in any material contract or agreement between or among any Nominating Person, on the one hand, and each candidate for nomination or his or her respective associates or any other participants in such solicitation, on the other hand, including, without limitation, all information that would be required to be disclosed pursuant to Item 404 under Regulation S-K if such Nominating Person were the “registrant” for purposes of such rule and the candidate for nomination were a director or executive officer of such registrant (the disclosures to be made pursuant to the foregoing clauses (A) through (C) are referred to as “</w:t>
      </w:r>
      <w:r>
        <w:rPr>
          <w:rFonts w:ascii="Arial" w:cs="Arial" w:eastAsia="Arial" w:hAnsi="Arial"/>
          <w:sz w:val="18"/>
          <w:szCs w:val="18"/>
          <w:u w:val="single" w:color="auto"/>
          <w:color w:val="auto"/>
        </w:rPr>
        <w:t>Nominee Information</w:t>
      </w:r>
      <w:r>
        <w:rPr>
          <w:rFonts w:ascii="Arial" w:cs="Arial" w:eastAsia="Arial" w:hAnsi="Arial"/>
          <w:sz w:val="18"/>
          <w:szCs w:val="18"/>
          <w:color w:val="auto"/>
        </w:rPr>
        <w:t>”), and (D) a completed and signed questionnaire, representation and agreement as provided in Section 2.6(a).</w:t>
      </w:r>
    </w:p>
    <w:p>
      <w:pPr>
        <w:spacing w:after="0" w:line="173"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For purposes of this Section 2.5, the term “</w:t>
      </w:r>
      <w:r>
        <w:rPr>
          <w:rFonts w:ascii="Arial" w:cs="Arial" w:eastAsia="Arial" w:hAnsi="Arial"/>
          <w:sz w:val="20"/>
          <w:szCs w:val="20"/>
          <w:u w:val="single" w:color="auto"/>
          <w:color w:val="auto"/>
        </w:rPr>
        <w:t>Nominating Person</w:t>
      </w:r>
      <w:r>
        <w:rPr>
          <w:rFonts w:ascii="Arial" w:cs="Arial" w:eastAsia="Arial" w:hAnsi="Arial"/>
          <w:sz w:val="20"/>
          <w:szCs w:val="20"/>
          <w:color w:val="auto"/>
        </w:rPr>
        <w:t>” shall mean (i) the stockholder providing the notice of the nomination proposed to be made at the meeting, (ii) the beneficial owner or beneficial owners, if different, on whose behalf the notice of the nomination proposed to be made at the meeting is made, and (iii) any participant (as defined in paragraphs (a)(ii)-(vi) of Instruction 3 to Item 4 of Schedule 14A) with such stockholder in such solicitation.</w:t>
      </w:r>
    </w:p>
    <w:p>
      <w:pPr>
        <w:spacing w:after="0" w:line="191" w:lineRule="exact"/>
        <w:rPr>
          <w:sz w:val="20"/>
          <w:szCs w:val="20"/>
          <w:color w:val="auto"/>
        </w:rPr>
      </w:pPr>
    </w:p>
    <w:p>
      <w:pPr>
        <w:jc w:val="both"/>
        <w:ind w:firstLine="1304"/>
        <w:spacing w:after="0" w:line="270" w:lineRule="auto"/>
        <w:tabs>
          <w:tab w:leader="none" w:pos="1889" w:val="left"/>
        </w:tabs>
        <w:numPr>
          <w:ilvl w:val="0"/>
          <w:numId w:val="30"/>
        </w:numPr>
        <w:rPr>
          <w:rFonts w:ascii="Arial" w:cs="Arial" w:eastAsia="Arial" w:hAnsi="Arial"/>
          <w:sz w:val="18"/>
          <w:szCs w:val="18"/>
          <w:color w:val="auto"/>
        </w:rPr>
      </w:pPr>
      <w:r>
        <w:rPr>
          <w:rFonts w:ascii="Arial" w:cs="Arial" w:eastAsia="Arial" w:hAnsi="Arial"/>
          <w:sz w:val="18"/>
          <w:szCs w:val="18"/>
          <w:color w:val="auto"/>
        </w:rPr>
        <w:t>A stockholder providing notice of any nomination proposed to be made at a meeting shall further update and supplement such notice, if necessary, so that the information provided or required to be provided in such notice pursuant to this Section 2.5 shall be true and correct as of the record date for stockholders entitled to vote at the meeting and as of the date that is ten (10) business days prior to the meeting or any adjournment or postponement thereof, and such update and supplement shall be delivered to, or mailed and received by, the Secretary at the principal executive offices of the Corporation not later than five (5) business days after the record date for stockholders entitled to vote at the meeting (in the case of the update and supplement required to be made as of such record date), and not later than eight (8) business days prior to the date for the meeting or, if practicable, any adjournment or postponement thereof (and, if not practicable, on the first practicable date prior to the date to which the meeting has been adjourned or postponed) (in the case of the update and supplement required to be made as of ten (10) business days prior to the meeting or any adjournment or postponement thereof). For the avoidance of doubt, the obligation to update and supplement as set forth in this paragraph or any other Section of these Bylaws shall not limit the Corporation’s rights with respect to any deficiencies in any notice provided by a stockholder, extend any applicable deadlines hereunder or enable or be deemed to permit a stockholder who has previously submitted notice hereunder to amend or update any nomination or to submit any new nomination.</w:t>
      </w:r>
    </w:p>
    <w:p>
      <w:pPr>
        <w:spacing w:after="0" w:line="172" w:lineRule="exact"/>
        <w:rPr>
          <w:rFonts w:ascii="Arial" w:cs="Arial" w:eastAsia="Arial" w:hAnsi="Arial"/>
          <w:sz w:val="18"/>
          <w:szCs w:val="18"/>
          <w:color w:val="auto"/>
        </w:rPr>
      </w:pPr>
    </w:p>
    <w:p>
      <w:pPr>
        <w:ind w:firstLine="1304"/>
        <w:spacing w:after="0" w:line="316" w:lineRule="auto"/>
        <w:tabs>
          <w:tab w:leader="none" w:pos="1767"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 addition to the requirements of this Section 2.5 with respect to any nomination proposed to be made at a meeting, each Nominating Person shall comply with all applicable requirements of the Exchange Act with respect to any such nominations.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8</w:t>
      </w:r>
    </w:p>
    <w:p>
      <w:pPr>
        <w:sectPr>
          <w:pgSz w:w="11900" w:h="16838" w:orient="portrait"/>
          <w:cols w:equalWidth="0" w:num="1">
            <w:col w:w="11240"/>
          </w:cols>
          <w:pgMar w:left="320" w:top="1440" w:right="339" w:bottom="1440" w:gutter="0" w:footer="0" w:header="0"/>
        </w:sectPr>
      </w:pPr>
    </w:p>
    <w:bookmarkStart w:id="31" w:name="page32"/>
    <w:bookmarkEnd w:id="31"/>
    <w:p>
      <w:pPr>
        <w:ind w:left="660"/>
        <w:spacing w:after="0"/>
        <w:tabs>
          <w:tab w:leader="none" w:pos="1080" w:val="left"/>
        </w:tabs>
        <w:rPr>
          <w:sz w:val="20"/>
          <w:szCs w:val="20"/>
          <w:color w:val="auto"/>
        </w:rPr>
      </w:pPr>
      <w:r>
        <w:rPr>
          <w:rFonts w:ascii="Arial" w:cs="Arial" w:eastAsia="Arial" w:hAnsi="Arial"/>
          <w:sz w:val="20"/>
          <w:szCs w:val="20"/>
          <w:color w:val="auto"/>
        </w:rPr>
        <w:t>2.6</w:t>
      </w:r>
      <w:r>
        <w:rPr>
          <w:sz w:val="20"/>
          <w:szCs w:val="20"/>
          <w:color w:val="auto"/>
        </w:rPr>
        <w:tab/>
      </w:r>
      <w:r>
        <w:rPr>
          <w:rFonts w:ascii="Arial" w:cs="Arial" w:eastAsia="Arial" w:hAnsi="Arial"/>
          <w:sz w:val="18"/>
          <w:szCs w:val="18"/>
          <w:u w:val="single" w:color="auto"/>
          <w:color w:val="auto"/>
        </w:rPr>
        <w:t>Additional Requirements for Valid Nomination of Candidates to Serve as Director and, if Elected, to be Seated as Directors</w:t>
      </w:r>
      <w:r>
        <w:rPr>
          <w:rFonts w:ascii="Arial" w:cs="Arial" w:eastAsia="Arial" w:hAnsi="Arial"/>
          <w:sz w:val="18"/>
          <w:szCs w:val="18"/>
          <w:color w:val="auto"/>
        </w:rPr>
        <w:t>.</w:t>
      </w:r>
    </w:p>
    <w:p>
      <w:pPr>
        <w:spacing w:after="0" w:line="216" w:lineRule="exact"/>
        <w:rPr>
          <w:sz w:val="20"/>
          <w:szCs w:val="20"/>
          <w:color w:val="auto"/>
        </w:rPr>
      </w:pPr>
    </w:p>
    <w:p>
      <w:pPr>
        <w:jc w:val="both"/>
        <w:ind w:firstLine="1304"/>
        <w:spacing w:after="0" w:line="269" w:lineRule="auto"/>
        <w:tabs>
          <w:tab w:leader="none" w:pos="17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To be eligible to be a candidate for election as a director of the Corporation at an annual or special meeting, a candidate must be nominated in the manner prescribed in Section 2.5 and the candidate for nomination, whether nominated by the Board or by a stockholder of record, must have previously delivered (in accordance with the time period prescribed for delivery in a notice to such candidate given by or on behalf of the Board), to the Secretary at the principal executive offices of the Corporation, (i) a completed written questionnaire (in a form provided by the Corporation) with respect to the background, qualifications, stock ownership and independence of such proposed nominee and (ii) a written representation and agreement (in form provided by the Corporation) that such candidate for nomination (A) is not and, if elected as a director during his or her term of office, will not become a party to (1) any agreement, arrangement or understanding with, and has not given and will not give any commitment or assurance to, any person or entity as to how such proposed nominee, if elected as a director of the Corporation, will act or vote on any issue or question that has not been disclosed to the Corporation (a “</w:t>
      </w:r>
      <w:r>
        <w:rPr>
          <w:rFonts w:ascii="Arial" w:cs="Arial" w:eastAsia="Arial" w:hAnsi="Arial"/>
          <w:sz w:val="18"/>
          <w:szCs w:val="18"/>
          <w:u w:val="single" w:color="auto"/>
          <w:color w:val="auto"/>
        </w:rPr>
        <w:t>Voting Commitment</w:t>
      </w:r>
      <w:r>
        <w:rPr>
          <w:rFonts w:ascii="Arial" w:cs="Arial" w:eastAsia="Arial" w:hAnsi="Arial"/>
          <w:sz w:val="18"/>
          <w:szCs w:val="18"/>
          <w:color w:val="auto"/>
        </w:rPr>
        <w:t>”) or (2) any Voting Commitment that could limit or interfere with such proposed nominee’s ability to comply, if elected as a director of the Corporation, with such proposed nominee’s fiduciary duties under applicable law, (B) is not, and will not become a party to, any agreement, arrangement or understanding with any person or entity other than the Corporation with respect to any direct or indirect compensation or reimbursement for service as a director that has not been disclosed to the Corporation, (C</w:t>
      </w:r>
      <w:r>
        <w:rPr>
          <w:rFonts w:ascii="Arial" w:cs="Arial" w:eastAsia="Arial" w:hAnsi="Arial"/>
          <w:sz w:val="18"/>
          <w:szCs w:val="18"/>
          <w:b w:val="1"/>
          <w:bCs w:val="1"/>
          <w:color w:val="auto"/>
        </w:rPr>
        <w:t>)</w:t>
      </w:r>
      <w:r>
        <w:rPr>
          <w:rFonts w:ascii="Arial" w:cs="Arial" w:eastAsia="Arial" w:hAnsi="Arial"/>
          <w:sz w:val="18"/>
          <w:szCs w:val="18"/>
          <w:color w:val="auto"/>
        </w:rPr>
        <w:t xml:space="preserve"> if elected as a director of the Corporation, will comply with all applicable corporate governance, conflict of interest, confidentiality, stock ownership and trading and other policies and guidelines of the Corporation applicable to directors and in effect during such person’s term in office as a director (and, if requested by any candidate for nomination, the Secretary of the Corporation shall provide to such candidate for nomination all such policies and guidelines then in effect), and (D) if elected as director of the Corporation, intends to serve the entire term until the next meeting at which such candidate would face re-election.</w:t>
      </w:r>
    </w:p>
    <w:p>
      <w:pPr>
        <w:spacing w:after="0" w:line="171" w:lineRule="exact"/>
        <w:rPr>
          <w:rFonts w:ascii="Arial" w:cs="Arial" w:eastAsia="Arial" w:hAnsi="Arial"/>
          <w:sz w:val="18"/>
          <w:szCs w:val="18"/>
          <w:color w:val="auto"/>
        </w:rPr>
      </w:pPr>
    </w:p>
    <w:p>
      <w:pPr>
        <w:jc w:val="both"/>
        <w:ind w:firstLine="1304"/>
        <w:spacing w:after="0" w:line="263" w:lineRule="auto"/>
        <w:tabs>
          <w:tab w:leader="none" w:pos="1768" w:val="left"/>
        </w:tabs>
        <w:numPr>
          <w:ilvl w:val="0"/>
          <w:numId w:val="31"/>
        </w:numPr>
        <w:rPr>
          <w:rFonts w:ascii="Arial" w:cs="Arial" w:eastAsia="Arial" w:hAnsi="Arial"/>
          <w:sz w:val="19"/>
          <w:szCs w:val="19"/>
          <w:color w:val="auto"/>
        </w:rPr>
      </w:pPr>
      <w:r>
        <w:rPr>
          <w:rFonts w:ascii="Arial" w:cs="Arial" w:eastAsia="Arial" w:hAnsi="Arial"/>
          <w:sz w:val="19"/>
          <w:szCs w:val="19"/>
          <w:color w:val="auto"/>
        </w:rPr>
        <w:t>The Board may also require any proposed candidate for nomination as a director to furnish such other information as may reasonably be requested by the Board in writing (in accordance with the time period prescribed for delivery in a notice to such candidate given by or on behalf of the Board) in order for the Board to determine the eligibility of such candidate for nomination to be an independent director of the Corporation in accordance with the Corporation’s Corporate Governance Guidelines.</w:t>
      </w:r>
    </w:p>
    <w:p>
      <w:pPr>
        <w:spacing w:after="0" w:line="176" w:lineRule="exact"/>
        <w:rPr>
          <w:rFonts w:ascii="Arial" w:cs="Arial" w:eastAsia="Arial" w:hAnsi="Arial"/>
          <w:sz w:val="19"/>
          <w:szCs w:val="19"/>
          <w:color w:val="auto"/>
        </w:rPr>
      </w:pPr>
    </w:p>
    <w:p>
      <w:pPr>
        <w:jc w:val="both"/>
        <w:ind w:firstLine="1304"/>
        <w:spacing w:after="0" w:line="255" w:lineRule="auto"/>
        <w:tabs>
          <w:tab w:leader="none" w:pos="1764" w:val="left"/>
        </w:tabs>
        <w:numPr>
          <w:ilvl w:val="0"/>
          <w:numId w:val="31"/>
        </w:numPr>
        <w:rPr>
          <w:rFonts w:ascii="Arial" w:cs="Arial" w:eastAsia="Arial" w:hAnsi="Arial"/>
          <w:sz w:val="19"/>
          <w:szCs w:val="19"/>
          <w:color w:val="auto"/>
        </w:rPr>
      </w:pPr>
      <w:r>
        <w:rPr>
          <w:rFonts w:ascii="Arial" w:cs="Arial" w:eastAsia="Arial" w:hAnsi="Arial"/>
          <w:sz w:val="19"/>
          <w:szCs w:val="19"/>
          <w:color w:val="auto"/>
        </w:rPr>
        <w:t>A candidate for nomination as a director shall further update and supplement the materials delivered pursuant to this Section 2.6, if necessary, so that the information provided or required to be provided pursuant to this Section 2.6 shall be true and correct as of the record date for stockholders entitled to vote at the meeting and as of the date that is ten (10) business days prior to the meeting or any adjournment or postponement thereof, and such update and supplement shall be delivered to, or mailed and received by, the Secretary at the principal executive offices of the Corporation (or any other office specified by the Corporation in any public announcement) not later than five (5) business days after the record date for stockholders entitled to vote at the meeting (in the case of the update and supplement required to be made as of such record date), and not later than eight (8) business days prior to the date for the meeting or, if practicable, any adjournment or postponement thereof (and, if not practicable, on the first practicable date prior to the date to which the meeting has been adjourned or postponed) (in the case of the update and supplement required to be made as of ten (10) business days prior to the meeting or any adjournment or postponement thereof). For the avoidance of doubt, the obligation to update and supplement as set forth in this paragraph or any other Section of these Bylaws shall not limit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9</w:t>
      </w:r>
    </w:p>
    <w:p>
      <w:pPr>
        <w:sectPr>
          <w:pgSz w:w="11900" w:h="16838" w:orient="portrait"/>
          <w:cols w:equalWidth="0" w:num="1">
            <w:col w:w="11240"/>
          </w:cols>
          <w:pgMar w:left="320" w:top="1419" w:right="339" w:bottom="1440" w:gutter="0" w:footer="0" w:header="0"/>
        </w:sectPr>
      </w:pPr>
    </w:p>
    <w:bookmarkStart w:id="32" w:name="page33"/>
    <w:bookmarkEnd w:id="32"/>
    <w:p>
      <w:pPr>
        <w:jc w:val="both"/>
        <w:spacing w:after="0" w:line="246" w:lineRule="auto"/>
        <w:rPr>
          <w:sz w:val="20"/>
          <w:szCs w:val="20"/>
          <w:color w:val="auto"/>
        </w:rPr>
      </w:pPr>
      <w:r>
        <w:rPr>
          <w:rFonts w:ascii="Arial" w:cs="Arial" w:eastAsia="Arial" w:hAnsi="Arial"/>
          <w:sz w:val="20"/>
          <w:szCs w:val="20"/>
          <w:color w:val="auto"/>
        </w:rPr>
        <w:t>Corporation’s rights with respect to any deficiencies in any notice provided by a stockholder, extend any applicable deadlines hereunder or enable or be deemed to permit a stockholder who has previously submitted notice hereunder to amend or update any proposal or to submit any new proposal, including by changing or adding nominees, matters, business or resolutions proposed to be brought before a meeting of the stockholders.</w:t>
      </w:r>
    </w:p>
    <w:p>
      <w:pPr>
        <w:spacing w:after="0" w:line="191" w:lineRule="exact"/>
        <w:rPr>
          <w:sz w:val="20"/>
          <w:szCs w:val="20"/>
          <w:color w:val="auto"/>
        </w:rPr>
      </w:pPr>
    </w:p>
    <w:p>
      <w:pPr>
        <w:jc w:val="both"/>
        <w:ind w:firstLine="1304"/>
        <w:spacing w:after="0" w:line="276" w:lineRule="auto"/>
        <w:tabs>
          <w:tab w:leader="none" w:pos="1737" w:val="left"/>
        </w:tabs>
        <w:numPr>
          <w:ilvl w:val="0"/>
          <w:numId w:val="32"/>
        </w:numPr>
        <w:rPr>
          <w:rFonts w:ascii="Arial" w:cs="Arial" w:eastAsia="Arial" w:hAnsi="Arial"/>
          <w:sz w:val="18"/>
          <w:szCs w:val="18"/>
          <w:color w:val="auto"/>
        </w:rPr>
      </w:pPr>
      <w:r>
        <w:rPr>
          <w:rFonts w:ascii="Arial" w:cs="Arial" w:eastAsia="Arial" w:hAnsi="Arial"/>
          <w:sz w:val="18"/>
          <w:szCs w:val="18"/>
          <w:color w:val="auto"/>
        </w:rPr>
        <w:t>No candidate shall be eligible for nomination as a director of the Corporation unless such candidate for nomination and the Nominating Person seeking to place such candidate’s name in nomination has complied with Section 2.5 and this Section 2.6, as applicable. The presiding officer at the meeting shall, if the facts warrant, determine that a nomination was not properly made in accordance with Section 2.5 and this Section 2.6, and if he or she should so determine, he or she shall so declare such determination to the meeting, the defective nomination shall be disregarded and any ballots cast for the candidate in question (but in the case of any form of ballot listing other qualified nominees, only the ballots cast for the nominee in question) shall be void and of no force or effect.</w:t>
      </w:r>
    </w:p>
    <w:p>
      <w:pPr>
        <w:spacing w:after="0" w:line="164" w:lineRule="exact"/>
        <w:rPr>
          <w:rFonts w:ascii="Arial" w:cs="Arial" w:eastAsia="Arial" w:hAnsi="Arial"/>
          <w:sz w:val="18"/>
          <w:szCs w:val="18"/>
          <w:color w:val="auto"/>
        </w:rPr>
      </w:pPr>
    </w:p>
    <w:p>
      <w:pPr>
        <w:ind w:firstLine="1304"/>
        <w:spacing w:after="0" w:line="260" w:lineRule="auto"/>
        <w:tabs>
          <w:tab w:leader="none" w:pos="1736" w:val="left"/>
        </w:tabs>
        <w:numPr>
          <w:ilvl w:val="0"/>
          <w:numId w:val="32"/>
        </w:numPr>
        <w:rPr>
          <w:rFonts w:ascii="Arial" w:cs="Arial" w:eastAsia="Arial" w:hAnsi="Arial"/>
          <w:sz w:val="20"/>
          <w:szCs w:val="20"/>
          <w:color w:val="auto"/>
        </w:rPr>
      </w:pPr>
      <w:r>
        <w:rPr>
          <w:rFonts w:ascii="Arial" w:cs="Arial" w:eastAsia="Arial" w:hAnsi="Arial"/>
          <w:sz w:val="20"/>
          <w:szCs w:val="20"/>
          <w:color w:val="auto"/>
        </w:rPr>
        <w:t>Notwithstanding anything in these Bylaws to the contrary, no candidate for nomination shall be eligible to be seated as a director of the Corporation unless nominated and elected in accordance with Section 2.5 and this Section 2.6.</w:t>
      </w:r>
    </w:p>
    <w:p>
      <w:pPr>
        <w:spacing w:after="0" w:line="177"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20"/>
          <w:szCs w:val="20"/>
          <w:color w:val="auto"/>
        </w:rPr>
        <w:t>2.7</w:t>
      </w:r>
      <w:r>
        <w:rPr>
          <w:sz w:val="20"/>
          <w:szCs w:val="20"/>
          <w:color w:val="auto"/>
        </w:rPr>
        <w:tab/>
      </w:r>
      <w:r>
        <w:rPr>
          <w:rFonts w:ascii="Arial" w:cs="Arial" w:eastAsia="Arial" w:hAnsi="Arial"/>
          <w:sz w:val="18"/>
          <w:szCs w:val="18"/>
          <w:u w:val="single" w:color="auto"/>
          <w:color w:val="auto"/>
        </w:rPr>
        <w:t>Notice of Stockholders’ Meetings</w:t>
      </w:r>
      <w:r>
        <w:rPr>
          <w:rFonts w:ascii="Arial" w:cs="Arial" w:eastAsia="Arial" w:hAnsi="Arial"/>
          <w:sz w:val="18"/>
          <w:szCs w:val="18"/>
          <w:color w:val="auto"/>
        </w:rPr>
        <w:t>.</w:t>
      </w:r>
    </w:p>
    <w:p>
      <w:pPr>
        <w:spacing w:after="0" w:line="216" w:lineRule="exact"/>
        <w:rPr>
          <w:sz w:val="20"/>
          <w:szCs w:val="20"/>
          <w:color w:val="auto"/>
        </w:rPr>
      </w:pPr>
    </w:p>
    <w:p>
      <w:pPr>
        <w:jc w:val="both"/>
        <w:ind w:firstLine="648"/>
        <w:spacing w:after="0" w:line="278" w:lineRule="auto"/>
        <w:rPr>
          <w:sz w:val="20"/>
          <w:szCs w:val="20"/>
          <w:color w:val="auto"/>
        </w:rPr>
      </w:pPr>
      <w:r>
        <w:rPr>
          <w:rFonts w:ascii="Arial" w:cs="Arial" w:eastAsia="Arial" w:hAnsi="Arial"/>
          <w:sz w:val="18"/>
          <w:szCs w:val="18"/>
          <w:color w:val="auto"/>
        </w:rPr>
        <w:t>Unless otherwise provided by law, the Certificate of Incorporation or these Bylaws, the notice of any meeting of stockholders shall be sent or otherwise given in accordance with Section 8.1 of these Bylaws not less than ten (10) nor more than sixty (60) days before the date of the meeting to each stockholder entitled to vote at such meeting. The notice shall specify the place, if any, date and time of the meeting, the means of remote communication, if any, by which stockholders and proxy holders may be deemed to be present in person and vote at such meeting, and, in the case of a special meeting, the purpose or purposes for which the meeting is called.</w:t>
      </w:r>
    </w:p>
    <w:p>
      <w:pPr>
        <w:spacing w:after="0" w:line="165"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20"/>
          <w:szCs w:val="20"/>
          <w:color w:val="auto"/>
        </w:rPr>
        <w:t>2.8</w:t>
      </w:r>
      <w:r>
        <w:rPr>
          <w:sz w:val="20"/>
          <w:szCs w:val="20"/>
          <w:color w:val="auto"/>
        </w:rPr>
        <w:tab/>
      </w:r>
      <w:r>
        <w:rPr>
          <w:rFonts w:ascii="Arial" w:cs="Arial" w:eastAsia="Arial" w:hAnsi="Arial"/>
          <w:sz w:val="18"/>
          <w:szCs w:val="18"/>
          <w:u w:val="single" w:color="auto"/>
          <w:color w:val="auto"/>
        </w:rPr>
        <w:t>Quorum</w:t>
      </w:r>
      <w:r>
        <w:rPr>
          <w:rFonts w:ascii="Arial" w:cs="Arial" w:eastAsia="Arial" w:hAnsi="Arial"/>
          <w:sz w:val="18"/>
          <w:szCs w:val="18"/>
          <w:color w:val="auto"/>
        </w:rPr>
        <w:t>.</w:t>
      </w:r>
    </w:p>
    <w:p>
      <w:pPr>
        <w:spacing w:after="0" w:line="216"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9"/>
          <w:szCs w:val="19"/>
          <w:color w:val="auto"/>
        </w:rPr>
        <w:t>Unless otherwise provided by law, the Certificate of Incorporation or these Bylaws, the holders of a majority in voting power of the stock issued and outstanding and entitled to vote at the meeting, present in person, or by remote communication, if applicable, or represented by proxy, shall constitute a quorum for the transaction of business at all meetings of the stockholders. A quorum, once established at a meeting, shall not be broken by the withdrawal of enough votes to leave less than a quorum. If, however, a quorum is not present or represented at any meeting of the stockholders, then either (i) the person presiding over the meeting or (ii) a majority in voting power of the stockholders entitled to vote at the meeting, present in person, or by remote communication, if applicable, or represented by proxy, shall have power to adjourn the meeting from time to time in the manner provided in Section 2.9 of these Bylaws until a quorum is present or represented. At any adjourned meeting at which a quorum is present or represented, any business may be transacted that might have been transacted at the meeting as originally noticed.</w:t>
      </w:r>
    </w:p>
    <w:p>
      <w:pPr>
        <w:spacing w:after="0" w:line="184"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20"/>
          <w:szCs w:val="20"/>
          <w:color w:val="auto"/>
        </w:rPr>
        <w:t>2.9</w:t>
      </w:r>
      <w:r>
        <w:rPr>
          <w:sz w:val="20"/>
          <w:szCs w:val="20"/>
          <w:color w:val="auto"/>
        </w:rPr>
        <w:tab/>
      </w:r>
      <w:r>
        <w:rPr>
          <w:rFonts w:ascii="Arial" w:cs="Arial" w:eastAsia="Arial" w:hAnsi="Arial"/>
          <w:sz w:val="18"/>
          <w:szCs w:val="18"/>
          <w:u w:val="single" w:color="auto"/>
          <w:color w:val="auto"/>
        </w:rPr>
        <w:t>Adjourned Meeting; Notice</w:t>
      </w:r>
      <w:r>
        <w:rPr>
          <w:rFonts w:ascii="Arial" w:cs="Arial" w:eastAsia="Arial" w:hAnsi="Arial"/>
          <w:sz w:val="18"/>
          <w:szCs w:val="18"/>
          <w:color w:val="auto"/>
        </w:rPr>
        <w:t>.</w:t>
      </w:r>
    </w:p>
    <w:p>
      <w:pPr>
        <w:spacing w:after="0" w:line="216"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8"/>
          <w:szCs w:val="18"/>
          <w:color w:val="auto"/>
        </w:rPr>
        <w:t>When a meeting of stockholders is adjourned to another time or place, unless these Bylaws otherwise require, notice need not be given of the adjourned meeting if the time, place, if any, thereof, and the means of remote communications, if any, by which stockholders and proxy holders may be deemed to be present in person and vote at such adjourned meeting are announced at the meeting at which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10</w:t>
      </w:r>
    </w:p>
    <w:p>
      <w:pPr>
        <w:sectPr>
          <w:pgSz w:w="11900" w:h="16838" w:orient="portrait"/>
          <w:cols w:equalWidth="0" w:num="1">
            <w:col w:w="11240"/>
          </w:cols>
          <w:pgMar w:left="320" w:top="1419" w:right="339" w:bottom="1440" w:gutter="0" w:footer="0" w:header="0"/>
        </w:sectPr>
      </w:pPr>
    </w:p>
    <w:bookmarkStart w:id="33" w:name="page34"/>
    <w:bookmarkEnd w:id="33"/>
    <w:p>
      <w:pPr>
        <w:jc w:val="both"/>
        <w:spacing w:after="0" w:line="243" w:lineRule="auto"/>
        <w:rPr>
          <w:sz w:val="20"/>
          <w:szCs w:val="20"/>
          <w:color w:val="auto"/>
        </w:rPr>
      </w:pPr>
      <w:r>
        <w:rPr>
          <w:rFonts w:ascii="Arial" w:cs="Arial" w:eastAsia="Arial" w:hAnsi="Arial"/>
          <w:sz w:val="20"/>
          <w:szCs w:val="20"/>
          <w:color w:val="auto"/>
        </w:rPr>
        <w:t>the adjournment is taken. At any adjourned meeting, the Corporation may transact any business which might have been transacted at the original meeting. If the adjournment is for more than thirty (30) days, a notice of the adjourned meeting shall be given to each stockholder of record entitled to vote at the meeting. If after the adjournment a new record date for determination of stockholders entitled to vote is fixed for the adjourned meeting, the Board shall fix as the record date for determining stockholders entitled to notice of such adjourned meeting the same or an earlier date as that fixed for determination of stockholders entitled to vote at the adjourned meeting, and shall give notice of the adjourned meeting to each stockholder of record entitled to vote at such meeting as of the record date so fixed for notice of such adjourned meeting.</w:t>
      </w:r>
    </w:p>
    <w:p>
      <w:pPr>
        <w:spacing w:after="0" w:line="193" w:lineRule="exact"/>
        <w:rPr>
          <w:sz w:val="20"/>
          <w:szCs w:val="20"/>
          <w:color w:val="auto"/>
        </w:rPr>
      </w:pPr>
    </w:p>
    <w:p>
      <w:pPr>
        <w:ind w:left="660"/>
        <w:spacing w:after="0"/>
        <w:tabs>
          <w:tab w:leader="none" w:pos="1180" w:val="left"/>
        </w:tabs>
        <w:rPr>
          <w:sz w:val="20"/>
          <w:szCs w:val="20"/>
          <w:color w:val="auto"/>
        </w:rPr>
      </w:pPr>
      <w:r>
        <w:rPr>
          <w:rFonts w:ascii="Arial" w:cs="Arial" w:eastAsia="Arial" w:hAnsi="Arial"/>
          <w:sz w:val="20"/>
          <w:szCs w:val="20"/>
          <w:color w:val="auto"/>
        </w:rPr>
        <w:t>2.10</w:t>
      </w:r>
      <w:r>
        <w:rPr>
          <w:sz w:val="20"/>
          <w:szCs w:val="20"/>
          <w:color w:val="auto"/>
        </w:rPr>
        <w:tab/>
      </w:r>
      <w:r>
        <w:rPr>
          <w:rFonts w:ascii="Arial" w:cs="Arial" w:eastAsia="Arial" w:hAnsi="Arial"/>
          <w:sz w:val="16"/>
          <w:szCs w:val="16"/>
          <w:u w:val="single" w:color="auto"/>
          <w:color w:val="auto"/>
        </w:rPr>
        <w:t>Conduct of Business</w:t>
      </w:r>
      <w:r>
        <w:rPr>
          <w:rFonts w:ascii="Arial" w:cs="Arial" w:eastAsia="Arial" w:hAnsi="Arial"/>
          <w:sz w:val="16"/>
          <w:szCs w:val="16"/>
          <w:color w:val="auto"/>
        </w:rPr>
        <w:t>.</w:t>
      </w:r>
    </w:p>
    <w:p>
      <w:pPr>
        <w:spacing w:after="0" w:line="216"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8"/>
          <w:szCs w:val="18"/>
          <w:color w:val="auto"/>
        </w:rPr>
        <w:t>The date and time of the opening and the closing of the polls for each matter upon which the stockholders will vote at a meeting shall be announced at the meeting by the person presiding over the meeting. The Board may adopt by resolution such rules and regulations for the conduct of the meeting of stockholders as it shall deem appropriate. Except to the extent inconsistent with such rules and regulations as adopted by the Board, the person presiding over any meeting of stockholders shall have the right and authority to convene and (for any or no reason) to recess and/or adjourn the meeting, to prescribe such rules, regulations and procedures (which need not be in writing) and to do all such acts as, in the judgment of such presiding person, are appropriate for the proper conduct of the meeting. Such rules, regulations or procedures, whether adopted by the Board or prescribed by the person presiding over the meeting, may include, without limitation, the following: (i) the establishment of an agenda or order of business for the meeting; (ii) rules and procedures for maintaining order at the meeting and the safety of those present (including, without limitation, rules and procedures for removal of disruptive persons from the meeting); (iii) limitations on attendance at or participation in the meeting to stockholders entitled to vote at the meeting, their duly authorized and constituted proxies or such other persons as the person presiding over the meeting shall determine; (iv) restrictions on entry to the meeting after the time fixed for the commencement thereof; and (v) limitations on the time allotted to questions or comments by participants. The presiding person at any meeting of stockholders, in addition to making any other determinations that may be appropriate to the conduct of the meeting (including, without limitation, determinations with respect to the administration and/or interpretation of any of the rules, regulations or procedures of the meeting, whether adopted by the Board or prescribed by the person presiding over the meeting), shall, if the facts warrant, determine and declare to the meeting that a matter of business was not properly brought before the meeting and if such presiding person should so determine, such presiding person shall so declare to the meeting and any such matter or business not properly brought before the meeting shall not be transacted or considered. Unless and to the extent determined by the Board or the person presiding over the meeting, meetings of stockholders shall not be required to be held in accordance with the rules of parliamentary procedure.</w:t>
      </w:r>
    </w:p>
    <w:p>
      <w:pPr>
        <w:spacing w:after="0" w:line="185" w:lineRule="exact"/>
        <w:rPr>
          <w:sz w:val="20"/>
          <w:szCs w:val="20"/>
          <w:color w:val="auto"/>
        </w:rPr>
      </w:pPr>
    </w:p>
    <w:p>
      <w:pPr>
        <w:ind w:left="660"/>
        <w:spacing w:after="0"/>
        <w:tabs>
          <w:tab w:leader="none" w:pos="1180" w:val="left"/>
        </w:tabs>
        <w:rPr>
          <w:sz w:val="20"/>
          <w:szCs w:val="20"/>
          <w:color w:val="auto"/>
        </w:rPr>
      </w:pPr>
      <w:r>
        <w:rPr>
          <w:rFonts w:ascii="Arial" w:cs="Arial" w:eastAsia="Arial" w:hAnsi="Arial"/>
          <w:sz w:val="20"/>
          <w:szCs w:val="20"/>
          <w:color w:val="auto"/>
        </w:rPr>
        <w:t>2.11</w:t>
      </w:r>
      <w:r>
        <w:rPr>
          <w:sz w:val="20"/>
          <w:szCs w:val="20"/>
          <w:color w:val="auto"/>
        </w:rPr>
        <w:tab/>
      </w:r>
      <w:r>
        <w:rPr>
          <w:rFonts w:ascii="Arial" w:cs="Arial" w:eastAsia="Arial" w:hAnsi="Arial"/>
          <w:sz w:val="16"/>
          <w:szCs w:val="16"/>
          <w:u w:val="single" w:color="auto"/>
          <w:color w:val="auto"/>
        </w:rPr>
        <w:t>Voting</w:t>
      </w:r>
      <w:r>
        <w:rPr>
          <w:rFonts w:ascii="Arial" w:cs="Arial" w:eastAsia="Arial" w:hAnsi="Arial"/>
          <w:sz w:val="16"/>
          <w:szCs w:val="16"/>
          <w:color w:val="auto"/>
        </w:rPr>
        <w:t>.</w:t>
      </w:r>
    </w:p>
    <w:p>
      <w:pPr>
        <w:spacing w:after="0" w:line="216"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8"/>
          <w:szCs w:val="18"/>
          <w:color w:val="auto"/>
        </w:rPr>
        <w:t>Except as may be otherwise provided in the Certificate of Incorporation or the DGCL, each stockholder shall be entitled to one (1) vote for each share of capital stock held by such stockholder. Except as otherwise provided by the Certificate of Incorporation, at all duly called or convened meetings of stockholders at which a quorum is present, for the election of directors, a plurality of the votes cast shall be sufficient to elect a director. Except as otherwise provided by the Certificate of Incorporation, these Bylaws, the rules or regulations of any stock exchange applicable to the Corporation, or applicable law or pursuant to any regulation applicable to the Corporation or its securities, each other matter presented to the stockholders at a duly called or convened meeting at which a quorum is present shall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11</w:t>
      </w:r>
    </w:p>
    <w:p>
      <w:pPr>
        <w:sectPr>
          <w:pgSz w:w="11900" w:h="16838" w:orient="portrait"/>
          <w:cols w:equalWidth="0" w:num="1">
            <w:col w:w="11240"/>
          </w:cols>
          <w:pgMar w:left="320" w:top="1419" w:right="339" w:bottom="1440" w:gutter="0" w:footer="0" w:header="0"/>
        </w:sectPr>
      </w:pPr>
    </w:p>
    <w:bookmarkStart w:id="34" w:name="page35"/>
    <w:bookmarkEnd w:id="34"/>
    <w:p>
      <w:pPr>
        <w:jc w:val="both"/>
        <w:spacing w:after="0" w:line="260" w:lineRule="auto"/>
        <w:rPr>
          <w:sz w:val="20"/>
          <w:szCs w:val="20"/>
          <w:color w:val="auto"/>
        </w:rPr>
      </w:pPr>
      <w:r>
        <w:rPr>
          <w:rFonts w:ascii="Arial" w:cs="Arial" w:eastAsia="Arial" w:hAnsi="Arial"/>
          <w:sz w:val="20"/>
          <w:szCs w:val="20"/>
          <w:color w:val="auto"/>
        </w:rPr>
        <w:t>decided by the affirmative vote of the holders of a majority in voting power of the votes cast (excluding abstentions and broker non-votes) on such matter.</w:t>
      </w:r>
    </w:p>
    <w:p>
      <w:pPr>
        <w:spacing w:after="0" w:line="177" w:lineRule="exact"/>
        <w:rPr>
          <w:sz w:val="20"/>
          <w:szCs w:val="20"/>
          <w:color w:val="auto"/>
        </w:rPr>
      </w:pPr>
    </w:p>
    <w:p>
      <w:pPr>
        <w:ind w:left="660"/>
        <w:spacing w:after="0"/>
        <w:tabs>
          <w:tab w:leader="none" w:pos="1180" w:val="left"/>
        </w:tabs>
        <w:rPr>
          <w:sz w:val="20"/>
          <w:szCs w:val="20"/>
          <w:color w:val="auto"/>
        </w:rPr>
      </w:pPr>
      <w:r>
        <w:rPr>
          <w:rFonts w:ascii="Arial" w:cs="Arial" w:eastAsia="Arial" w:hAnsi="Arial"/>
          <w:sz w:val="20"/>
          <w:szCs w:val="20"/>
          <w:color w:val="auto"/>
        </w:rPr>
        <w:t>2.12</w:t>
      </w:r>
      <w:r>
        <w:rPr>
          <w:sz w:val="20"/>
          <w:szCs w:val="20"/>
          <w:color w:val="auto"/>
        </w:rPr>
        <w:tab/>
      </w:r>
      <w:r>
        <w:rPr>
          <w:rFonts w:ascii="Arial" w:cs="Arial" w:eastAsia="Arial" w:hAnsi="Arial"/>
          <w:sz w:val="16"/>
          <w:szCs w:val="16"/>
          <w:u w:val="single" w:color="auto"/>
          <w:color w:val="auto"/>
        </w:rPr>
        <w:t>Record Date for Stockholder Meetings and Other Purposes</w:t>
      </w:r>
      <w:r>
        <w:rPr>
          <w:rFonts w:ascii="Arial" w:cs="Arial" w:eastAsia="Arial" w:hAnsi="Arial"/>
          <w:sz w:val="16"/>
          <w:szCs w:val="16"/>
          <w:color w:val="auto"/>
        </w:rPr>
        <w:t>.</w:t>
      </w:r>
    </w:p>
    <w:p>
      <w:pPr>
        <w:spacing w:after="0" w:line="216"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8"/>
          <w:szCs w:val="18"/>
          <w:color w:val="auto"/>
        </w:rPr>
        <w:t xml:space="preserve">In order that the Corporation may determine the stockholders entitled to notice of or to vote at any meeting of stockholders or any adjournment thereof, the Board may fix a record date, which record date shall not precede the date upon which the resolution fixing the record date is adopted by the Board, and which record date shall, unless otherwise required by law, not be more than sixty (60) days nor less than ten (10) days before the date of such meeting. If the Board so fixes a date, such date shall also be the record date for determining the stockholders entitled to vote at such meeting unless the Board determines, at the time it fixes such record date, that a later date on or before the date of the meeting shall be the date for making such determination. If no record date is fixed by the Board, the record date for determining stockholders entitled to notice of or to vote at a meeting of stockholders shall be the close of business on the next day preceding the day on which notice is first given, or, if notice is waived, at the close of business on the day next preceding the day on which the meeting is held. A determination of stockholders of record entitled to notice of or to vote at a meeting of stockholders shall apply to any adjournment of the meeting; </w:t>
      </w:r>
      <w:r>
        <w:rPr>
          <w:rFonts w:ascii="Arial" w:cs="Arial" w:eastAsia="Arial" w:hAnsi="Arial"/>
          <w:sz w:val="18"/>
          <w:szCs w:val="18"/>
          <w:i w:val="1"/>
          <w:iCs w:val="1"/>
          <w:color w:val="auto"/>
        </w:rPr>
        <w:t>provided, however,</w:t>
      </w:r>
      <w:r>
        <w:rPr>
          <w:rFonts w:ascii="Arial" w:cs="Arial" w:eastAsia="Arial" w:hAnsi="Arial"/>
          <w:sz w:val="18"/>
          <w:szCs w:val="18"/>
          <w:color w:val="auto"/>
        </w:rPr>
        <w:t xml:space="preserve"> that the Board may fix a new record date for determination of stockholders entitled to vote at the adjourned meeting; and in such case shall also fix as the record date for stockholders entitled to notice of such adjourned meeting the same or an earlier date as that fixed for determination of stockholders entitled to vote in accordance herewith at the adjourned meeting.</w:t>
      </w:r>
    </w:p>
    <w:p>
      <w:pPr>
        <w:spacing w:after="0" w:line="176"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In order that the Corporation may determine the stockholders entitled to receive payment of any dividend or other distribution or allotment or any rights or the stockholders entitled to exercise any rights in respect of any change, conversion or exchange of capital stock, or for the purposes of any other lawful action, the Board may fix a record date, which record date shall not precede the date upon which the resolution fixing the record date is adopted, and which record date shall be not more than sixty (60) days prior to such action. If no record date is fixed, the record date for determining stockholders for any such purpose shall be at the close of business on the day on which the Board adopts the resolution relating thereto.</w:t>
      </w:r>
    </w:p>
    <w:p>
      <w:pPr>
        <w:spacing w:after="0" w:line="196" w:lineRule="exact"/>
        <w:rPr>
          <w:sz w:val="20"/>
          <w:szCs w:val="20"/>
          <w:color w:val="auto"/>
        </w:rPr>
      </w:pPr>
    </w:p>
    <w:p>
      <w:pPr>
        <w:ind w:left="660"/>
        <w:spacing w:after="0"/>
        <w:tabs>
          <w:tab w:leader="none" w:pos="1180" w:val="left"/>
        </w:tabs>
        <w:rPr>
          <w:sz w:val="20"/>
          <w:szCs w:val="20"/>
          <w:color w:val="auto"/>
        </w:rPr>
      </w:pPr>
      <w:r>
        <w:rPr>
          <w:rFonts w:ascii="Arial" w:cs="Arial" w:eastAsia="Arial" w:hAnsi="Arial"/>
          <w:sz w:val="20"/>
          <w:szCs w:val="20"/>
          <w:color w:val="auto"/>
        </w:rPr>
        <w:t>2.13</w:t>
      </w:r>
      <w:r>
        <w:rPr>
          <w:sz w:val="20"/>
          <w:szCs w:val="20"/>
          <w:color w:val="auto"/>
        </w:rPr>
        <w:tab/>
      </w:r>
      <w:r>
        <w:rPr>
          <w:rFonts w:ascii="Arial" w:cs="Arial" w:eastAsia="Arial" w:hAnsi="Arial"/>
          <w:sz w:val="16"/>
          <w:szCs w:val="16"/>
          <w:u w:val="single" w:color="auto"/>
          <w:color w:val="auto"/>
        </w:rPr>
        <w:t>Proxies</w:t>
      </w:r>
      <w:r>
        <w:rPr>
          <w:rFonts w:ascii="Arial" w:cs="Arial" w:eastAsia="Arial" w:hAnsi="Arial"/>
          <w:sz w:val="16"/>
          <w:szCs w:val="16"/>
          <w:color w:val="auto"/>
        </w:rPr>
        <w:t>.</w:t>
      </w:r>
    </w:p>
    <w:p>
      <w:pPr>
        <w:spacing w:after="0" w:line="216"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Each stockholder entitled to vote at a meeting of stockholders or (to the extent permitted by the Certificate of Incorporation) to express consent to corporate action without a meeting may authorize another person or persons to act for such stockholder by proxy authorized by an instrument in writing or by a transmission permitted by law filed in accordance with the procedure established for the meeting, but no such proxy shall be voted or acted upon after three (3) years from its date, unless the proxy provides for a longer period. The revocability of a proxy that states on its face that it is irrevocable shall be governed by the provisions of Section 212 of the DGCL. A proxy may be in the form of an electronic transmission which sets forth or is submitted with information from which it can be determined that the transmission was authorized by the stockholder.</w:t>
      </w:r>
    </w:p>
    <w:p>
      <w:pPr>
        <w:spacing w:after="0" w:line="193"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20"/>
          <w:szCs w:val="20"/>
          <w:color w:val="auto"/>
        </w:rPr>
        <w:t>Any stockholder directly or indirectly soliciting proxies from other stockholders must use a proxy card color other than white, which shall be reserved for the exclusive use by the Board.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12</w:t>
      </w:r>
    </w:p>
    <w:p>
      <w:pPr>
        <w:sectPr>
          <w:pgSz w:w="11900" w:h="16838" w:orient="portrait"/>
          <w:cols w:equalWidth="0" w:num="1">
            <w:col w:w="11240"/>
          </w:cols>
          <w:pgMar w:left="320" w:top="1419" w:right="339" w:bottom="1440" w:gutter="0" w:footer="0" w:header="0"/>
        </w:sectPr>
      </w:pPr>
    </w:p>
    <w:bookmarkStart w:id="35" w:name="page36"/>
    <w:bookmarkEnd w:id="35"/>
    <w:p>
      <w:pPr>
        <w:ind w:left="660"/>
        <w:spacing w:after="0"/>
        <w:tabs>
          <w:tab w:leader="none" w:pos="1180" w:val="left"/>
        </w:tabs>
        <w:rPr>
          <w:sz w:val="20"/>
          <w:szCs w:val="20"/>
          <w:color w:val="auto"/>
        </w:rPr>
      </w:pPr>
      <w:r>
        <w:rPr>
          <w:rFonts w:ascii="Arial" w:cs="Arial" w:eastAsia="Arial" w:hAnsi="Arial"/>
          <w:sz w:val="20"/>
          <w:szCs w:val="20"/>
          <w:color w:val="auto"/>
        </w:rPr>
        <w:t>2.14</w:t>
      </w:r>
      <w:r>
        <w:rPr>
          <w:sz w:val="20"/>
          <w:szCs w:val="20"/>
          <w:color w:val="auto"/>
        </w:rPr>
        <w:tab/>
      </w:r>
      <w:r>
        <w:rPr>
          <w:rFonts w:ascii="Arial" w:cs="Arial" w:eastAsia="Arial" w:hAnsi="Arial"/>
          <w:sz w:val="18"/>
          <w:szCs w:val="18"/>
          <w:u w:val="single" w:color="auto"/>
          <w:color w:val="auto"/>
        </w:rPr>
        <w:t>List of Stockholders Entitled to Vote</w:t>
      </w:r>
      <w:r>
        <w:rPr>
          <w:rFonts w:ascii="Arial" w:cs="Arial" w:eastAsia="Arial" w:hAnsi="Arial"/>
          <w:sz w:val="18"/>
          <w:szCs w:val="18"/>
          <w:color w:val="auto"/>
        </w:rPr>
        <w:t>.</w:t>
      </w:r>
    </w:p>
    <w:p>
      <w:pPr>
        <w:spacing w:after="0" w:line="216"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The Corporation shall prepare, at least ten (10) days before every meeting of stockholders, a complete list of the stockholders entitled to vote at the meeting (provided, however, that if the record date for determining the stockholders entitled to vote is less than ten (10) days before the date of the meeting, the list shall reflect the stockholders entitled to vote as of the tenth day before the meeting date), arranged in alphabetical order, and showing the address of each stockholder and the number of shares registered in the name of each stockholder. The Corporation shall not be required to include electronic mail addresses or other electronic contact information on such list. Such list shall be open to the examination of any stockholder, for any purpose germane to the meeting for a period of at least ten (10) days prior to the meeting:</w:t>
      </w:r>
    </w:p>
    <w:p>
      <w:pPr>
        <w:spacing w:after="0" w:line="4" w:lineRule="exact"/>
        <w:rPr>
          <w:sz w:val="20"/>
          <w:szCs w:val="20"/>
          <w:color w:val="auto"/>
        </w:rPr>
      </w:pPr>
    </w:p>
    <w:p>
      <w:pPr>
        <w:jc w:val="both"/>
        <w:ind w:firstLine="8"/>
        <w:spacing w:after="0" w:line="269" w:lineRule="auto"/>
        <w:tabs>
          <w:tab w:leader="none" w:pos="237" w:val="left"/>
        </w:tabs>
        <w:numPr>
          <w:ilvl w:val="0"/>
          <w:numId w:val="33"/>
        </w:numPr>
        <w:rPr>
          <w:rFonts w:ascii="Arial" w:cs="Arial" w:eastAsia="Arial" w:hAnsi="Arial"/>
          <w:sz w:val="18"/>
          <w:szCs w:val="18"/>
          <w:color w:val="auto"/>
        </w:rPr>
      </w:pPr>
      <w:r>
        <w:rPr>
          <w:rFonts w:ascii="Arial" w:cs="Arial" w:eastAsia="Arial" w:hAnsi="Arial"/>
          <w:sz w:val="18"/>
          <w:szCs w:val="18"/>
          <w:color w:val="auto"/>
        </w:rPr>
        <w:t>on a reasonably accessible electronic network, provided that the information required to gain access to such list is provided with the notice of the meeting, or (ii) during ordinary business hours, at the Corporation’s principal executive office. In the event that the Corporation determines to make the list available on an electronic network, the Corporation may take reasonable steps to ensure that such information is available only to stockholders of the Corporation. If the meeting is to be held at a place, then the list shall be produced and kept at the time and place of the meeting during the whole time thereof, and may be inspected by any stockholder who is present. If the meeting is to be held solely by means of remote communication, then the list shall also be open to the examination of any stockholder during the whole time of the meeting on a reasonably accessible electronic network, and the information required to access such list shall be provided with the notice of the meeting. Such list shall presumptively determine the identity of the stockholders entitled to vote at the meeting and the number of shares held by each of them. Except as otherwise provided by law, the stock ledger shall be the only evidence as to who are the stockholders entitled to examine the list of stockholders required by this Section 2.14 or to vote in person or by proxy at any meeting of stockholders.</w:t>
      </w:r>
    </w:p>
    <w:p>
      <w:pPr>
        <w:spacing w:after="0" w:line="175" w:lineRule="exact"/>
        <w:rPr>
          <w:sz w:val="20"/>
          <w:szCs w:val="20"/>
          <w:color w:val="auto"/>
        </w:rPr>
      </w:pPr>
    </w:p>
    <w:p>
      <w:pPr>
        <w:ind w:left="660"/>
        <w:spacing w:after="0"/>
        <w:tabs>
          <w:tab w:leader="none" w:pos="1180" w:val="left"/>
        </w:tabs>
        <w:rPr>
          <w:sz w:val="20"/>
          <w:szCs w:val="20"/>
          <w:color w:val="auto"/>
        </w:rPr>
      </w:pPr>
      <w:r>
        <w:rPr>
          <w:rFonts w:ascii="Arial" w:cs="Arial" w:eastAsia="Arial" w:hAnsi="Arial"/>
          <w:sz w:val="20"/>
          <w:szCs w:val="20"/>
          <w:color w:val="auto"/>
        </w:rPr>
        <w:t>2.15</w:t>
      </w:r>
      <w:r>
        <w:rPr>
          <w:sz w:val="20"/>
          <w:szCs w:val="20"/>
          <w:color w:val="auto"/>
        </w:rPr>
        <w:tab/>
      </w:r>
      <w:r>
        <w:rPr>
          <w:rFonts w:ascii="Arial" w:cs="Arial" w:eastAsia="Arial" w:hAnsi="Arial"/>
          <w:sz w:val="18"/>
          <w:szCs w:val="18"/>
          <w:u w:val="single" w:color="auto"/>
          <w:color w:val="auto"/>
        </w:rPr>
        <w:t>Inspectors of Election</w:t>
      </w:r>
      <w:r>
        <w:rPr>
          <w:rFonts w:ascii="Arial" w:cs="Arial" w:eastAsia="Arial" w:hAnsi="Arial"/>
          <w:sz w:val="18"/>
          <w:szCs w:val="18"/>
          <w:color w:val="auto"/>
        </w:rPr>
        <w:t>.</w:t>
      </w:r>
    </w:p>
    <w:p>
      <w:pPr>
        <w:spacing w:after="0" w:line="216"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Before any meeting of stockholders, the Corporation shall appoint an inspector or inspectors of election to act at the meeting or its adjournment and make a written report thereof. The Corporation may designate one or more persons as alternate inspectors to replace any inspector who fails to act. If any person appointed as inspector or any alternate fails to appear or fails or refuses to act, then the person presiding over the meeting shall appoint a person to fill that vacancy.</w:t>
      </w:r>
    </w:p>
    <w:p>
      <w:pPr>
        <w:spacing w:after="0" w:line="191" w:lineRule="exact"/>
        <w:rPr>
          <w:sz w:val="20"/>
          <w:szCs w:val="20"/>
          <w:color w:val="auto"/>
        </w:rPr>
      </w:pPr>
    </w:p>
    <w:p>
      <w:pPr>
        <w:ind w:left="660"/>
        <w:spacing w:after="0"/>
        <w:rPr>
          <w:sz w:val="20"/>
          <w:szCs w:val="20"/>
          <w:color w:val="auto"/>
        </w:rPr>
      </w:pPr>
      <w:r>
        <w:rPr>
          <w:rFonts w:ascii="Arial" w:cs="Arial" w:eastAsia="Arial" w:hAnsi="Arial"/>
          <w:sz w:val="20"/>
          <w:szCs w:val="20"/>
          <w:color w:val="auto"/>
        </w:rPr>
        <w:t>Such inspectors shall:</w:t>
      </w:r>
    </w:p>
    <w:p>
      <w:pPr>
        <w:spacing w:after="0" w:line="216" w:lineRule="exact"/>
        <w:rPr>
          <w:sz w:val="20"/>
          <w:szCs w:val="20"/>
          <w:color w:val="auto"/>
        </w:rPr>
      </w:pPr>
    </w:p>
    <w:p>
      <w:pPr>
        <w:ind w:firstLine="1304"/>
        <w:spacing w:after="0" w:line="260" w:lineRule="auto"/>
        <w:tabs>
          <w:tab w:leader="none" w:pos="1804" w:val="left"/>
        </w:tabs>
        <w:numPr>
          <w:ilvl w:val="0"/>
          <w:numId w:val="34"/>
        </w:numPr>
        <w:rPr>
          <w:rFonts w:ascii="Arial" w:cs="Arial" w:eastAsia="Arial" w:hAnsi="Arial"/>
          <w:sz w:val="20"/>
          <w:szCs w:val="20"/>
          <w:color w:val="auto"/>
        </w:rPr>
      </w:pPr>
      <w:r>
        <w:rPr>
          <w:rFonts w:ascii="Arial" w:cs="Arial" w:eastAsia="Arial" w:hAnsi="Arial"/>
          <w:sz w:val="20"/>
          <w:szCs w:val="20"/>
          <w:color w:val="auto"/>
        </w:rPr>
        <w:t>determine the number of shares outstanding and the voting power of each, the number of shares represented at the meeting and the validity of any proxies and ballots;</w:t>
      </w:r>
    </w:p>
    <w:p>
      <w:pPr>
        <w:spacing w:after="0" w:line="176" w:lineRule="exact"/>
        <w:rPr>
          <w:rFonts w:ascii="Arial" w:cs="Arial" w:eastAsia="Arial" w:hAnsi="Arial"/>
          <w:sz w:val="20"/>
          <w:szCs w:val="20"/>
          <w:color w:val="auto"/>
        </w:rPr>
      </w:pPr>
    </w:p>
    <w:p>
      <w:pPr>
        <w:ind w:left="1740" w:hanging="436"/>
        <w:spacing w:after="0"/>
        <w:tabs>
          <w:tab w:leader="none" w:pos="1740" w:val="left"/>
        </w:tabs>
        <w:numPr>
          <w:ilvl w:val="0"/>
          <w:numId w:val="34"/>
        </w:numPr>
        <w:rPr>
          <w:rFonts w:ascii="Arial" w:cs="Arial" w:eastAsia="Arial" w:hAnsi="Arial"/>
          <w:sz w:val="20"/>
          <w:szCs w:val="20"/>
          <w:color w:val="auto"/>
        </w:rPr>
      </w:pPr>
      <w:r>
        <w:rPr>
          <w:rFonts w:ascii="Arial" w:cs="Arial" w:eastAsia="Arial" w:hAnsi="Arial"/>
          <w:sz w:val="20"/>
          <w:szCs w:val="20"/>
          <w:color w:val="auto"/>
        </w:rPr>
        <w:t>count all votes or ballots;</w:t>
      </w:r>
    </w:p>
    <w:p>
      <w:pPr>
        <w:spacing w:after="0" w:line="215" w:lineRule="exact"/>
        <w:rPr>
          <w:rFonts w:ascii="Arial" w:cs="Arial" w:eastAsia="Arial" w:hAnsi="Arial"/>
          <w:sz w:val="20"/>
          <w:szCs w:val="20"/>
          <w:color w:val="auto"/>
        </w:rPr>
      </w:pPr>
    </w:p>
    <w:p>
      <w:pPr>
        <w:ind w:left="1720" w:hanging="416"/>
        <w:spacing w:after="0"/>
        <w:tabs>
          <w:tab w:leader="none" w:pos="1720" w:val="left"/>
        </w:tabs>
        <w:numPr>
          <w:ilvl w:val="0"/>
          <w:numId w:val="34"/>
        </w:numPr>
        <w:rPr>
          <w:rFonts w:ascii="Arial" w:cs="Arial" w:eastAsia="Arial" w:hAnsi="Arial"/>
          <w:sz w:val="20"/>
          <w:szCs w:val="20"/>
          <w:color w:val="auto"/>
        </w:rPr>
      </w:pPr>
      <w:r>
        <w:rPr>
          <w:rFonts w:ascii="Arial" w:cs="Arial" w:eastAsia="Arial" w:hAnsi="Arial"/>
          <w:sz w:val="20"/>
          <w:szCs w:val="20"/>
          <w:color w:val="auto"/>
        </w:rPr>
        <w:t>count and tabulate all votes;</w:t>
      </w:r>
    </w:p>
    <w:p>
      <w:pPr>
        <w:spacing w:after="0" w:line="215" w:lineRule="exact"/>
        <w:rPr>
          <w:rFonts w:ascii="Arial" w:cs="Arial" w:eastAsia="Arial" w:hAnsi="Arial"/>
          <w:sz w:val="20"/>
          <w:szCs w:val="20"/>
          <w:color w:val="auto"/>
        </w:rPr>
      </w:pPr>
    </w:p>
    <w:p>
      <w:pPr>
        <w:ind w:left="1740" w:hanging="436"/>
        <w:spacing w:after="0"/>
        <w:tabs>
          <w:tab w:leader="none" w:pos="1740" w:val="left"/>
        </w:tabs>
        <w:numPr>
          <w:ilvl w:val="0"/>
          <w:numId w:val="34"/>
        </w:numPr>
        <w:rPr>
          <w:rFonts w:ascii="Arial" w:cs="Arial" w:eastAsia="Arial" w:hAnsi="Arial"/>
          <w:sz w:val="16"/>
          <w:szCs w:val="16"/>
          <w:color w:val="auto"/>
        </w:rPr>
      </w:pPr>
      <w:r>
        <w:rPr>
          <w:rFonts w:ascii="Arial" w:cs="Arial" w:eastAsia="Arial" w:hAnsi="Arial"/>
          <w:sz w:val="16"/>
          <w:szCs w:val="16"/>
          <w:color w:val="auto"/>
        </w:rPr>
        <w:t>determine and retain for a reasonable period a record of the disposition of any challenges made to any determination by</w:t>
      </w:r>
    </w:p>
    <w:p>
      <w:pPr>
        <w:spacing w:after="0" w:line="61"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20"/>
          <w:szCs w:val="20"/>
          <w:color w:val="auto"/>
        </w:rPr>
        <w:t>the inspector(s); and</w:t>
      </w:r>
    </w:p>
    <w:p>
      <w:pPr>
        <w:spacing w:after="0" w:line="199" w:lineRule="exact"/>
        <w:rPr>
          <w:rFonts w:ascii="Arial" w:cs="Arial" w:eastAsia="Arial" w:hAnsi="Arial"/>
          <w:sz w:val="16"/>
          <w:szCs w:val="16"/>
          <w:color w:val="auto"/>
        </w:rPr>
      </w:pPr>
    </w:p>
    <w:p>
      <w:pPr>
        <w:ind w:left="1780" w:hanging="476"/>
        <w:spacing w:after="0"/>
        <w:tabs>
          <w:tab w:leader="none" w:pos="17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certify its or their determination of the number of shares represented at the meeting and its or their count of all votes</w:t>
      </w:r>
    </w:p>
    <w:p>
      <w:pPr>
        <w:spacing w:after="0" w:line="38"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20"/>
          <w:szCs w:val="20"/>
          <w:color w:val="auto"/>
        </w:rPr>
        <w:t>and ballots.</w:t>
      </w:r>
    </w:p>
    <w:p>
      <w:pPr>
        <w:spacing w:after="0" w:line="200" w:lineRule="exact"/>
        <w:rPr>
          <w:sz w:val="20"/>
          <w:szCs w:val="20"/>
          <w:color w:val="auto"/>
        </w:rPr>
      </w:pPr>
    </w:p>
    <w:p>
      <w:pPr>
        <w:ind w:right="20" w:firstLine="648"/>
        <w:spacing w:after="0" w:line="260" w:lineRule="auto"/>
        <w:rPr>
          <w:sz w:val="20"/>
          <w:szCs w:val="20"/>
          <w:color w:val="auto"/>
        </w:rPr>
      </w:pPr>
      <w:r>
        <w:rPr>
          <w:rFonts w:ascii="Arial" w:cs="Arial" w:eastAsia="Arial" w:hAnsi="Arial"/>
          <w:sz w:val="20"/>
          <w:szCs w:val="20"/>
          <w:color w:val="auto"/>
        </w:rPr>
        <w:t>Each inspector, before entering upon the discharge of the duties of inspector, shall take and sign an oath faithfully to execute the duties of inspection with strict impartiality and according to the best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13</w:t>
      </w:r>
    </w:p>
    <w:p>
      <w:pPr>
        <w:sectPr>
          <w:pgSz w:w="11900" w:h="16838" w:orient="portrait"/>
          <w:cols w:equalWidth="0" w:num="1">
            <w:col w:w="11240"/>
          </w:cols>
          <w:pgMar w:left="320" w:top="1419" w:right="339" w:bottom="1440" w:gutter="0" w:footer="0" w:header="0"/>
        </w:sectPr>
      </w:pPr>
    </w:p>
    <w:bookmarkStart w:id="36" w:name="page37"/>
    <w:bookmarkEnd w:id="36"/>
    <w:p>
      <w:pPr>
        <w:spacing w:after="0" w:line="260" w:lineRule="auto"/>
        <w:rPr>
          <w:sz w:val="20"/>
          <w:szCs w:val="20"/>
          <w:color w:val="auto"/>
        </w:rPr>
      </w:pPr>
      <w:r>
        <w:rPr>
          <w:rFonts w:ascii="Arial" w:cs="Arial" w:eastAsia="Arial" w:hAnsi="Arial"/>
          <w:sz w:val="20"/>
          <w:szCs w:val="20"/>
          <w:color w:val="auto"/>
        </w:rPr>
        <w:t>such inspector’s ability. Any report or certificate made by the inspectors of election is prima facie evidence of the facts stated therein. The inspectors of election may appoint such persons to assist them in performing their duties as they determine.</w:t>
      </w:r>
    </w:p>
    <w:p>
      <w:pPr>
        <w:spacing w:after="0" w:line="177" w:lineRule="exact"/>
        <w:rPr>
          <w:sz w:val="20"/>
          <w:szCs w:val="20"/>
          <w:color w:val="auto"/>
        </w:rPr>
      </w:pPr>
    </w:p>
    <w:p>
      <w:pPr>
        <w:ind w:left="660"/>
        <w:spacing w:after="0"/>
        <w:tabs>
          <w:tab w:leader="none" w:pos="1180" w:val="left"/>
        </w:tabs>
        <w:rPr>
          <w:sz w:val="20"/>
          <w:szCs w:val="20"/>
          <w:color w:val="auto"/>
        </w:rPr>
      </w:pPr>
      <w:r>
        <w:rPr>
          <w:rFonts w:ascii="Arial" w:cs="Arial" w:eastAsia="Arial" w:hAnsi="Arial"/>
          <w:sz w:val="20"/>
          <w:szCs w:val="20"/>
          <w:color w:val="auto"/>
        </w:rPr>
        <w:t>2.16</w:t>
      </w:r>
      <w:r>
        <w:rPr>
          <w:sz w:val="20"/>
          <w:szCs w:val="20"/>
          <w:color w:val="auto"/>
        </w:rPr>
        <w:tab/>
      </w:r>
      <w:r>
        <w:rPr>
          <w:rFonts w:ascii="Arial" w:cs="Arial" w:eastAsia="Arial" w:hAnsi="Arial"/>
          <w:sz w:val="18"/>
          <w:szCs w:val="18"/>
          <w:u w:val="single" w:color="auto"/>
          <w:color w:val="auto"/>
        </w:rPr>
        <w:t>Action by Consent in Lieu of a Meeting</w:t>
      </w:r>
      <w:r>
        <w:rPr>
          <w:rFonts w:ascii="Arial" w:cs="Arial" w:eastAsia="Arial" w:hAnsi="Arial"/>
          <w:sz w:val="18"/>
          <w:szCs w:val="18"/>
          <w:color w:val="auto"/>
        </w:rPr>
        <w:t>.</w:t>
      </w:r>
    </w:p>
    <w:p>
      <w:pPr>
        <w:spacing w:after="0" w:line="216" w:lineRule="exact"/>
        <w:rPr>
          <w:sz w:val="20"/>
          <w:szCs w:val="20"/>
          <w:color w:val="auto"/>
        </w:rPr>
      </w:pPr>
    </w:p>
    <w:p>
      <w:pPr>
        <w:jc w:val="both"/>
        <w:ind w:firstLine="1304"/>
        <w:spacing w:after="0" w:line="272" w:lineRule="auto"/>
        <w:tabs>
          <w:tab w:leader="none" w:pos="1727" w:val="left"/>
        </w:tabs>
        <w:numPr>
          <w:ilvl w:val="0"/>
          <w:numId w:val="35"/>
        </w:numPr>
        <w:rPr>
          <w:rFonts w:ascii="Arial" w:cs="Arial" w:eastAsia="Arial" w:hAnsi="Arial"/>
          <w:sz w:val="18"/>
          <w:szCs w:val="18"/>
          <w:color w:val="auto"/>
        </w:rPr>
      </w:pPr>
      <w:r>
        <w:rPr>
          <w:rFonts w:ascii="Arial" w:cs="Arial" w:eastAsia="Arial" w:hAnsi="Arial"/>
          <w:sz w:val="18"/>
          <w:szCs w:val="18"/>
          <w:color w:val="auto"/>
        </w:rPr>
        <w:t>Any action required or permitted to be taken by the stockholders of the Corporation may be effected by consent in lieu of a meeting only as provided by the Certificate of Incorporation. Any such action may be taken without a meeting, without prior notice and without a vote, if a consent or consents in writing or by electronic transmission, setting forth the action so taken, (i) shall be signed by holders of outstanding shares of the Corporation having not less than the minimum number of votes that would be necessary to authorize or take such action at a meeting at which all shares entitled to vote thereon were present and voted and (ii) shall be delivered to the Corporation in accordance with Section 228 of the DGCL. No consent shall be effective to take corporate action unless, within sixty (60) days of the first date on which a consent is so delivered to the Corporation in the manner described in this Section 2.16, consents signed by a sufficient number of holders to take such action are delivered to the Corporation in the manner described in this Section 2.16. Only stockholders of record on the Consent Record Date shall be entitled to consent to corporate action without a meeting.</w:t>
      </w:r>
    </w:p>
    <w:p>
      <w:pPr>
        <w:spacing w:after="0" w:line="170" w:lineRule="exact"/>
        <w:rPr>
          <w:rFonts w:ascii="Arial" w:cs="Arial" w:eastAsia="Arial" w:hAnsi="Arial"/>
          <w:sz w:val="18"/>
          <w:szCs w:val="18"/>
          <w:color w:val="auto"/>
        </w:rPr>
      </w:pPr>
    </w:p>
    <w:p>
      <w:pPr>
        <w:jc w:val="both"/>
        <w:ind w:firstLine="1304"/>
        <w:spacing w:after="0" w:line="270" w:lineRule="auto"/>
        <w:tabs>
          <w:tab w:leader="none" w:pos="1834" w:val="left"/>
        </w:tabs>
        <w:numPr>
          <w:ilvl w:val="0"/>
          <w:numId w:val="35"/>
        </w:numPr>
        <w:rPr>
          <w:rFonts w:ascii="Arial" w:cs="Arial" w:eastAsia="Arial" w:hAnsi="Arial"/>
          <w:sz w:val="18"/>
          <w:szCs w:val="18"/>
          <w:color w:val="auto"/>
        </w:rPr>
      </w:pPr>
      <w:r>
        <w:rPr>
          <w:rFonts w:ascii="Arial" w:cs="Arial" w:eastAsia="Arial" w:hAnsi="Arial"/>
          <w:sz w:val="18"/>
          <w:szCs w:val="18"/>
          <w:color w:val="auto"/>
        </w:rPr>
        <w:t>Without qualification, any stockholder of record seeking to have the stockholders authorize or take any action by consent in lieu of a meeting shall first request in writing that the Board fix a record date for the purpose of determining the stockholders entitled to take such action, which request shall set forth a description of the action or actions to be taken by consent and shall be delivered to, or mailed and received by, the Secretary of the Corporation at the principal executive offices of the Corporation. Within ten (10) days after receipt of a request in proper form and otherwise in compliance with this Section 2.16(b) from any such stockholder, the Board may adopt a resolution fixing a record date for the purpose of determining the stockholders entitled to take such action, which date shall not be more than ten (10) days after the date upon which the resolution fixing the record date is adopted by the Board. If no resolution fixing a record date has been adopted by the Board within such ten (10) day period after the date on which such a request is received, (i) the record date for determining stockholders entitled to consent to such action, when no prior action of the Board is required by applicable law, shall be the first date on which valid signed consents constituting at least a majority of the outstanding shares of the Corporation and setting forth the action taken or proposed to be taken is delivered to the Corporation in the manner described in this Section 2.16, and (ii) the record date for determining stockholders entitled to consent to such action, when prior action by the Board is required by applicable law, shall be at the close of business on the date on which the Board adopts the resolution taking such prior action.</w:t>
      </w:r>
    </w:p>
    <w:p>
      <w:pPr>
        <w:spacing w:after="0" w:line="172" w:lineRule="exact"/>
        <w:rPr>
          <w:rFonts w:ascii="Arial" w:cs="Arial" w:eastAsia="Arial" w:hAnsi="Arial"/>
          <w:sz w:val="18"/>
          <w:szCs w:val="18"/>
          <w:color w:val="auto"/>
        </w:rPr>
      </w:pPr>
    </w:p>
    <w:p>
      <w:pPr>
        <w:jc w:val="both"/>
        <w:ind w:firstLine="1304"/>
        <w:spacing w:after="0" w:line="250" w:lineRule="auto"/>
        <w:tabs>
          <w:tab w:leader="none" w:pos="1800" w:val="left"/>
        </w:tabs>
        <w:numPr>
          <w:ilvl w:val="0"/>
          <w:numId w:val="35"/>
        </w:numPr>
        <w:rPr>
          <w:rFonts w:ascii="Arial" w:cs="Arial" w:eastAsia="Arial" w:hAnsi="Arial"/>
          <w:sz w:val="20"/>
          <w:szCs w:val="20"/>
          <w:color w:val="auto"/>
        </w:rPr>
      </w:pPr>
      <w:r>
        <w:rPr>
          <w:rFonts w:ascii="Arial" w:cs="Arial" w:eastAsia="Arial" w:hAnsi="Arial"/>
          <w:sz w:val="20"/>
          <w:szCs w:val="20"/>
          <w:color w:val="auto"/>
        </w:rPr>
        <w:t>If directors are proposed by the stockholders to be elected by consent (to the extent permitted by the Certificate of Incorporation), the stockholder of record requesting that the Board fix a record date shall set forth in the request the Nominee Information (as defined above) for each person who is proposed to be elected as a director by consent.</w:t>
      </w:r>
    </w:p>
    <w:p>
      <w:pPr>
        <w:spacing w:after="0" w:line="185" w:lineRule="exact"/>
        <w:rPr>
          <w:rFonts w:ascii="Arial" w:cs="Arial" w:eastAsia="Arial" w:hAnsi="Arial"/>
          <w:sz w:val="20"/>
          <w:szCs w:val="20"/>
          <w:color w:val="auto"/>
        </w:rPr>
      </w:pPr>
    </w:p>
    <w:p>
      <w:pPr>
        <w:jc w:val="both"/>
        <w:ind w:firstLine="1304"/>
        <w:spacing w:after="0" w:line="244" w:lineRule="auto"/>
        <w:tabs>
          <w:tab w:leader="none" w:pos="1783" w:val="left"/>
        </w:tabs>
        <w:numPr>
          <w:ilvl w:val="0"/>
          <w:numId w:val="35"/>
        </w:numPr>
        <w:rPr>
          <w:rFonts w:ascii="Arial" w:cs="Arial" w:eastAsia="Arial" w:hAnsi="Arial"/>
          <w:sz w:val="20"/>
          <w:szCs w:val="20"/>
          <w:color w:val="auto"/>
        </w:rPr>
      </w:pPr>
      <w:r>
        <w:rPr>
          <w:rFonts w:ascii="Arial" w:cs="Arial" w:eastAsia="Arial" w:hAnsi="Arial"/>
          <w:sz w:val="20"/>
          <w:szCs w:val="20"/>
          <w:color w:val="auto"/>
        </w:rPr>
        <w:t>Notwithstanding anything in these Bylaws to the contrary, no action may be taken by the stockholders by consent in lieu of a meeting except in accordance with this Section 2.16. If the Board shall determine that any request from a stockholder to fix a record date or to take stockholder action by consent was not properly made in accordance with this Section 2.16, or the stockholder or stockholders seeking to take such action do not otherwise comply with this Section 2.16, then the Board of Directors shall not be required to fix a record date and any such purported action by consent shall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14</w:t>
      </w:r>
    </w:p>
    <w:p>
      <w:pPr>
        <w:sectPr>
          <w:pgSz w:w="11900" w:h="16838" w:orient="portrait"/>
          <w:cols w:equalWidth="0" w:num="1">
            <w:col w:w="11240"/>
          </w:cols>
          <w:pgMar w:left="320" w:top="1419" w:right="339" w:bottom="1440" w:gutter="0" w:footer="0" w:header="0"/>
        </w:sectPr>
      </w:pPr>
    </w:p>
    <w:bookmarkStart w:id="37" w:name="page38"/>
    <w:bookmarkEnd w:id="37"/>
    <w:p>
      <w:pPr>
        <w:jc w:val="both"/>
        <w:spacing w:after="0" w:line="246" w:lineRule="auto"/>
        <w:rPr>
          <w:sz w:val="20"/>
          <w:szCs w:val="20"/>
          <w:color w:val="auto"/>
        </w:rPr>
      </w:pPr>
      <w:r>
        <w:rPr>
          <w:rFonts w:ascii="Arial" w:cs="Arial" w:eastAsia="Arial" w:hAnsi="Arial"/>
          <w:sz w:val="20"/>
          <w:szCs w:val="20"/>
          <w:color w:val="auto"/>
        </w:rPr>
        <w:t>null and void to the fullest extent permitted by applicable law. In addition to the requirements of this Section 2.16 with respect to stockholders seeking to take an action by consent, each person requesting that the Board fix a record date and proposing the action or actions to be taken by consent shall comply with all requirements of applicable law, including all requirements of the Exchange Act, with respect to such actions.</w:t>
      </w:r>
    </w:p>
    <w:p>
      <w:pPr>
        <w:spacing w:after="0" w:line="191" w:lineRule="exact"/>
        <w:rPr>
          <w:sz w:val="20"/>
          <w:szCs w:val="20"/>
          <w:color w:val="auto"/>
        </w:rPr>
      </w:pPr>
    </w:p>
    <w:p>
      <w:pPr>
        <w:ind w:left="660"/>
        <w:spacing w:after="0"/>
        <w:tabs>
          <w:tab w:leader="none" w:pos="1180" w:val="left"/>
        </w:tabs>
        <w:rPr>
          <w:sz w:val="20"/>
          <w:szCs w:val="20"/>
          <w:color w:val="auto"/>
        </w:rPr>
      </w:pPr>
      <w:r>
        <w:rPr>
          <w:rFonts w:ascii="Arial" w:cs="Arial" w:eastAsia="Arial" w:hAnsi="Arial"/>
          <w:sz w:val="20"/>
          <w:szCs w:val="20"/>
          <w:color w:val="auto"/>
        </w:rPr>
        <w:t>2.17</w:t>
      </w:r>
      <w:r>
        <w:rPr>
          <w:sz w:val="20"/>
          <w:szCs w:val="20"/>
          <w:color w:val="auto"/>
        </w:rPr>
        <w:tab/>
      </w:r>
      <w:r>
        <w:rPr>
          <w:rFonts w:ascii="Arial" w:cs="Arial" w:eastAsia="Arial" w:hAnsi="Arial"/>
          <w:sz w:val="18"/>
          <w:szCs w:val="18"/>
          <w:u w:val="single" w:color="auto"/>
          <w:color w:val="auto"/>
        </w:rPr>
        <w:t>Delivery to the Corporation</w:t>
      </w:r>
      <w:r>
        <w:rPr>
          <w:rFonts w:ascii="Arial" w:cs="Arial" w:eastAsia="Arial" w:hAnsi="Arial"/>
          <w:sz w:val="18"/>
          <w:szCs w:val="18"/>
          <w:color w:val="auto"/>
        </w:rPr>
        <w:t>.</w:t>
      </w:r>
    </w:p>
    <w:p>
      <w:pPr>
        <w:spacing w:after="0" w:line="216"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9"/>
          <w:szCs w:val="19"/>
          <w:color w:val="auto"/>
        </w:rPr>
        <w:t>Whenever this Article II requires one or more persons (including a record or beneficial owner of stock) to deliver a document or information to the Corporation or any officer, employee or agent thereof (including any notice, request, questionnaire, revocation, representation or other document or agreement), such document or information shall be in writing exclusively (and not in an electronic transmission) and shall be delivered exclusively by hand (including, without limitation, overnight courier service) or by certified or registered mail, return receipt requested, and the Corporation shall not be required to accept delivery of any document not in such written form or so delivered. For the avoidance of doubt, the Corporation expressly opts out of Section 116 of the DGCL with respect to the delivery of information and documents to the Corporation required by this Article II.</w:t>
      </w:r>
    </w:p>
    <w:p>
      <w:pPr>
        <w:spacing w:after="0" w:line="179" w:lineRule="exact"/>
        <w:rPr>
          <w:sz w:val="20"/>
          <w:szCs w:val="20"/>
          <w:color w:val="auto"/>
        </w:rPr>
      </w:pPr>
    </w:p>
    <w:p>
      <w:pPr>
        <w:ind w:left="5160"/>
        <w:spacing w:after="0"/>
        <w:rPr>
          <w:sz w:val="20"/>
          <w:szCs w:val="20"/>
          <w:color w:val="auto"/>
        </w:rPr>
      </w:pPr>
      <w:r>
        <w:rPr>
          <w:rFonts w:ascii="Arial" w:cs="Arial" w:eastAsia="Arial" w:hAnsi="Arial"/>
          <w:sz w:val="20"/>
          <w:szCs w:val="20"/>
          <w:b w:val="1"/>
          <w:bCs w:val="1"/>
          <w:color w:val="auto"/>
        </w:rPr>
        <w:t>Article III.</w:t>
      </w:r>
    </w:p>
    <w:p>
      <w:pPr>
        <w:spacing w:after="0" w:line="22" w:lineRule="exact"/>
        <w:rPr>
          <w:sz w:val="20"/>
          <w:szCs w:val="20"/>
          <w:color w:val="auto"/>
        </w:rPr>
      </w:pPr>
    </w:p>
    <w:p>
      <w:pPr>
        <w:ind w:left="5240"/>
        <w:spacing w:after="0"/>
        <w:rPr>
          <w:sz w:val="20"/>
          <w:szCs w:val="20"/>
          <w:color w:val="auto"/>
        </w:rPr>
      </w:pPr>
      <w:r>
        <w:rPr>
          <w:rFonts w:ascii="Arial" w:cs="Arial" w:eastAsia="Arial" w:hAnsi="Arial"/>
          <w:sz w:val="20"/>
          <w:szCs w:val="20"/>
          <w:b w:val="1"/>
          <w:bCs w:val="1"/>
          <w:color w:val="auto"/>
        </w:rPr>
        <w:t>Directors</w:t>
      </w:r>
    </w:p>
    <w:p>
      <w:pPr>
        <w:spacing w:after="0" w:line="200"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20"/>
          <w:szCs w:val="20"/>
          <w:color w:val="auto"/>
        </w:rPr>
        <w:t>3.1</w:t>
      </w:r>
      <w:r>
        <w:rPr>
          <w:sz w:val="20"/>
          <w:szCs w:val="20"/>
          <w:color w:val="auto"/>
        </w:rPr>
        <w:tab/>
      </w:r>
      <w:r>
        <w:rPr>
          <w:rFonts w:ascii="Arial" w:cs="Arial" w:eastAsia="Arial" w:hAnsi="Arial"/>
          <w:sz w:val="16"/>
          <w:szCs w:val="16"/>
          <w:u w:val="single" w:color="auto"/>
          <w:color w:val="auto"/>
        </w:rPr>
        <w:t>Powers</w:t>
      </w:r>
      <w:r>
        <w:rPr>
          <w:rFonts w:ascii="Arial" w:cs="Arial" w:eastAsia="Arial" w:hAnsi="Arial"/>
          <w:sz w:val="16"/>
          <w:szCs w:val="16"/>
          <w:color w:val="auto"/>
        </w:rPr>
        <w:t>.</w:t>
      </w:r>
    </w:p>
    <w:p>
      <w:pPr>
        <w:spacing w:after="0" w:line="216"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Except as otherwise provided by the Certificate of Incorporation or the DGCL, the business and affairs of the Corporation shall be managed by or under the direction of the Board.</w:t>
      </w:r>
    </w:p>
    <w:p>
      <w:pPr>
        <w:spacing w:after="0" w:line="177"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20"/>
          <w:szCs w:val="20"/>
          <w:color w:val="auto"/>
        </w:rPr>
        <w:t>3.2</w:t>
      </w:r>
      <w:r>
        <w:rPr>
          <w:sz w:val="20"/>
          <w:szCs w:val="20"/>
          <w:color w:val="auto"/>
        </w:rPr>
        <w:tab/>
      </w:r>
      <w:r>
        <w:rPr>
          <w:rFonts w:ascii="Arial" w:cs="Arial" w:eastAsia="Arial" w:hAnsi="Arial"/>
          <w:sz w:val="18"/>
          <w:szCs w:val="18"/>
          <w:u w:val="single" w:color="auto"/>
          <w:color w:val="auto"/>
        </w:rPr>
        <w:t>Number of Directors</w:t>
      </w:r>
      <w:r>
        <w:rPr>
          <w:rFonts w:ascii="Arial" w:cs="Arial" w:eastAsia="Arial" w:hAnsi="Arial"/>
          <w:sz w:val="18"/>
          <w:szCs w:val="18"/>
          <w:color w:val="auto"/>
        </w:rPr>
        <w:t>.</w:t>
      </w:r>
    </w:p>
    <w:p>
      <w:pPr>
        <w:spacing w:after="0" w:line="216"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Subject to the Certificate of Incorporation, the total number of directors constituting the Board shall be determined from time to time by resolution of the Board. No reduction of the authorized number of directors shall have the effect of removing any director before that director’s term of office expires.</w:t>
      </w:r>
    </w:p>
    <w:p>
      <w:pPr>
        <w:spacing w:after="0" w:line="186"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20"/>
          <w:szCs w:val="20"/>
          <w:color w:val="auto"/>
        </w:rPr>
        <w:t>3.3</w:t>
      </w:r>
      <w:r>
        <w:rPr>
          <w:sz w:val="20"/>
          <w:szCs w:val="20"/>
          <w:color w:val="auto"/>
        </w:rPr>
        <w:tab/>
      </w:r>
      <w:r>
        <w:rPr>
          <w:rFonts w:ascii="Arial" w:cs="Arial" w:eastAsia="Arial" w:hAnsi="Arial"/>
          <w:sz w:val="18"/>
          <w:szCs w:val="18"/>
          <w:u w:val="single" w:color="auto"/>
          <w:color w:val="auto"/>
        </w:rPr>
        <w:t>Election, Qualification and Term of Office of Directors</w:t>
      </w:r>
      <w:r>
        <w:rPr>
          <w:rFonts w:ascii="Arial" w:cs="Arial" w:eastAsia="Arial" w:hAnsi="Arial"/>
          <w:sz w:val="18"/>
          <w:szCs w:val="18"/>
          <w:color w:val="auto"/>
        </w:rPr>
        <w:t>.</w:t>
      </w:r>
    </w:p>
    <w:p>
      <w:pPr>
        <w:spacing w:after="0" w:line="216"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Except as provided in Section 3.4 of these Bylaws, and subject to the Certificate of Incorporation, each director, including a director elected to fill a vacancy or newly created directorship, shall hold office until the date of the next annual meeting of stockholders following the election or appointment of such director and until such director’s successor is elected and qualified or until such director’s earlier death, resignation, disqualification or removal. Directors need not be stockholders. The Certificate of Incorporation or these Bylaws may prescribe qualifications for directors.</w:t>
      </w:r>
    </w:p>
    <w:p>
      <w:pPr>
        <w:spacing w:after="0" w:line="194"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20"/>
          <w:szCs w:val="20"/>
          <w:color w:val="auto"/>
        </w:rPr>
        <w:t>3.4</w:t>
      </w:r>
      <w:r>
        <w:rPr>
          <w:sz w:val="20"/>
          <w:szCs w:val="20"/>
          <w:color w:val="auto"/>
        </w:rPr>
        <w:tab/>
      </w:r>
      <w:r>
        <w:rPr>
          <w:rFonts w:ascii="Arial" w:cs="Arial" w:eastAsia="Arial" w:hAnsi="Arial"/>
          <w:sz w:val="16"/>
          <w:szCs w:val="16"/>
          <w:u w:val="single" w:color="auto"/>
          <w:color w:val="auto"/>
        </w:rPr>
        <w:t>Resignation and Vacancies</w:t>
      </w:r>
      <w:r>
        <w:rPr>
          <w:rFonts w:ascii="Arial" w:cs="Arial" w:eastAsia="Arial" w:hAnsi="Arial"/>
          <w:sz w:val="16"/>
          <w:szCs w:val="16"/>
          <w:color w:val="auto"/>
        </w:rPr>
        <w:t>.</w:t>
      </w:r>
    </w:p>
    <w:p>
      <w:pPr>
        <w:spacing w:after="0" w:line="216"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Any director may resign at any time upon notice given in writing or by electronic transmission to the Corporation. The resignation shall take effect at the time specified therein or upon the happening of an event specified therein, and if no time or event is specified, at the time of its receipt. When one or more directors so resigns and the resignation is effective at a future date or upon the happening of an event to occur on a future date, a majority of the directors then in office, including those who have so resigned, shall have power to fill such vacancy or vacancies, the vote thereon to take effect when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15</w:t>
      </w:r>
    </w:p>
    <w:p>
      <w:pPr>
        <w:sectPr>
          <w:pgSz w:w="11900" w:h="16838" w:orient="portrait"/>
          <w:cols w:equalWidth="0" w:num="1">
            <w:col w:w="11240"/>
          </w:cols>
          <w:pgMar w:left="320" w:top="1419" w:right="339" w:bottom="1440" w:gutter="0" w:footer="0" w:header="0"/>
        </w:sectPr>
      </w:pPr>
    </w:p>
    <w:bookmarkStart w:id="38" w:name="page39"/>
    <w:bookmarkEnd w:id="38"/>
    <w:p>
      <w:pPr>
        <w:spacing w:after="0"/>
        <w:rPr>
          <w:sz w:val="20"/>
          <w:szCs w:val="20"/>
          <w:color w:val="auto"/>
        </w:rPr>
      </w:pPr>
      <w:r>
        <w:rPr>
          <w:rFonts w:ascii="Arial" w:cs="Arial" w:eastAsia="Arial" w:hAnsi="Arial"/>
          <w:sz w:val="20"/>
          <w:szCs w:val="20"/>
          <w:color w:val="auto"/>
        </w:rPr>
        <w:t>resignation or resignations shall become effective, and each director so chosen shall hold office as provided in Section 3.3.</w:t>
      </w:r>
    </w:p>
    <w:p>
      <w:pPr>
        <w:spacing w:after="0" w:line="21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9"/>
          <w:szCs w:val="19"/>
          <w:color w:val="auto"/>
        </w:rPr>
        <w:t>Unless otherwise provided in the Certificate of Incorporation or these Bylaws, vacancies resulting from the death, resignation, disqualification or removal from office of any director or from any other cause, and newly created directorships resulting from any increase in the authorized number of directors, shall be filled solely by the affirmative vote of a majority of the directors then in office, even if less than a quorum, or by a sole remaining director, and shall not be filled by the stockholders.</w:t>
      </w:r>
    </w:p>
    <w:p>
      <w:pPr>
        <w:spacing w:after="0" w:line="176"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20"/>
          <w:szCs w:val="20"/>
          <w:color w:val="auto"/>
        </w:rPr>
        <w:t>3.5</w:t>
      </w:r>
      <w:r>
        <w:rPr>
          <w:sz w:val="20"/>
          <w:szCs w:val="20"/>
          <w:color w:val="auto"/>
        </w:rPr>
        <w:tab/>
      </w:r>
      <w:r>
        <w:rPr>
          <w:rFonts w:ascii="Arial" w:cs="Arial" w:eastAsia="Arial" w:hAnsi="Arial"/>
          <w:sz w:val="16"/>
          <w:szCs w:val="16"/>
          <w:u w:val="single" w:color="auto"/>
          <w:color w:val="auto"/>
        </w:rPr>
        <w:t>Place of Meetings; Meetings by Telephone</w:t>
      </w:r>
      <w:r>
        <w:rPr>
          <w:rFonts w:ascii="Arial" w:cs="Arial" w:eastAsia="Arial" w:hAnsi="Arial"/>
          <w:sz w:val="16"/>
          <w:szCs w:val="16"/>
          <w:color w:val="auto"/>
        </w:rPr>
        <w:t>.</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The Board may hold meetings, both regular and special, either within or outside the State of Delaware.</w:t>
      </w:r>
    </w:p>
    <w:p>
      <w:pPr>
        <w:spacing w:after="0" w:line="216"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Unless otherwise restricted by the Certificate of Incorporation or these Bylaws, members of the Board, or any committee designated by the Board, may participate in a meeting of the Board, or any committee, by means of conference telephone or other communications equipment by means of which all persons participating in the meeting can hear each other, and such participation in a meeting pursuant to this Bylaw shall constitute presence in person at the meeting.</w:t>
      </w:r>
    </w:p>
    <w:p>
      <w:pPr>
        <w:spacing w:after="0" w:line="191"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20"/>
          <w:szCs w:val="20"/>
          <w:color w:val="auto"/>
        </w:rPr>
        <w:t>3.6</w:t>
      </w:r>
      <w:r>
        <w:rPr>
          <w:sz w:val="20"/>
          <w:szCs w:val="20"/>
          <w:color w:val="auto"/>
        </w:rPr>
        <w:tab/>
      </w:r>
      <w:r>
        <w:rPr>
          <w:rFonts w:ascii="Arial" w:cs="Arial" w:eastAsia="Arial" w:hAnsi="Arial"/>
          <w:sz w:val="16"/>
          <w:szCs w:val="16"/>
          <w:u w:val="single" w:color="auto"/>
          <w:color w:val="auto"/>
        </w:rPr>
        <w:t>Regular Meetings</w:t>
      </w:r>
      <w:r>
        <w:rPr>
          <w:rFonts w:ascii="Arial" w:cs="Arial" w:eastAsia="Arial" w:hAnsi="Arial"/>
          <w:sz w:val="16"/>
          <w:szCs w:val="16"/>
          <w:color w:val="auto"/>
        </w:rPr>
        <w:t>.</w:t>
      </w:r>
    </w:p>
    <w:p>
      <w:pPr>
        <w:spacing w:after="0" w:line="216"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Regular meetings of the Board may be held within or outside the State of Delaware and at such time and at such place as which has been designated by the Board and publicized among all directors, either orally or in writing, by telephone, including a voice messaging system or other system designed to record and communicate messages, facsimile, or by electronic mail or other means of electronic transmission. No further notice shall be required for regular meetings of the Board.</w:t>
      </w:r>
    </w:p>
    <w:p>
      <w:pPr>
        <w:spacing w:after="0" w:line="191"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20"/>
          <w:szCs w:val="20"/>
          <w:color w:val="auto"/>
        </w:rPr>
        <w:t>3.7</w:t>
      </w:r>
      <w:r>
        <w:rPr>
          <w:sz w:val="20"/>
          <w:szCs w:val="20"/>
          <w:color w:val="auto"/>
        </w:rPr>
        <w:tab/>
      </w:r>
      <w:r>
        <w:rPr>
          <w:rFonts w:ascii="Arial" w:cs="Arial" w:eastAsia="Arial" w:hAnsi="Arial"/>
          <w:sz w:val="18"/>
          <w:szCs w:val="18"/>
          <w:u w:val="single" w:color="auto"/>
          <w:color w:val="auto"/>
        </w:rPr>
        <w:t>Special Meetings; Notice</w:t>
      </w:r>
      <w:r>
        <w:rPr>
          <w:rFonts w:ascii="Arial" w:cs="Arial" w:eastAsia="Arial" w:hAnsi="Arial"/>
          <w:sz w:val="18"/>
          <w:szCs w:val="18"/>
          <w:color w:val="auto"/>
        </w:rPr>
        <w:t>.</w:t>
      </w:r>
    </w:p>
    <w:p>
      <w:pPr>
        <w:spacing w:after="0" w:line="216"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20"/>
          <w:szCs w:val="20"/>
          <w:color w:val="auto"/>
        </w:rPr>
        <w:t>Special meetings of the Board for any purpose or purposes may be called at any time by the chairperson of the Board, the Chief Executive Officer, the President, the Secretary or a majority of the total number of directors constituting the Board.</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20"/>
          <w:szCs w:val="20"/>
          <w:color w:val="auto"/>
        </w:rPr>
        <w:t>Notice of the time and place of special meetings shall be:</w:t>
      </w:r>
    </w:p>
    <w:p>
      <w:pPr>
        <w:spacing w:after="0" w:line="216" w:lineRule="exact"/>
        <w:rPr>
          <w:sz w:val="20"/>
          <w:szCs w:val="20"/>
          <w:color w:val="auto"/>
        </w:rPr>
      </w:pPr>
    </w:p>
    <w:p>
      <w:pPr>
        <w:ind w:left="1720" w:hanging="416"/>
        <w:spacing w:after="0"/>
        <w:tabs>
          <w:tab w:leader="none" w:pos="1720" w:val="left"/>
        </w:tabs>
        <w:numPr>
          <w:ilvl w:val="0"/>
          <w:numId w:val="36"/>
        </w:numPr>
        <w:rPr>
          <w:rFonts w:ascii="Arial" w:cs="Arial" w:eastAsia="Arial" w:hAnsi="Arial"/>
          <w:sz w:val="20"/>
          <w:szCs w:val="20"/>
          <w:color w:val="auto"/>
        </w:rPr>
      </w:pPr>
      <w:r>
        <w:rPr>
          <w:rFonts w:ascii="Arial" w:cs="Arial" w:eastAsia="Arial" w:hAnsi="Arial"/>
          <w:sz w:val="20"/>
          <w:szCs w:val="20"/>
          <w:color w:val="auto"/>
        </w:rPr>
        <w:t>delivered personally by hand, by courier or by telephone;</w:t>
      </w:r>
    </w:p>
    <w:p>
      <w:pPr>
        <w:spacing w:after="0" w:line="215" w:lineRule="exact"/>
        <w:rPr>
          <w:rFonts w:ascii="Arial" w:cs="Arial" w:eastAsia="Arial" w:hAnsi="Arial"/>
          <w:sz w:val="20"/>
          <w:szCs w:val="20"/>
          <w:color w:val="auto"/>
        </w:rPr>
      </w:pPr>
    </w:p>
    <w:p>
      <w:pPr>
        <w:ind w:left="1740" w:hanging="436"/>
        <w:spacing w:after="0"/>
        <w:tabs>
          <w:tab w:leader="none" w:pos="1740" w:val="left"/>
        </w:tabs>
        <w:numPr>
          <w:ilvl w:val="0"/>
          <w:numId w:val="36"/>
        </w:numPr>
        <w:rPr>
          <w:rFonts w:ascii="Arial" w:cs="Arial" w:eastAsia="Arial" w:hAnsi="Arial"/>
          <w:sz w:val="20"/>
          <w:szCs w:val="20"/>
          <w:color w:val="auto"/>
        </w:rPr>
      </w:pPr>
      <w:r>
        <w:rPr>
          <w:rFonts w:ascii="Arial" w:cs="Arial" w:eastAsia="Arial" w:hAnsi="Arial"/>
          <w:sz w:val="20"/>
          <w:szCs w:val="20"/>
          <w:color w:val="auto"/>
        </w:rPr>
        <w:t>sent by United States first-class mail, postage prepaid;</w:t>
      </w:r>
    </w:p>
    <w:p>
      <w:pPr>
        <w:spacing w:after="0" w:line="215" w:lineRule="exact"/>
        <w:rPr>
          <w:rFonts w:ascii="Arial" w:cs="Arial" w:eastAsia="Arial" w:hAnsi="Arial"/>
          <w:sz w:val="20"/>
          <w:szCs w:val="20"/>
          <w:color w:val="auto"/>
        </w:rPr>
      </w:pPr>
    </w:p>
    <w:p>
      <w:pPr>
        <w:ind w:left="1720" w:hanging="416"/>
        <w:spacing w:after="0"/>
        <w:tabs>
          <w:tab w:leader="none" w:pos="1720" w:val="left"/>
        </w:tabs>
        <w:numPr>
          <w:ilvl w:val="0"/>
          <w:numId w:val="36"/>
        </w:numPr>
        <w:rPr>
          <w:rFonts w:ascii="Arial" w:cs="Arial" w:eastAsia="Arial" w:hAnsi="Arial"/>
          <w:sz w:val="20"/>
          <w:szCs w:val="20"/>
          <w:color w:val="auto"/>
        </w:rPr>
      </w:pPr>
      <w:r>
        <w:rPr>
          <w:rFonts w:ascii="Arial" w:cs="Arial" w:eastAsia="Arial" w:hAnsi="Arial"/>
          <w:sz w:val="20"/>
          <w:szCs w:val="20"/>
          <w:color w:val="auto"/>
        </w:rPr>
        <w:t>sent by facsimile or electronic mail; or</w:t>
      </w:r>
    </w:p>
    <w:p>
      <w:pPr>
        <w:spacing w:after="0" w:line="215" w:lineRule="exact"/>
        <w:rPr>
          <w:rFonts w:ascii="Arial" w:cs="Arial" w:eastAsia="Arial" w:hAnsi="Arial"/>
          <w:sz w:val="20"/>
          <w:szCs w:val="20"/>
          <w:color w:val="auto"/>
        </w:rPr>
      </w:pPr>
    </w:p>
    <w:p>
      <w:pPr>
        <w:ind w:left="1740" w:hanging="436"/>
        <w:spacing w:after="0"/>
        <w:tabs>
          <w:tab w:leader="none" w:pos="1740" w:val="left"/>
        </w:tabs>
        <w:numPr>
          <w:ilvl w:val="0"/>
          <w:numId w:val="36"/>
        </w:numPr>
        <w:rPr>
          <w:rFonts w:ascii="Arial" w:cs="Arial" w:eastAsia="Arial" w:hAnsi="Arial"/>
          <w:sz w:val="20"/>
          <w:szCs w:val="20"/>
          <w:color w:val="auto"/>
        </w:rPr>
      </w:pPr>
      <w:r>
        <w:rPr>
          <w:rFonts w:ascii="Arial" w:cs="Arial" w:eastAsia="Arial" w:hAnsi="Arial"/>
          <w:sz w:val="20"/>
          <w:szCs w:val="20"/>
          <w:color w:val="auto"/>
        </w:rPr>
        <w:t>sent by other means of electronic transmission,</w:t>
      </w:r>
    </w:p>
    <w:p>
      <w:pPr>
        <w:spacing w:after="0" w:line="216" w:lineRule="exact"/>
        <w:rPr>
          <w:sz w:val="20"/>
          <w:szCs w:val="20"/>
          <w:color w:val="auto"/>
        </w:rPr>
      </w:pPr>
    </w:p>
    <w:p>
      <w:pPr>
        <w:spacing w:after="0" w:line="260" w:lineRule="auto"/>
        <w:rPr>
          <w:sz w:val="20"/>
          <w:szCs w:val="20"/>
          <w:color w:val="auto"/>
        </w:rPr>
      </w:pPr>
      <w:r>
        <w:rPr>
          <w:rFonts w:ascii="Arial" w:cs="Arial" w:eastAsia="Arial" w:hAnsi="Arial"/>
          <w:sz w:val="20"/>
          <w:szCs w:val="20"/>
          <w:color w:val="auto"/>
        </w:rPr>
        <w:t>directed to each director at that director’s address, telephone number, facsimile number or electronic mail address, or other address for electronic transmission, as the case may be, as shown on the Corporation’s records.</w:t>
      </w:r>
    </w:p>
    <w:p>
      <w:pPr>
        <w:spacing w:after="0" w:line="177" w:lineRule="exact"/>
        <w:rPr>
          <w:sz w:val="20"/>
          <w:szCs w:val="20"/>
          <w:color w:val="auto"/>
        </w:rPr>
      </w:pPr>
    </w:p>
    <w:p>
      <w:pPr>
        <w:ind w:right="20" w:firstLine="648"/>
        <w:spacing w:after="0" w:line="260" w:lineRule="auto"/>
        <w:rPr>
          <w:sz w:val="20"/>
          <w:szCs w:val="20"/>
          <w:color w:val="auto"/>
        </w:rPr>
      </w:pPr>
      <w:r>
        <w:rPr>
          <w:rFonts w:ascii="Arial" w:cs="Arial" w:eastAsia="Arial" w:hAnsi="Arial"/>
          <w:sz w:val="20"/>
          <w:szCs w:val="20"/>
          <w:color w:val="auto"/>
        </w:rPr>
        <w:t>If the notice is (i) delivered personally by hand, by courier or by telephone, (ii) sent by facsimile or electronic mail, or (iii) sent by other means of electronic transmission, it shall be delivered or sent at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16</w:t>
      </w:r>
    </w:p>
    <w:p>
      <w:pPr>
        <w:sectPr>
          <w:pgSz w:w="11900" w:h="16838" w:orient="portrait"/>
          <w:cols w:equalWidth="0" w:num="1">
            <w:col w:w="11240"/>
          </w:cols>
          <w:pgMar w:left="320" w:top="1419" w:right="339" w:bottom="1440" w:gutter="0" w:footer="0" w:header="0"/>
        </w:sectPr>
      </w:pPr>
    </w:p>
    <w:bookmarkStart w:id="39" w:name="page40"/>
    <w:bookmarkEnd w:id="39"/>
    <w:p>
      <w:pPr>
        <w:jc w:val="both"/>
        <w:spacing w:after="0" w:line="250" w:lineRule="auto"/>
        <w:rPr>
          <w:sz w:val="20"/>
          <w:szCs w:val="20"/>
          <w:color w:val="auto"/>
        </w:rPr>
      </w:pPr>
      <w:r>
        <w:rPr>
          <w:rFonts w:ascii="Arial" w:cs="Arial" w:eastAsia="Arial" w:hAnsi="Arial"/>
          <w:sz w:val="20"/>
          <w:szCs w:val="20"/>
          <w:color w:val="auto"/>
        </w:rPr>
        <w:t>least twenty-four (24) hours before the time of the holding of the meeting. If the notice is sent by U.S. mail, it shall be deposited in the U.S. mail at least four (4) days before the time of the holding of the meeting. The notice need not specify the place of the meeting (if the meeting is to be held at the Corporation’s principal executive office) nor the purpose of the meeting.</w:t>
      </w:r>
    </w:p>
    <w:p>
      <w:pPr>
        <w:spacing w:after="0" w:line="186"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20"/>
          <w:szCs w:val="20"/>
          <w:color w:val="auto"/>
        </w:rPr>
        <w:t>3.8</w:t>
      </w:r>
      <w:r>
        <w:rPr>
          <w:sz w:val="20"/>
          <w:szCs w:val="20"/>
          <w:color w:val="auto"/>
        </w:rPr>
        <w:tab/>
      </w:r>
      <w:r>
        <w:rPr>
          <w:rFonts w:ascii="Arial" w:cs="Arial" w:eastAsia="Arial" w:hAnsi="Arial"/>
          <w:sz w:val="18"/>
          <w:szCs w:val="18"/>
          <w:u w:val="single" w:color="auto"/>
          <w:color w:val="auto"/>
        </w:rPr>
        <w:t>Quorum; Vote Required for Action</w:t>
      </w:r>
      <w:r>
        <w:rPr>
          <w:rFonts w:ascii="Arial" w:cs="Arial" w:eastAsia="Arial" w:hAnsi="Arial"/>
          <w:sz w:val="18"/>
          <w:szCs w:val="18"/>
          <w:color w:val="auto"/>
        </w:rPr>
        <w:t>.</w:t>
      </w:r>
    </w:p>
    <w:p>
      <w:pPr>
        <w:spacing w:after="0" w:line="216"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At all meetings of the Board, unless otherwise provided by the Certificate of Incorporation, a majority of the total number of directors shall constitute a quorum for the transaction of business. The vote of a majority of the directors present at any meeting at which a quorum is present shall be the act of the Board, except as may be otherwise specifically provided by statute, applicable law, the rules and regulations for listed companies as in effect from time to time of the principal United States national securities exchange on which the capital stock of the Corporation is listed for trading, the Certificate of Incorporation or these Bylaws. If a quorum is not present at any meeting of the Board, then the directors present thereat may adjourn the meeting from time to time, without notice other than announcement at the meeting, until a quorum is present.</w:t>
      </w:r>
    </w:p>
    <w:p>
      <w:pPr>
        <w:spacing w:after="0" w:line="193"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20"/>
          <w:szCs w:val="20"/>
          <w:color w:val="auto"/>
        </w:rPr>
        <w:t>3.9</w:t>
      </w:r>
      <w:r>
        <w:rPr>
          <w:sz w:val="20"/>
          <w:szCs w:val="20"/>
          <w:color w:val="auto"/>
        </w:rPr>
        <w:tab/>
      </w:r>
      <w:r>
        <w:rPr>
          <w:rFonts w:ascii="Arial" w:cs="Arial" w:eastAsia="Arial" w:hAnsi="Arial"/>
          <w:sz w:val="18"/>
          <w:szCs w:val="18"/>
          <w:u w:val="single" w:color="auto"/>
          <w:color w:val="auto"/>
        </w:rPr>
        <w:t>Board Action without a Meeting</w:t>
      </w:r>
      <w:r>
        <w:rPr>
          <w:rFonts w:ascii="Arial" w:cs="Arial" w:eastAsia="Arial" w:hAnsi="Arial"/>
          <w:sz w:val="18"/>
          <w:szCs w:val="18"/>
          <w:color w:val="auto"/>
        </w:rPr>
        <w:t>.</w:t>
      </w:r>
    </w:p>
    <w:p>
      <w:pPr>
        <w:spacing w:after="0" w:line="216"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Unless otherwise restricted by the Certificate of Incorporation or these Bylaws, any action required or permitted to be taken at any meeting of the Board, or of any committee thereof, may be taken without a meeting if all members of the Board or committee, as the case may be, consent thereto in writing or by electronic transmission. After an action is taken, the consent or consents relating thereto shall be filed with the minutes of the proceedings of the Board, or the committee thereof, in the same paper or electronic form as the minutes are maintained. Such action by consent in writing or by electronic transmission shall have the same force and effect as a unanimous vote of the Board.</w:t>
      </w:r>
    </w:p>
    <w:p>
      <w:pPr>
        <w:spacing w:after="0" w:line="196" w:lineRule="exact"/>
        <w:rPr>
          <w:sz w:val="20"/>
          <w:szCs w:val="20"/>
          <w:color w:val="auto"/>
        </w:rPr>
      </w:pPr>
    </w:p>
    <w:p>
      <w:pPr>
        <w:ind w:left="660"/>
        <w:spacing w:after="0"/>
        <w:tabs>
          <w:tab w:leader="none" w:pos="1180" w:val="left"/>
        </w:tabs>
        <w:rPr>
          <w:sz w:val="20"/>
          <w:szCs w:val="20"/>
          <w:color w:val="auto"/>
        </w:rPr>
      </w:pPr>
      <w:r>
        <w:rPr>
          <w:rFonts w:ascii="Arial" w:cs="Arial" w:eastAsia="Arial" w:hAnsi="Arial"/>
          <w:sz w:val="20"/>
          <w:szCs w:val="20"/>
          <w:color w:val="auto"/>
        </w:rPr>
        <w:t>3.10</w:t>
      </w:r>
      <w:r>
        <w:rPr>
          <w:sz w:val="20"/>
          <w:szCs w:val="20"/>
          <w:color w:val="auto"/>
        </w:rPr>
        <w:tab/>
      </w:r>
      <w:r>
        <w:rPr>
          <w:rFonts w:ascii="Arial" w:cs="Arial" w:eastAsia="Arial" w:hAnsi="Arial"/>
          <w:sz w:val="16"/>
          <w:szCs w:val="16"/>
          <w:u w:val="single" w:color="auto"/>
          <w:color w:val="auto"/>
        </w:rPr>
        <w:t>Fees and Compensation of Directors</w:t>
      </w:r>
      <w:r>
        <w:rPr>
          <w:rFonts w:ascii="Arial" w:cs="Arial" w:eastAsia="Arial" w:hAnsi="Arial"/>
          <w:sz w:val="16"/>
          <w:szCs w:val="16"/>
          <w:color w:val="auto"/>
        </w:rPr>
        <w:t>.</w:t>
      </w:r>
    </w:p>
    <w:p>
      <w:pPr>
        <w:spacing w:after="0" w:line="216" w:lineRule="exact"/>
        <w:rPr>
          <w:sz w:val="20"/>
          <w:szCs w:val="20"/>
          <w:color w:val="auto"/>
        </w:rPr>
      </w:pPr>
    </w:p>
    <w:p>
      <w:pPr>
        <w:jc w:val="both"/>
        <w:ind w:firstLine="648"/>
        <w:spacing w:after="0" w:line="316" w:lineRule="auto"/>
        <w:rPr>
          <w:sz w:val="20"/>
          <w:szCs w:val="20"/>
          <w:color w:val="auto"/>
        </w:rPr>
      </w:pPr>
      <w:r>
        <w:rPr>
          <w:rFonts w:ascii="Arial" w:cs="Arial" w:eastAsia="Arial" w:hAnsi="Arial"/>
          <w:sz w:val="18"/>
          <w:szCs w:val="18"/>
          <w:color w:val="auto"/>
        </w:rPr>
        <w:t>Unless otherwise restricted by the Certificate of Incorporation or these Bylaws, the Board shall have the authority to fix the compensation, including without limitation fees and reimbursement of expenses, of directors for services to the Corporation in any capacity.</w:t>
      </w:r>
    </w:p>
    <w:p>
      <w:pPr>
        <w:spacing w:after="0" w:line="124" w:lineRule="exact"/>
        <w:rPr>
          <w:sz w:val="20"/>
          <w:szCs w:val="20"/>
          <w:color w:val="auto"/>
        </w:rPr>
      </w:pPr>
    </w:p>
    <w:p>
      <w:pPr>
        <w:ind w:left="5180"/>
        <w:spacing w:after="0"/>
        <w:rPr>
          <w:sz w:val="20"/>
          <w:szCs w:val="20"/>
          <w:color w:val="auto"/>
        </w:rPr>
      </w:pPr>
      <w:r>
        <w:rPr>
          <w:rFonts w:ascii="Arial" w:cs="Arial" w:eastAsia="Arial" w:hAnsi="Arial"/>
          <w:sz w:val="20"/>
          <w:szCs w:val="20"/>
          <w:b w:val="1"/>
          <w:bCs w:val="1"/>
          <w:color w:val="auto"/>
        </w:rPr>
        <w:t>Article IV.</w:t>
      </w:r>
    </w:p>
    <w:p>
      <w:pPr>
        <w:spacing w:after="0" w:line="22" w:lineRule="exact"/>
        <w:rPr>
          <w:sz w:val="20"/>
          <w:szCs w:val="20"/>
          <w:color w:val="auto"/>
        </w:rPr>
      </w:pPr>
    </w:p>
    <w:p>
      <w:pPr>
        <w:ind w:left="5120"/>
        <w:spacing w:after="0"/>
        <w:rPr>
          <w:sz w:val="20"/>
          <w:szCs w:val="20"/>
          <w:color w:val="auto"/>
        </w:rPr>
      </w:pPr>
      <w:r>
        <w:rPr>
          <w:rFonts w:ascii="Arial" w:cs="Arial" w:eastAsia="Arial" w:hAnsi="Arial"/>
          <w:sz w:val="20"/>
          <w:szCs w:val="20"/>
          <w:b w:val="1"/>
          <w:bCs w:val="1"/>
          <w:color w:val="auto"/>
        </w:rPr>
        <w:t>Committees</w:t>
      </w:r>
    </w:p>
    <w:p>
      <w:pPr>
        <w:spacing w:after="0" w:line="200"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20"/>
          <w:szCs w:val="20"/>
          <w:color w:val="auto"/>
        </w:rPr>
        <w:t>4.1</w:t>
      </w:r>
      <w:r>
        <w:rPr>
          <w:sz w:val="20"/>
          <w:szCs w:val="20"/>
          <w:color w:val="auto"/>
        </w:rPr>
        <w:tab/>
      </w:r>
      <w:r>
        <w:rPr>
          <w:rFonts w:ascii="Arial" w:cs="Arial" w:eastAsia="Arial" w:hAnsi="Arial"/>
          <w:sz w:val="18"/>
          <w:szCs w:val="18"/>
          <w:u w:val="single" w:color="auto"/>
          <w:color w:val="auto"/>
        </w:rPr>
        <w:t>Committees of Directors</w:t>
      </w:r>
      <w:r>
        <w:rPr>
          <w:rFonts w:ascii="Arial" w:cs="Arial" w:eastAsia="Arial" w:hAnsi="Arial"/>
          <w:sz w:val="18"/>
          <w:szCs w:val="18"/>
          <w:color w:val="auto"/>
        </w:rPr>
        <w:t>.</w:t>
      </w:r>
    </w:p>
    <w:p>
      <w:pPr>
        <w:spacing w:after="0" w:line="216"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9"/>
          <w:szCs w:val="19"/>
          <w:color w:val="auto"/>
        </w:rPr>
        <w:t>The Board may designate one (1) or more committees, each committee to consist of one (1) or more of the directors of the Corporation. The Board may designate one (1) or more directors as alternate members of any committee, who may replace any absent or disqualified member at any meeting of the committee. In the absence or disqualification of a member of a committee, the member or members thereof present at any meeting and not disqualified from voting, whether or not such member or members constitute a quorum, may unanimously appoint another member of the Board to act at the meeting in the place of any such absent or disqualified member. Any such committee, to the extent permitted by law and to the extent provided in the resolution of the Board or in these Bylaws, shall have and may exercise all the powers and authority of the Board in the management of the business and affairs of the Corporation, and may authorize the seal of the Corporation to be affixed to all papers that may require it; but no such committee shall have the power or authority to (i) approve or adopt, or recommend to the stockholders,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17</w:t>
      </w:r>
    </w:p>
    <w:p>
      <w:pPr>
        <w:sectPr>
          <w:pgSz w:w="11900" w:h="16838" w:orient="portrait"/>
          <w:cols w:equalWidth="0" w:num="1">
            <w:col w:w="11240"/>
          </w:cols>
          <w:pgMar w:left="320" w:top="1419" w:right="339" w:bottom="1440" w:gutter="0" w:footer="0" w:header="0"/>
        </w:sectPr>
      </w:pPr>
    </w:p>
    <w:bookmarkStart w:id="40" w:name="page41"/>
    <w:bookmarkEnd w:id="40"/>
    <w:p>
      <w:pPr>
        <w:spacing w:after="0" w:line="260" w:lineRule="auto"/>
        <w:rPr>
          <w:sz w:val="20"/>
          <w:szCs w:val="20"/>
          <w:color w:val="auto"/>
        </w:rPr>
      </w:pPr>
      <w:r>
        <w:rPr>
          <w:rFonts w:ascii="Arial" w:cs="Arial" w:eastAsia="Arial" w:hAnsi="Arial"/>
          <w:sz w:val="20"/>
          <w:szCs w:val="20"/>
          <w:color w:val="auto"/>
        </w:rPr>
        <w:t>any action or matter (other than the election or removal of directors) expressly required by the DGCL to be submitted to stockholders for approval, or (ii) adopt, amend or repeal any bylaw of the Corporation.</w:t>
      </w:r>
    </w:p>
    <w:p>
      <w:pPr>
        <w:spacing w:after="0" w:line="177"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20"/>
          <w:szCs w:val="20"/>
          <w:color w:val="auto"/>
        </w:rPr>
        <w:t>4.2</w:t>
      </w:r>
      <w:r>
        <w:rPr>
          <w:sz w:val="20"/>
          <w:szCs w:val="20"/>
          <w:color w:val="auto"/>
        </w:rPr>
        <w:tab/>
      </w:r>
      <w:r>
        <w:rPr>
          <w:rFonts w:ascii="Arial" w:cs="Arial" w:eastAsia="Arial" w:hAnsi="Arial"/>
          <w:sz w:val="18"/>
          <w:szCs w:val="18"/>
          <w:u w:val="single" w:color="auto"/>
          <w:color w:val="auto"/>
        </w:rPr>
        <w:t>Committee Minutes</w:t>
      </w:r>
      <w:r>
        <w:rPr>
          <w:rFonts w:ascii="Arial" w:cs="Arial" w:eastAsia="Arial" w:hAnsi="Arial"/>
          <w:sz w:val="18"/>
          <w:szCs w:val="18"/>
          <w:color w:val="auto"/>
        </w:rPr>
        <w:t>.</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Each committee shall keep regular minutes of its meetings and report the same to the Board when required.</w:t>
      </w:r>
    </w:p>
    <w:p>
      <w:pPr>
        <w:spacing w:after="0" w:line="216"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20"/>
          <w:szCs w:val="20"/>
          <w:color w:val="auto"/>
        </w:rPr>
        <w:t>4.3</w:t>
      </w:r>
      <w:r>
        <w:rPr>
          <w:sz w:val="20"/>
          <w:szCs w:val="20"/>
          <w:color w:val="auto"/>
        </w:rPr>
        <w:tab/>
      </w:r>
      <w:r>
        <w:rPr>
          <w:rFonts w:ascii="Arial" w:cs="Arial" w:eastAsia="Arial" w:hAnsi="Arial"/>
          <w:sz w:val="18"/>
          <w:szCs w:val="18"/>
          <w:u w:val="single" w:color="auto"/>
          <w:color w:val="auto"/>
        </w:rPr>
        <w:t>Meetings and Actions of Committees</w:t>
      </w:r>
      <w:r>
        <w:rPr>
          <w:rFonts w:ascii="Arial" w:cs="Arial" w:eastAsia="Arial" w:hAnsi="Arial"/>
          <w:sz w:val="18"/>
          <w:szCs w:val="18"/>
          <w:color w:val="auto"/>
        </w:rPr>
        <w:t>.</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Meetings and actions of committees shall be governed by, and held and taken in accordance with, the provisions of:</w:t>
      </w:r>
    </w:p>
    <w:p>
      <w:pPr>
        <w:spacing w:after="0" w:line="240" w:lineRule="exact"/>
        <w:rPr>
          <w:sz w:val="20"/>
          <w:szCs w:val="20"/>
          <w:color w:val="auto"/>
        </w:rPr>
      </w:pPr>
    </w:p>
    <w:p>
      <w:pPr>
        <w:ind w:left="2380" w:hanging="428"/>
        <w:spacing w:after="0"/>
        <w:tabs>
          <w:tab w:leader="none" w:pos="2380" w:val="left"/>
        </w:tabs>
        <w:numPr>
          <w:ilvl w:val="0"/>
          <w:numId w:val="37"/>
        </w:numPr>
        <w:rPr>
          <w:rFonts w:ascii="Arial" w:cs="Arial" w:eastAsia="Arial" w:hAnsi="Arial"/>
          <w:sz w:val="22"/>
          <w:szCs w:val="22"/>
          <w:color w:val="auto"/>
        </w:rPr>
      </w:pPr>
      <w:r>
        <w:rPr>
          <w:rFonts w:ascii="Arial" w:cs="Arial" w:eastAsia="Arial" w:hAnsi="Arial"/>
          <w:sz w:val="20"/>
          <w:szCs w:val="20"/>
          <w:color w:val="auto"/>
        </w:rPr>
        <w:t>Section 3.5 (place of meetings; meetings by telephone);</w:t>
      </w:r>
    </w:p>
    <w:p>
      <w:pPr>
        <w:spacing w:after="0" w:line="219" w:lineRule="exact"/>
        <w:rPr>
          <w:rFonts w:ascii="Arial" w:cs="Arial" w:eastAsia="Arial" w:hAnsi="Arial"/>
          <w:sz w:val="22"/>
          <w:szCs w:val="22"/>
          <w:color w:val="auto"/>
        </w:rPr>
      </w:pPr>
    </w:p>
    <w:p>
      <w:pPr>
        <w:ind w:left="2440" w:hanging="488"/>
        <w:spacing w:after="0"/>
        <w:tabs>
          <w:tab w:leader="none" w:pos="2440" w:val="left"/>
        </w:tabs>
        <w:numPr>
          <w:ilvl w:val="0"/>
          <w:numId w:val="37"/>
        </w:numPr>
        <w:rPr>
          <w:rFonts w:ascii="Arial" w:cs="Arial" w:eastAsia="Arial" w:hAnsi="Arial"/>
          <w:sz w:val="22"/>
          <w:szCs w:val="22"/>
          <w:color w:val="auto"/>
        </w:rPr>
      </w:pPr>
      <w:r>
        <w:rPr>
          <w:rFonts w:ascii="Arial" w:cs="Arial" w:eastAsia="Arial" w:hAnsi="Arial"/>
          <w:sz w:val="20"/>
          <w:szCs w:val="20"/>
          <w:color w:val="auto"/>
        </w:rPr>
        <w:t>Section 3.6 (regular meetings);</w:t>
      </w:r>
    </w:p>
    <w:p>
      <w:pPr>
        <w:spacing w:after="0" w:line="219" w:lineRule="exact"/>
        <w:rPr>
          <w:rFonts w:ascii="Arial" w:cs="Arial" w:eastAsia="Arial" w:hAnsi="Arial"/>
          <w:sz w:val="22"/>
          <w:szCs w:val="22"/>
          <w:color w:val="auto"/>
        </w:rPr>
      </w:pPr>
    </w:p>
    <w:p>
      <w:pPr>
        <w:ind w:left="2500" w:hanging="548"/>
        <w:spacing w:after="0"/>
        <w:tabs>
          <w:tab w:leader="none" w:pos="2500" w:val="left"/>
        </w:tabs>
        <w:numPr>
          <w:ilvl w:val="0"/>
          <w:numId w:val="37"/>
        </w:numPr>
        <w:rPr>
          <w:rFonts w:ascii="Arial" w:cs="Arial" w:eastAsia="Arial" w:hAnsi="Arial"/>
          <w:sz w:val="22"/>
          <w:szCs w:val="22"/>
          <w:color w:val="auto"/>
        </w:rPr>
      </w:pPr>
      <w:r>
        <w:rPr>
          <w:rFonts w:ascii="Arial" w:cs="Arial" w:eastAsia="Arial" w:hAnsi="Arial"/>
          <w:sz w:val="20"/>
          <w:szCs w:val="20"/>
          <w:color w:val="auto"/>
        </w:rPr>
        <w:t>Section 3.7 (special meetings; notice);</w:t>
      </w:r>
    </w:p>
    <w:p>
      <w:pPr>
        <w:spacing w:after="0" w:line="219" w:lineRule="exact"/>
        <w:rPr>
          <w:rFonts w:ascii="Arial" w:cs="Arial" w:eastAsia="Arial" w:hAnsi="Arial"/>
          <w:sz w:val="22"/>
          <w:szCs w:val="22"/>
          <w:color w:val="auto"/>
        </w:rPr>
      </w:pPr>
    </w:p>
    <w:p>
      <w:pPr>
        <w:ind w:left="2480" w:hanging="528"/>
        <w:spacing w:after="0"/>
        <w:tabs>
          <w:tab w:leader="none" w:pos="2480" w:val="left"/>
        </w:tabs>
        <w:numPr>
          <w:ilvl w:val="0"/>
          <w:numId w:val="37"/>
        </w:numPr>
        <w:rPr>
          <w:rFonts w:ascii="Arial" w:cs="Arial" w:eastAsia="Arial" w:hAnsi="Arial"/>
          <w:sz w:val="22"/>
          <w:szCs w:val="22"/>
          <w:color w:val="auto"/>
        </w:rPr>
      </w:pPr>
      <w:r>
        <w:rPr>
          <w:rFonts w:ascii="Arial" w:cs="Arial" w:eastAsia="Arial" w:hAnsi="Arial"/>
          <w:sz w:val="20"/>
          <w:szCs w:val="20"/>
          <w:color w:val="auto"/>
        </w:rPr>
        <w:t>Section 3.9 (board action without a meeting); and</w:t>
      </w:r>
    </w:p>
    <w:p>
      <w:pPr>
        <w:spacing w:after="0" w:line="219" w:lineRule="exact"/>
        <w:rPr>
          <w:rFonts w:ascii="Arial" w:cs="Arial" w:eastAsia="Arial" w:hAnsi="Arial"/>
          <w:sz w:val="22"/>
          <w:szCs w:val="22"/>
          <w:color w:val="auto"/>
        </w:rPr>
      </w:pPr>
    </w:p>
    <w:p>
      <w:pPr>
        <w:ind w:left="2420" w:hanging="468"/>
        <w:spacing w:after="0"/>
        <w:tabs>
          <w:tab w:leader="none" w:pos="2420" w:val="left"/>
        </w:tabs>
        <w:numPr>
          <w:ilvl w:val="0"/>
          <w:numId w:val="37"/>
        </w:numPr>
        <w:rPr>
          <w:rFonts w:ascii="Arial" w:cs="Arial" w:eastAsia="Arial" w:hAnsi="Arial"/>
          <w:sz w:val="22"/>
          <w:szCs w:val="22"/>
          <w:color w:val="auto"/>
        </w:rPr>
      </w:pPr>
      <w:r>
        <w:rPr>
          <w:rFonts w:ascii="Arial" w:cs="Arial" w:eastAsia="Arial" w:hAnsi="Arial"/>
          <w:sz w:val="20"/>
          <w:szCs w:val="20"/>
          <w:color w:val="auto"/>
        </w:rPr>
        <w:t>Section 7.13 (waiver of notice),</w:t>
      </w:r>
    </w:p>
    <w:p>
      <w:pPr>
        <w:spacing w:after="0" w:line="195" w:lineRule="exact"/>
        <w:rPr>
          <w:sz w:val="20"/>
          <w:szCs w:val="20"/>
          <w:color w:val="auto"/>
        </w:rPr>
      </w:pPr>
    </w:p>
    <w:p>
      <w:pPr>
        <w:spacing w:after="0" w:line="260" w:lineRule="auto"/>
        <w:rPr>
          <w:sz w:val="20"/>
          <w:szCs w:val="20"/>
          <w:color w:val="auto"/>
        </w:rPr>
      </w:pPr>
      <w:r>
        <w:rPr>
          <w:rFonts w:ascii="Arial" w:cs="Arial" w:eastAsia="Arial" w:hAnsi="Arial"/>
          <w:sz w:val="20"/>
          <w:szCs w:val="20"/>
          <w:color w:val="auto"/>
        </w:rPr>
        <w:t xml:space="preserve">with such changes in the context of those Bylaws as are necessary to substitute the committee and its members for the Board and its members. </w:t>
      </w:r>
      <w:r>
        <w:rPr>
          <w:rFonts w:ascii="Arial" w:cs="Arial" w:eastAsia="Arial" w:hAnsi="Arial"/>
          <w:sz w:val="20"/>
          <w:szCs w:val="20"/>
          <w:i w:val="1"/>
          <w:iCs w:val="1"/>
          <w:color w:val="auto"/>
        </w:rPr>
        <w:t>However</w:t>
      </w:r>
      <w:r>
        <w:rPr>
          <w:rFonts w:ascii="Arial" w:cs="Arial" w:eastAsia="Arial" w:hAnsi="Arial"/>
          <w:sz w:val="20"/>
          <w:szCs w:val="20"/>
          <w:color w:val="auto"/>
        </w:rPr>
        <w:t>:</w:t>
      </w:r>
    </w:p>
    <w:p>
      <w:pPr>
        <w:spacing w:after="0" w:line="177" w:lineRule="exact"/>
        <w:rPr>
          <w:sz w:val="20"/>
          <w:szCs w:val="20"/>
          <w:color w:val="auto"/>
        </w:rPr>
      </w:pPr>
    </w:p>
    <w:p>
      <w:pPr>
        <w:ind w:left="1720" w:hanging="416"/>
        <w:spacing w:after="0"/>
        <w:tabs>
          <w:tab w:leader="none" w:pos="17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time of regular meetings of committees may be determined either by resolution of the Board or by resolution of the</w:t>
      </w:r>
    </w:p>
    <w:p>
      <w:pPr>
        <w:spacing w:after="0" w:line="39" w:lineRule="exact"/>
        <w:rPr>
          <w:sz w:val="20"/>
          <w:szCs w:val="20"/>
          <w:color w:val="auto"/>
        </w:rPr>
      </w:pPr>
    </w:p>
    <w:p>
      <w:pPr>
        <w:spacing w:after="0"/>
        <w:rPr>
          <w:sz w:val="20"/>
          <w:szCs w:val="20"/>
          <w:color w:val="auto"/>
        </w:rPr>
      </w:pPr>
      <w:r>
        <w:rPr>
          <w:rFonts w:ascii="Arial" w:cs="Arial" w:eastAsia="Arial" w:hAnsi="Arial"/>
          <w:sz w:val="20"/>
          <w:szCs w:val="20"/>
          <w:color w:val="auto"/>
        </w:rPr>
        <w:t>committee;</w:t>
      </w:r>
    </w:p>
    <w:p>
      <w:pPr>
        <w:spacing w:after="0" w:line="200" w:lineRule="exact"/>
        <w:rPr>
          <w:sz w:val="20"/>
          <w:szCs w:val="20"/>
          <w:color w:val="auto"/>
        </w:rPr>
      </w:pPr>
    </w:p>
    <w:p>
      <w:pPr>
        <w:ind w:left="1840" w:hanging="536"/>
        <w:spacing w:after="0"/>
        <w:tabs>
          <w:tab w:leader="none" w:pos="18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special meetings of committees may also be called by resolution of the Board or the chairperson of the applicable</w:t>
      </w:r>
    </w:p>
    <w:p>
      <w:pPr>
        <w:spacing w:after="0" w:line="39" w:lineRule="exact"/>
        <w:rPr>
          <w:sz w:val="20"/>
          <w:szCs w:val="20"/>
          <w:color w:val="auto"/>
        </w:rPr>
      </w:pPr>
    </w:p>
    <w:p>
      <w:pPr>
        <w:spacing w:after="0"/>
        <w:rPr>
          <w:sz w:val="20"/>
          <w:szCs w:val="20"/>
          <w:color w:val="auto"/>
        </w:rPr>
      </w:pPr>
      <w:r>
        <w:rPr>
          <w:rFonts w:ascii="Arial" w:cs="Arial" w:eastAsia="Arial" w:hAnsi="Arial"/>
          <w:sz w:val="20"/>
          <w:szCs w:val="20"/>
          <w:color w:val="auto"/>
        </w:rPr>
        <w:t>committee; and</w:t>
      </w:r>
    </w:p>
    <w:p>
      <w:pPr>
        <w:spacing w:after="0" w:line="200" w:lineRule="exact"/>
        <w:rPr>
          <w:sz w:val="20"/>
          <w:szCs w:val="20"/>
          <w:color w:val="auto"/>
        </w:rPr>
      </w:pPr>
    </w:p>
    <w:p>
      <w:pPr>
        <w:jc w:val="both"/>
        <w:ind w:firstLine="1304"/>
        <w:spacing w:after="0" w:line="250" w:lineRule="auto"/>
        <w:tabs>
          <w:tab w:leader="none" w:pos="1810" w:val="left"/>
        </w:tabs>
        <w:numPr>
          <w:ilvl w:val="0"/>
          <w:numId w:val="40"/>
        </w:numPr>
        <w:rPr>
          <w:rFonts w:ascii="Arial" w:cs="Arial" w:eastAsia="Arial" w:hAnsi="Arial"/>
          <w:sz w:val="20"/>
          <w:szCs w:val="20"/>
          <w:color w:val="auto"/>
        </w:rPr>
      </w:pPr>
      <w:r>
        <w:rPr>
          <w:rFonts w:ascii="Arial" w:cs="Arial" w:eastAsia="Arial" w:hAnsi="Arial"/>
          <w:sz w:val="20"/>
          <w:szCs w:val="20"/>
          <w:color w:val="auto"/>
        </w:rPr>
        <w:t>the Board may adopt rules for the governance of any committee to override the provisions that would otherwise apply to the committee pursuant to this Section 4.5, provided that such rules do not violate the provisions of the Certificate of Incorporation or applicable law.</w:t>
      </w:r>
    </w:p>
    <w:p>
      <w:pPr>
        <w:spacing w:after="0" w:line="186"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20"/>
          <w:szCs w:val="20"/>
          <w:color w:val="auto"/>
        </w:rPr>
        <w:t>4.4</w:t>
      </w:r>
      <w:r>
        <w:rPr>
          <w:sz w:val="20"/>
          <w:szCs w:val="20"/>
          <w:color w:val="auto"/>
        </w:rPr>
        <w:tab/>
      </w:r>
      <w:r>
        <w:rPr>
          <w:rFonts w:ascii="Arial" w:cs="Arial" w:eastAsia="Arial" w:hAnsi="Arial"/>
          <w:sz w:val="16"/>
          <w:szCs w:val="16"/>
          <w:u w:val="single" w:color="auto"/>
          <w:color w:val="auto"/>
        </w:rPr>
        <w:t>Subcommittees</w:t>
      </w:r>
      <w:r>
        <w:rPr>
          <w:rFonts w:ascii="Arial" w:cs="Arial" w:eastAsia="Arial" w:hAnsi="Arial"/>
          <w:sz w:val="16"/>
          <w:szCs w:val="16"/>
          <w:color w:val="auto"/>
        </w:rPr>
        <w:t>.</w:t>
      </w:r>
    </w:p>
    <w:p>
      <w:pPr>
        <w:spacing w:after="0" w:line="216"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Unless otherwise provided in the Certificate of Incorporation, these Bylaws or the resolutions of the Board designating the committee, a committee may create one (1) or more subcommittees, each subcommittee to consist of one (1) or more members of the committee, and delegate to a subcommittee any or all of the powers and authority of the committee.</w:t>
      </w:r>
    </w:p>
    <w:p>
      <w:pPr>
        <w:spacing w:after="0" w:line="180" w:lineRule="exact"/>
        <w:rPr>
          <w:sz w:val="20"/>
          <w:szCs w:val="20"/>
          <w:color w:val="auto"/>
        </w:rPr>
      </w:pPr>
    </w:p>
    <w:p>
      <w:pPr>
        <w:ind w:left="5220"/>
        <w:spacing w:after="0"/>
        <w:rPr>
          <w:sz w:val="20"/>
          <w:szCs w:val="20"/>
          <w:color w:val="auto"/>
        </w:rPr>
      </w:pPr>
      <w:r>
        <w:rPr>
          <w:rFonts w:ascii="Arial" w:cs="Arial" w:eastAsia="Arial" w:hAnsi="Arial"/>
          <w:sz w:val="20"/>
          <w:szCs w:val="20"/>
          <w:b w:val="1"/>
          <w:bCs w:val="1"/>
          <w:color w:val="auto"/>
        </w:rPr>
        <w:t>Article V.</w:t>
      </w:r>
    </w:p>
    <w:p>
      <w:pPr>
        <w:spacing w:after="0" w:line="22" w:lineRule="exact"/>
        <w:rPr>
          <w:sz w:val="20"/>
          <w:szCs w:val="20"/>
          <w:color w:val="auto"/>
        </w:rPr>
      </w:pPr>
    </w:p>
    <w:p>
      <w:pPr>
        <w:ind w:left="5280"/>
        <w:spacing w:after="0"/>
        <w:rPr>
          <w:sz w:val="20"/>
          <w:szCs w:val="20"/>
          <w:color w:val="auto"/>
        </w:rPr>
      </w:pPr>
      <w:r>
        <w:rPr>
          <w:rFonts w:ascii="Arial" w:cs="Arial" w:eastAsia="Arial" w:hAnsi="Arial"/>
          <w:sz w:val="20"/>
          <w:szCs w:val="20"/>
          <w:b w:val="1"/>
          <w:bCs w:val="1"/>
          <w:color w:val="auto"/>
        </w:rPr>
        <w:t>Officers</w:t>
      </w:r>
    </w:p>
    <w:p>
      <w:pPr>
        <w:spacing w:after="0" w:line="200"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20"/>
          <w:szCs w:val="20"/>
          <w:color w:val="auto"/>
        </w:rPr>
        <w:t>5.1</w:t>
      </w:r>
      <w:r>
        <w:rPr>
          <w:sz w:val="20"/>
          <w:szCs w:val="20"/>
          <w:color w:val="auto"/>
        </w:rPr>
        <w:tab/>
      </w:r>
      <w:r>
        <w:rPr>
          <w:rFonts w:ascii="Arial" w:cs="Arial" w:eastAsia="Arial" w:hAnsi="Arial"/>
          <w:sz w:val="18"/>
          <w:szCs w:val="18"/>
          <w:u w:val="single" w:color="auto"/>
          <w:color w:val="auto"/>
        </w:rPr>
        <w:t>Officers</w:t>
      </w:r>
      <w:r>
        <w:rPr>
          <w:rFonts w:ascii="Arial" w:cs="Arial" w:eastAsia="Arial" w:hAnsi="Arial"/>
          <w:sz w:val="18"/>
          <w:szCs w:val="18"/>
          <w:color w:val="auto"/>
        </w:rPr>
        <w:t>.</w:t>
      </w:r>
    </w:p>
    <w:p>
      <w:pPr>
        <w:spacing w:after="0" w:line="216"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The officers of the Corporation shall include a Chief Executive Officer, a President and a Secretary. The Corporation may also have, at the discretion of the Board, a Chairperson of the Board, a</w:t>
      </w:r>
    </w:p>
    <w:p>
      <w:pPr>
        <w:sectPr>
          <w:pgSz w:w="11900" w:h="16838" w:orient="portrait"/>
          <w:cols w:equalWidth="0" w:num="1">
            <w:col w:w="11240"/>
          </w:cols>
          <w:pgMar w:left="320" w:top="141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18</w:t>
      </w:r>
    </w:p>
    <w:p>
      <w:pPr>
        <w:sectPr>
          <w:pgSz w:w="11900" w:h="16838" w:orient="portrait"/>
          <w:cols w:equalWidth="0" w:num="1">
            <w:col w:w="11240"/>
          </w:cols>
          <w:pgMar w:left="320" w:top="1419" w:right="339" w:bottom="1440" w:gutter="0" w:footer="0" w:header="0"/>
          <w:type w:val="continuous"/>
        </w:sectPr>
      </w:pPr>
    </w:p>
    <w:bookmarkStart w:id="41" w:name="page42"/>
    <w:bookmarkEnd w:id="41"/>
    <w:p>
      <w:pPr>
        <w:jc w:val="both"/>
        <w:spacing w:after="0" w:line="246" w:lineRule="auto"/>
        <w:rPr>
          <w:sz w:val="20"/>
          <w:szCs w:val="20"/>
          <w:color w:val="auto"/>
        </w:rPr>
      </w:pPr>
      <w:r>
        <w:rPr>
          <w:rFonts w:ascii="Arial" w:cs="Arial" w:eastAsia="Arial" w:hAnsi="Arial"/>
          <w:sz w:val="20"/>
          <w:szCs w:val="20"/>
          <w:color w:val="auto"/>
        </w:rPr>
        <w:t>President, a Vice Chairperson of the Board, a Chief Financial Officer, a Treasurer, one (1) or more Vice Presidents, one (1) or more Assistant Vice Presidents, one (1) or more Assistant Treasurers, one (1) or more Assistant Secretaries, and any such other officers as may be appointed in accordance with the provisions of these Bylaws. Any number of offices may be held by the same person. No officer need be a stockholder or director of the Corporation.</w:t>
      </w:r>
    </w:p>
    <w:p>
      <w:pPr>
        <w:spacing w:after="0" w:line="191"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20"/>
          <w:szCs w:val="20"/>
          <w:color w:val="auto"/>
        </w:rPr>
        <w:t>5.2</w:t>
      </w:r>
      <w:r>
        <w:rPr>
          <w:sz w:val="20"/>
          <w:szCs w:val="20"/>
          <w:color w:val="auto"/>
        </w:rPr>
        <w:tab/>
      </w:r>
      <w:r>
        <w:rPr>
          <w:rFonts w:ascii="Arial" w:cs="Arial" w:eastAsia="Arial" w:hAnsi="Arial"/>
          <w:sz w:val="18"/>
          <w:szCs w:val="18"/>
          <w:u w:val="single" w:color="auto"/>
          <w:color w:val="auto"/>
        </w:rPr>
        <w:t>Appointment of Officers</w:t>
      </w:r>
      <w:r>
        <w:rPr>
          <w:rFonts w:ascii="Arial" w:cs="Arial" w:eastAsia="Arial" w:hAnsi="Arial"/>
          <w:sz w:val="18"/>
          <w:szCs w:val="18"/>
          <w:color w:val="auto"/>
        </w:rPr>
        <w:t>.</w:t>
      </w:r>
    </w:p>
    <w:p>
      <w:pPr>
        <w:spacing w:after="0" w:line="216"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The Board shall appoint the officers of the Corporation, except such officers as may be appointed in accordance with the provisions of Section 5.3 of these Bylaws.</w:t>
      </w:r>
    </w:p>
    <w:p>
      <w:pPr>
        <w:spacing w:after="0" w:line="177"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20"/>
          <w:szCs w:val="20"/>
          <w:color w:val="auto"/>
        </w:rPr>
        <w:t>5.3</w:t>
      </w:r>
      <w:r>
        <w:rPr>
          <w:sz w:val="20"/>
          <w:szCs w:val="20"/>
          <w:color w:val="auto"/>
        </w:rPr>
        <w:tab/>
      </w:r>
      <w:r>
        <w:rPr>
          <w:rFonts w:ascii="Arial" w:cs="Arial" w:eastAsia="Arial" w:hAnsi="Arial"/>
          <w:sz w:val="18"/>
          <w:szCs w:val="18"/>
          <w:u w:val="single" w:color="auto"/>
          <w:color w:val="auto"/>
        </w:rPr>
        <w:t>Subordinate Officers</w:t>
      </w:r>
      <w:r>
        <w:rPr>
          <w:rFonts w:ascii="Arial" w:cs="Arial" w:eastAsia="Arial" w:hAnsi="Arial"/>
          <w:sz w:val="18"/>
          <w:szCs w:val="18"/>
          <w:color w:val="auto"/>
        </w:rPr>
        <w:t>.</w:t>
      </w:r>
    </w:p>
    <w:p>
      <w:pPr>
        <w:spacing w:after="0" w:line="216"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The Board may appoint, or empower the Chief Executive Officer to appoint, such other officers and agents as the business of the Corporation may require. Each of such officers and agents shall hold office for such period, have such authority, and perform such duties as are provided in these Bylaws or as the Board may from time to time determine.</w:t>
      </w:r>
    </w:p>
    <w:p>
      <w:pPr>
        <w:spacing w:after="0" w:line="186"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20"/>
          <w:szCs w:val="20"/>
          <w:color w:val="auto"/>
        </w:rPr>
        <w:t>5.4</w:t>
      </w:r>
      <w:r>
        <w:rPr>
          <w:sz w:val="20"/>
          <w:szCs w:val="20"/>
          <w:color w:val="auto"/>
        </w:rPr>
        <w:tab/>
      </w:r>
      <w:r>
        <w:rPr>
          <w:rFonts w:ascii="Arial" w:cs="Arial" w:eastAsia="Arial" w:hAnsi="Arial"/>
          <w:sz w:val="18"/>
          <w:szCs w:val="18"/>
          <w:u w:val="single" w:color="auto"/>
          <w:color w:val="auto"/>
        </w:rPr>
        <w:t>Removal and Resignation of Officers</w:t>
      </w:r>
      <w:r>
        <w:rPr>
          <w:rFonts w:ascii="Arial" w:cs="Arial" w:eastAsia="Arial" w:hAnsi="Arial"/>
          <w:sz w:val="18"/>
          <w:szCs w:val="18"/>
          <w:color w:val="auto"/>
        </w:rPr>
        <w:t>.</w:t>
      </w:r>
    </w:p>
    <w:p>
      <w:pPr>
        <w:spacing w:after="0" w:line="216"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Subject to the rights, if any, of an officer under any contract of employment, any officer may be removed, either with or without cause, by the Board or, except in the case of an officer chosen by the Board, by any officer upon whom such power of removal may be conferred by the Board.</w:t>
      </w:r>
    </w:p>
    <w:p>
      <w:pPr>
        <w:spacing w:after="0" w:line="186"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Any officer may resign at any time by giving written notice to the Corporation. Any resignation shall take effect at the date of the receipt of that notice or at any later time specified in that notice. Unless otherwise specified in the notice of resignation, the acceptance of the resignation shall not be necessary to make it effective. Any resignation is without prejudice to the rights, if any, of the Corporation under any contract to which the officer is a party.</w:t>
      </w:r>
    </w:p>
    <w:p>
      <w:pPr>
        <w:spacing w:after="0" w:line="191"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20"/>
          <w:szCs w:val="20"/>
          <w:color w:val="auto"/>
        </w:rPr>
        <w:t>5.5</w:t>
      </w:r>
      <w:r>
        <w:rPr>
          <w:sz w:val="20"/>
          <w:szCs w:val="20"/>
          <w:color w:val="auto"/>
        </w:rPr>
        <w:tab/>
      </w:r>
      <w:r>
        <w:rPr>
          <w:rFonts w:ascii="Arial" w:cs="Arial" w:eastAsia="Arial" w:hAnsi="Arial"/>
          <w:sz w:val="16"/>
          <w:szCs w:val="16"/>
          <w:u w:val="single" w:color="auto"/>
          <w:color w:val="auto"/>
        </w:rPr>
        <w:t>Vacancies in Offices</w:t>
      </w:r>
      <w:r>
        <w:rPr>
          <w:rFonts w:ascii="Arial" w:cs="Arial" w:eastAsia="Arial" w:hAnsi="Arial"/>
          <w:sz w:val="16"/>
          <w:szCs w:val="16"/>
          <w:color w:val="auto"/>
        </w:rPr>
        <w:t>.</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Any vacancy occurring in any office of the Corporation shall be filled by the Board or as provided in Section 5.2.</w:t>
      </w:r>
    </w:p>
    <w:p>
      <w:pPr>
        <w:spacing w:after="0" w:line="216"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20"/>
          <w:szCs w:val="20"/>
          <w:color w:val="auto"/>
        </w:rPr>
        <w:t>5.6</w:t>
      </w:r>
      <w:r>
        <w:rPr>
          <w:sz w:val="20"/>
          <w:szCs w:val="20"/>
          <w:color w:val="auto"/>
        </w:rPr>
        <w:tab/>
      </w:r>
      <w:r>
        <w:rPr>
          <w:rFonts w:ascii="Arial" w:cs="Arial" w:eastAsia="Arial" w:hAnsi="Arial"/>
          <w:sz w:val="16"/>
          <w:szCs w:val="16"/>
          <w:u w:val="single" w:color="auto"/>
          <w:color w:val="auto"/>
        </w:rPr>
        <w:t>Representation of Shares of Other Corporations</w:t>
      </w:r>
      <w:r>
        <w:rPr>
          <w:rFonts w:ascii="Arial" w:cs="Arial" w:eastAsia="Arial" w:hAnsi="Arial"/>
          <w:sz w:val="16"/>
          <w:szCs w:val="16"/>
          <w:color w:val="auto"/>
        </w:rPr>
        <w:t>.</w:t>
      </w:r>
    </w:p>
    <w:p>
      <w:pPr>
        <w:spacing w:after="0" w:line="216"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The Chairperson of the Board or the Chief Executive Officer of this Corporation, or any other person authorized by the Board or the Chief Executive Officer, is authorized to vote, represent and exercise on behalf of this Corporation all rights incident to any and all shares or voting securities of any other corporation or other entity standing in the name of this Corporation. The authority granted herein may be exercised either by such person directly or by any other person authorized to do so by proxy or power of attorney duly executed by such person having the authority.</w:t>
      </w:r>
    </w:p>
    <w:p>
      <w:pPr>
        <w:spacing w:after="0" w:line="194"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20"/>
          <w:szCs w:val="20"/>
          <w:color w:val="auto"/>
        </w:rPr>
        <w:t>5.7</w:t>
      </w:r>
      <w:r>
        <w:rPr>
          <w:sz w:val="20"/>
          <w:szCs w:val="20"/>
          <w:color w:val="auto"/>
        </w:rPr>
        <w:tab/>
      </w:r>
      <w:r>
        <w:rPr>
          <w:rFonts w:ascii="Arial" w:cs="Arial" w:eastAsia="Arial" w:hAnsi="Arial"/>
          <w:sz w:val="18"/>
          <w:szCs w:val="18"/>
          <w:u w:val="single" w:color="auto"/>
          <w:color w:val="auto"/>
        </w:rPr>
        <w:t>Authority and Duties of Officers</w:t>
      </w:r>
      <w:r>
        <w:rPr>
          <w:rFonts w:ascii="Arial" w:cs="Arial" w:eastAsia="Arial" w:hAnsi="Arial"/>
          <w:sz w:val="18"/>
          <w:szCs w:val="18"/>
          <w:color w:val="auto"/>
        </w:rPr>
        <w:t>.</w:t>
      </w:r>
    </w:p>
    <w:p>
      <w:pPr>
        <w:spacing w:after="0" w:line="216"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All officers of the Corporation shall respectively have such authority and perform such duties in the management of the business of the Corporation as may be provided herein or designated from time to time by the Board and, to the extent not so provided, as generally pertain to their respective offices, subject to the control of the Board.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19</w:t>
      </w:r>
    </w:p>
    <w:p>
      <w:pPr>
        <w:sectPr>
          <w:pgSz w:w="11900" w:h="16838" w:orient="portrait"/>
          <w:cols w:equalWidth="0" w:num="1">
            <w:col w:w="11240"/>
          </w:cols>
          <w:pgMar w:left="320" w:top="1419" w:right="339" w:bottom="1440" w:gutter="0" w:footer="0" w:header="0"/>
        </w:sectPr>
      </w:pPr>
    </w:p>
    <w:bookmarkStart w:id="42" w:name="page43"/>
    <w:bookmarkEnd w:id="42"/>
    <w:p>
      <w:pPr>
        <w:ind w:left="660"/>
        <w:spacing w:after="0"/>
        <w:tabs>
          <w:tab w:leader="none" w:pos="1080" w:val="left"/>
        </w:tabs>
        <w:rPr>
          <w:sz w:val="20"/>
          <w:szCs w:val="20"/>
          <w:color w:val="auto"/>
        </w:rPr>
      </w:pPr>
      <w:r>
        <w:rPr>
          <w:rFonts w:ascii="Arial" w:cs="Arial" w:eastAsia="Arial" w:hAnsi="Arial"/>
          <w:sz w:val="20"/>
          <w:szCs w:val="20"/>
          <w:color w:val="auto"/>
        </w:rPr>
        <w:t>5.8</w:t>
      </w:r>
      <w:r>
        <w:rPr>
          <w:sz w:val="20"/>
          <w:szCs w:val="20"/>
          <w:color w:val="auto"/>
        </w:rPr>
        <w:tab/>
      </w:r>
      <w:r>
        <w:rPr>
          <w:rFonts w:ascii="Arial" w:cs="Arial" w:eastAsia="Arial" w:hAnsi="Arial"/>
          <w:sz w:val="16"/>
          <w:szCs w:val="16"/>
          <w:u w:val="single" w:color="auto"/>
          <w:color w:val="auto"/>
        </w:rPr>
        <w:t>Compensation</w:t>
      </w:r>
      <w:r>
        <w:rPr>
          <w:rFonts w:ascii="Arial" w:cs="Arial" w:eastAsia="Arial" w:hAnsi="Arial"/>
          <w:sz w:val="16"/>
          <w:szCs w:val="16"/>
          <w:color w:val="auto"/>
        </w:rPr>
        <w:t>.</w:t>
      </w:r>
    </w:p>
    <w:p>
      <w:pPr>
        <w:spacing w:after="0" w:line="216"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The compensation of the officers of the Corporation for their services as such shall be fixed from time to time by or at the direction of the Board. An officer of the Corporation shall not be prevented from receiving compensation by reason of the fact that he or she is also a director of the Corporation.</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VI.</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Records</w:t>
      </w:r>
    </w:p>
    <w:p>
      <w:pPr>
        <w:spacing w:after="0" w:line="200"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8"/>
          <w:szCs w:val="18"/>
          <w:color w:val="auto"/>
        </w:rPr>
        <w:t>A stock ledger consisting of one or more records in which the names of all of the Corporation’s stockholders of record, the address and number of shares registered in the name of each such stockholder, and all issuances and transfers of stock of the corporation are recorded in accordance with Section 224 of the DGCL shall be administered by or on behalf of the Corporation. Any records administered by or on behalf of the Corporation in the regular course of its business, including its stock ledger, books of account, and minute books, may be kept on, or by means of, or be in the form of, any information storage device, or method, or one or more electronic networks or databases (including one or more distributed electronic networks or databases), provided that the records so kept can be converted into clearly legible paper form within a reasonable time and, with respect to the stock ledger, that the records so kept (i) can be used to prepare the list of stockholders specified in Sections 219 and 220 of the DGCL, (ii) record the information specified in Sections 156, 159, 217(a) and 218 of the DGCL, and (iii) record transfers of stock as governed by Article 8 of the Uniform Commercial Code as adopted in the State of Delaware.</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VII.</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General Matters</w:t>
      </w:r>
    </w:p>
    <w:p>
      <w:pPr>
        <w:spacing w:after="0" w:line="200"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20"/>
          <w:szCs w:val="20"/>
          <w:color w:val="auto"/>
        </w:rPr>
        <w:t>7.1</w:t>
      </w:r>
      <w:r>
        <w:rPr>
          <w:sz w:val="20"/>
          <w:szCs w:val="20"/>
          <w:color w:val="auto"/>
        </w:rPr>
        <w:tab/>
      </w:r>
      <w:r>
        <w:rPr>
          <w:rFonts w:ascii="Arial" w:cs="Arial" w:eastAsia="Arial" w:hAnsi="Arial"/>
          <w:sz w:val="16"/>
          <w:szCs w:val="16"/>
          <w:u w:val="single" w:color="auto"/>
          <w:color w:val="auto"/>
        </w:rPr>
        <w:t>Execution of Corporate Contracts and Instruments</w:t>
      </w:r>
      <w:r>
        <w:rPr>
          <w:rFonts w:ascii="Arial" w:cs="Arial" w:eastAsia="Arial" w:hAnsi="Arial"/>
          <w:sz w:val="16"/>
          <w:szCs w:val="16"/>
          <w:color w:val="auto"/>
        </w:rPr>
        <w:t>.</w:t>
      </w:r>
    </w:p>
    <w:p>
      <w:pPr>
        <w:spacing w:after="0" w:line="216"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The Board, except as otherwise provided in these Bylaws, may authorize any officer or officers, or agent or agents, to enter into any contract or execute any instrument in the name of and on behalf of the Corporation; such authority may be general or confined to specific instances.</w:t>
      </w:r>
    </w:p>
    <w:p>
      <w:pPr>
        <w:spacing w:after="0" w:line="186"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20"/>
          <w:szCs w:val="20"/>
          <w:color w:val="auto"/>
        </w:rPr>
        <w:t>7.2</w:t>
      </w:r>
      <w:r>
        <w:rPr>
          <w:sz w:val="20"/>
          <w:szCs w:val="20"/>
          <w:color w:val="auto"/>
        </w:rPr>
        <w:tab/>
      </w:r>
      <w:r>
        <w:rPr>
          <w:rFonts w:ascii="Arial" w:cs="Arial" w:eastAsia="Arial" w:hAnsi="Arial"/>
          <w:sz w:val="18"/>
          <w:szCs w:val="18"/>
          <w:u w:val="single" w:color="auto"/>
          <w:color w:val="auto"/>
        </w:rPr>
        <w:t>Stock Certificates</w:t>
      </w:r>
      <w:r>
        <w:rPr>
          <w:rFonts w:ascii="Arial" w:cs="Arial" w:eastAsia="Arial" w:hAnsi="Arial"/>
          <w:sz w:val="18"/>
          <w:szCs w:val="18"/>
          <w:color w:val="auto"/>
        </w:rPr>
        <w:t>.</w:t>
      </w:r>
    </w:p>
    <w:p>
      <w:pPr>
        <w:spacing w:after="0" w:line="216"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9"/>
          <w:szCs w:val="19"/>
          <w:color w:val="auto"/>
        </w:rPr>
        <w:t>The shares of the Corporation shall be represented by certificates, provided that the Board by resolution may provide that some or all of the shares of any class or series of stock of the Corporation shall be uncertificated. Certificates for the shares of stock, if any, shall be in such form as is consistent with the Certificate of Incorporation and applicable law</w:t>
      </w:r>
      <w:r>
        <w:rPr>
          <w:rFonts w:ascii="Arial" w:cs="Arial" w:eastAsia="Arial" w:hAnsi="Arial"/>
          <w:sz w:val="16"/>
          <w:szCs w:val="16"/>
          <w:color w:val="auto"/>
        </w:rPr>
        <w:t>.</w:t>
      </w:r>
      <w:r>
        <w:rPr>
          <w:rFonts w:ascii="Arial" w:cs="Arial" w:eastAsia="Arial" w:hAnsi="Arial"/>
          <w:sz w:val="19"/>
          <w:szCs w:val="19"/>
          <w:color w:val="auto"/>
        </w:rPr>
        <w:t xml:space="preserve"> Every holder of stock represented by a certificate shall be entitled to have a certificate signed by, or in the name of the Corporation by, any two officers authorized to sign stock certificates representing the number of shares registered in certificate form. The Chairperson or any Vice Chairperson of the Board, Chief Executive Officer, Chief Financial Officer, Vice President, Treasurer, any Assistant Treasurer, the Secretary or any Assistant Secretary of the Corporation shall be specifically authorized to sign stock certificates. Any or all of the signatures on the certificate may be a facsimile. In case any officer, transfer agent or registrar who has signed or whose facsimile signature has been placed upon a certificate has ceased to be such officer, transfer agent or registrar before such certificate is issued, it may be issued by the Corporation with the same effect as if he or she were such officer, transfer agent or registrar at the date of issue.</w:t>
      </w:r>
    </w:p>
    <w:p>
      <w:pPr>
        <w:spacing w:after="0" w:line="190"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The Corporation may issue the whole or any part of its shares as partly paid and subject to call for the remainder of the consideration to be paid therefor. Upon the face or back of each stock certificate issued to represent any such partly paid shares, or upon the books and records of the Corporation in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20</w:t>
      </w:r>
    </w:p>
    <w:p>
      <w:pPr>
        <w:sectPr>
          <w:pgSz w:w="11900" w:h="16838" w:orient="portrait"/>
          <w:cols w:equalWidth="0" w:num="1">
            <w:col w:w="11240"/>
          </w:cols>
          <w:pgMar w:left="320" w:top="1419" w:right="339" w:bottom="1440" w:gutter="0" w:footer="0" w:header="0"/>
        </w:sectPr>
      </w:pPr>
    </w:p>
    <w:bookmarkStart w:id="43" w:name="page44"/>
    <w:bookmarkEnd w:id="43"/>
    <w:p>
      <w:pPr>
        <w:jc w:val="both"/>
        <w:spacing w:after="0" w:line="250" w:lineRule="auto"/>
        <w:rPr>
          <w:sz w:val="20"/>
          <w:szCs w:val="20"/>
          <w:color w:val="auto"/>
        </w:rPr>
      </w:pPr>
      <w:r>
        <w:rPr>
          <w:rFonts w:ascii="Arial" w:cs="Arial" w:eastAsia="Arial" w:hAnsi="Arial"/>
          <w:sz w:val="20"/>
          <w:szCs w:val="20"/>
          <w:color w:val="auto"/>
        </w:rPr>
        <w:t>case of uncertificated partly paid shares, the total amount of the consideration to be paid therefor and the amount paid thereon shall be stated. Upon the declaration of any dividend on fully paid shares, the Corporation shall declare a dividend upon partly paid shares of the same class, but only upon the basis of the percentage of the consideration actually paid thereon.</w:t>
      </w:r>
    </w:p>
    <w:p>
      <w:pPr>
        <w:spacing w:after="0" w:line="186"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20"/>
          <w:szCs w:val="20"/>
          <w:color w:val="auto"/>
        </w:rPr>
        <w:t>7.3</w:t>
      </w:r>
      <w:r>
        <w:rPr>
          <w:sz w:val="20"/>
          <w:szCs w:val="20"/>
          <w:color w:val="auto"/>
        </w:rPr>
        <w:tab/>
      </w:r>
      <w:r>
        <w:rPr>
          <w:rFonts w:ascii="Arial" w:cs="Arial" w:eastAsia="Arial" w:hAnsi="Arial"/>
          <w:sz w:val="18"/>
          <w:szCs w:val="18"/>
          <w:u w:val="single" w:color="auto"/>
          <w:color w:val="auto"/>
        </w:rPr>
        <w:t>Special Designation of Certificates</w:t>
      </w:r>
      <w:r>
        <w:rPr>
          <w:rFonts w:ascii="Arial" w:cs="Arial" w:eastAsia="Arial" w:hAnsi="Arial"/>
          <w:sz w:val="18"/>
          <w:szCs w:val="18"/>
          <w:color w:val="auto"/>
        </w:rPr>
        <w:t>.</w:t>
      </w:r>
    </w:p>
    <w:p>
      <w:pPr>
        <w:spacing w:after="0" w:line="216"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9"/>
          <w:szCs w:val="19"/>
          <w:color w:val="auto"/>
        </w:rPr>
        <w:t>If the Corporation is authorized to issue more than one class of stock or more than one series of any class, then the powers, the designations, the preferences and the relative, participating, optional or other special rights of each class of stock or series thereof and the qualifications, limitations or restrictions of such preferences and/or rights shall be set forth in full or summarized on the face or on the back of the certificate that the Corporation shall issue to represent such class or series of stock (or, in the case of uncertificated shares, set forth in a notice provided pursuant to Section 151 of the DGCL); provided, however, that except as otherwise provided in Section 202 of the DGCL, in lieu of the foregoing requirements, there may be set forth on the face of back of the certificate that the Corporation shall issue to represent such class or series of stock (or, in the case of any uncertificated shares, included in the aforementioned notice) a statement that the Corporation will furnish without charge to each stockholder who so requests the powers, the designations, the preferences and the relative, participating, optional or other special rights of each class of stock or series thereof and the qualifications, limitations or restrictions of such preferences and/or rights.</w:t>
      </w:r>
    </w:p>
    <w:p>
      <w:pPr>
        <w:spacing w:after="0" w:line="190"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20"/>
          <w:szCs w:val="20"/>
          <w:color w:val="auto"/>
        </w:rPr>
        <w:t>7.4</w:t>
      </w:r>
      <w:r>
        <w:rPr>
          <w:sz w:val="20"/>
          <w:szCs w:val="20"/>
          <w:color w:val="auto"/>
        </w:rPr>
        <w:tab/>
      </w:r>
      <w:r>
        <w:rPr>
          <w:rFonts w:ascii="Arial" w:cs="Arial" w:eastAsia="Arial" w:hAnsi="Arial"/>
          <w:sz w:val="18"/>
          <w:szCs w:val="18"/>
          <w:u w:val="single" w:color="auto"/>
          <w:color w:val="auto"/>
        </w:rPr>
        <w:t>Lost Certificates</w:t>
      </w:r>
      <w:r>
        <w:rPr>
          <w:rFonts w:ascii="Arial" w:cs="Arial" w:eastAsia="Arial" w:hAnsi="Arial"/>
          <w:sz w:val="18"/>
          <w:szCs w:val="18"/>
          <w:color w:val="auto"/>
        </w:rPr>
        <w:t>.</w:t>
      </w:r>
    </w:p>
    <w:p>
      <w:pPr>
        <w:spacing w:after="0" w:line="21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9"/>
          <w:szCs w:val="19"/>
          <w:color w:val="auto"/>
        </w:rPr>
        <w:t>Except as provided in this Section 7.4, no new certificates for shares shall be issued to replace a previously issued certificate unless the latter is surrendered to the Corporation and cancelled at the same time. The Corporation may issue a new certificate of stock or uncertificated shares in the place of any certificate theretofore issued by it, alleged to have been lost, stolen or destroyed, and the Corporation may require the owner of the lost, stolen or destroyed certificate, or such owner’s legal representative, to give the Corporation a bond sufficient to indemnify it against any claim that may be made against it on account of the alleged loss, theft or destruction of any such certificate or the issuance of such new certificate or uncertificated shares.</w:t>
      </w:r>
    </w:p>
    <w:p>
      <w:pPr>
        <w:spacing w:after="0" w:line="178"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20"/>
          <w:szCs w:val="20"/>
          <w:color w:val="auto"/>
        </w:rPr>
        <w:t>7.5</w:t>
      </w:r>
      <w:r>
        <w:rPr>
          <w:sz w:val="20"/>
          <w:szCs w:val="20"/>
          <w:color w:val="auto"/>
        </w:rPr>
        <w:tab/>
      </w:r>
      <w:r>
        <w:rPr>
          <w:rFonts w:ascii="Arial" w:cs="Arial" w:eastAsia="Arial" w:hAnsi="Arial"/>
          <w:sz w:val="16"/>
          <w:szCs w:val="16"/>
          <w:u w:val="single" w:color="auto"/>
          <w:color w:val="auto"/>
        </w:rPr>
        <w:t>Shares Without Certificates</w:t>
      </w:r>
      <w:r>
        <w:rPr>
          <w:rFonts w:ascii="Arial" w:cs="Arial" w:eastAsia="Arial" w:hAnsi="Arial"/>
          <w:sz w:val="16"/>
          <w:szCs w:val="16"/>
          <w:color w:val="auto"/>
        </w:rPr>
        <w:t>.</w:t>
      </w:r>
    </w:p>
    <w:p>
      <w:pPr>
        <w:spacing w:after="0" w:line="216" w:lineRule="exact"/>
        <w:rPr>
          <w:sz w:val="20"/>
          <w:szCs w:val="20"/>
          <w:color w:val="auto"/>
        </w:rPr>
      </w:pPr>
    </w:p>
    <w:p>
      <w:pPr>
        <w:jc w:val="both"/>
        <w:ind w:firstLine="648"/>
        <w:spacing w:after="0" w:line="316" w:lineRule="auto"/>
        <w:rPr>
          <w:sz w:val="20"/>
          <w:szCs w:val="20"/>
          <w:color w:val="auto"/>
        </w:rPr>
      </w:pPr>
      <w:r>
        <w:rPr>
          <w:rFonts w:ascii="Arial" w:cs="Arial" w:eastAsia="Arial" w:hAnsi="Arial"/>
          <w:sz w:val="18"/>
          <w:szCs w:val="18"/>
          <w:color w:val="auto"/>
        </w:rPr>
        <w:t>The Corporation may adopt a system of issuance, recordation and transfer of its shares of stock by electronic or other means not involving the issuance of certificates, provided the use of such system by the Corporation is permitted in accordance with applicable law.</w:t>
      </w:r>
    </w:p>
    <w:p>
      <w:pPr>
        <w:spacing w:after="0" w:line="130"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20"/>
          <w:szCs w:val="20"/>
          <w:color w:val="auto"/>
        </w:rPr>
        <w:t>7.6</w:t>
      </w:r>
      <w:r>
        <w:rPr>
          <w:sz w:val="20"/>
          <w:szCs w:val="20"/>
          <w:color w:val="auto"/>
        </w:rPr>
        <w:tab/>
      </w:r>
      <w:r>
        <w:rPr>
          <w:rFonts w:ascii="Arial" w:cs="Arial" w:eastAsia="Arial" w:hAnsi="Arial"/>
          <w:sz w:val="18"/>
          <w:szCs w:val="18"/>
          <w:u w:val="single" w:color="auto"/>
          <w:color w:val="auto"/>
        </w:rPr>
        <w:t>Construction; Definitions</w:t>
      </w:r>
      <w:r>
        <w:rPr>
          <w:rFonts w:ascii="Arial" w:cs="Arial" w:eastAsia="Arial" w:hAnsi="Arial"/>
          <w:sz w:val="18"/>
          <w:szCs w:val="18"/>
          <w:color w:val="auto"/>
        </w:rPr>
        <w:t>.</w:t>
      </w:r>
    </w:p>
    <w:p>
      <w:pPr>
        <w:spacing w:after="0" w:line="216"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Unless the context requires otherwise, the general provisions, rules of construction and definitions in the DGCL shall govern the construction of these Bylaws. Without limiting the generality of this provision, the singular number includes the plural and the plural number includes the singular.</w:t>
      </w:r>
    </w:p>
    <w:p>
      <w:pPr>
        <w:spacing w:after="0" w:line="186"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20"/>
          <w:szCs w:val="20"/>
          <w:color w:val="auto"/>
        </w:rPr>
        <w:t>7.7</w:t>
      </w:r>
      <w:r>
        <w:rPr>
          <w:sz w:val="20"/>
          <w:szCs w:val="20"/>
          <w:color w:val="auto"/>
        </w:rPr>
        <w:tab/>
      </w:r>
      <w:r>
        <w:rPr>
          <w:rFonts w:ascii="Arial" w:cs="Arial" w:eastAsia="Arial" w:hAnsi="Arial"/>
          <w:sz w:val="18"/>
          <w:szCs w:val="18"/>
          <w:u w:val="single" w:color="auto"/>
          <w:color w:val="auto"/>
        </w:rPr>
        <w:t>Dividends</w:t>
      </w:r>
      <w:r>
        <w:rPr>
          <w:rFonts w:ascii="Arial" w:cs="Arial" w:eastAsia="Arial" w:hAnsi="Arial"/>
          <w:sz w:val="18"/>
          <w:szCs w:val="18"/>
          <w:color w:val="auto"/>
        </w:rPr>
        <w:t>.</w:t>
      </w:r>
    </w:p>
    <w:p>
      <w:pPr>
        <w:spacing w:after="0" w:line="216" w:lineRule="exact"/>
        <w:rPr>
          <w:sz w:val="20"/>
          <w:szCs w:val="20"/>
          <w:color w:val="auto"/>
        </w:rPr>
      </w:pPr>
    </w:p>
    <w:p>
      <w:pPr>
        <w:jc w:val="both"/>
        <w:ind w:right="20" w:firstLine="648"/>
        <w:spacing w:after="0" w:line="316" w:lineRule="auto"/>
        <w:rPr>
          <w:sz w:val="20"/>
          <w:szCs w:val="20"/>
          <w:color w:val="auto"/>
        </w:rPr>
      </w:pPr>
      <w:r>
        <w:rPr>
          <w:rFonts w:ascii="Arial" w:cs="Arial" w:eastAsia="Arial" w:hAnsi="Arial"/>
          <w:sz w:val="18"/>
          <w:szCs w:val="18"/>
          <w:color w:val="auto"/>
        </w:rPr>
        <w:t>The Board, subject to any restrictions contained in either (i) the DGCL or (ii) the Certificate of Incorporation, may declare and pay dividends upon the shares of its capital stock. Dividends may be paid in cash, in property or in shares of the Corporation’s capital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21</w:t>
      </w:r>
    </w:p>
    <w:p>
      <w:pPr>
        <w:sectPr>
          <w:pgSz w:w="11900" w:h="16838" w:orient="portrait"/>
          <w:cols w:equalWidth="0" w:num="1">
            <w:col w:w="11240"/>
          </w:cols>
          <w:pgMar w:left="320" w:top="1419" w:right="339" w:bottom="1440" w:gutter="0" w:footer="0" w:header="0"/>
        </w:sectPr>
      </w:pPr>
    </w:p>
    <w:bookmarkStart w:id="44" w:name="page45"/>
    <w:bookmarkEnd w:id="44"/>
    <w:p>
      <w:pPr>
        <w:jc w:val="both"/>
        <w:ind w:firstLine="648"/>
        <w:spacing w:after="0" w:line="250" w:lineRule="auto"/>
        <w:rPr>
          <w:sz w:val="20"/>
          <w:szCs w:val="20"/>
          <w:color w:val="auto"/>
        </w:rPr>
      </w:pPr>
      <w:r>
        <w:rPr>
          <w:rFonts w:ascii="Arial" w:cs="Arial" w:eastAsia="Arial" w:hAnsi="Arial"/>
          <w:sz w:val="20"/>
          <w:szCs w:val="20"/>
          <w:color w:val="auto"/>
        </w:rPr>
        <w:t>The Board may set apart out of any of the funds of the Corporation available for dividends a reserve or reserves for any proper purpose and may abolish any such reserve. Such purposes shall include but not be limited to equalizing dividends, repairing or maintaining any property of the Corporation, and meeting contingencies.</w:t>
      </w:r>
    </w:p>
    <w:p>
      <w:pPr>
        <w:spacing w:after="0" w:line="186"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20"/>
          <w:szCs w:val="20"/>
          <w:color w:val="auto"/>
        </w:rPr>
        <w:t>7.8</w:t>
      </w:r>
      <w:r>
        <w:rPr>
          <w:sz w:val="20"/>
          <w:szCs w:val="20"/>
          <w:color w:val="auto"/>
        </w:rPr>
        <w:tab/>
      </w:r>
      <w:r>
        <w:rPr>
          <w:rFonts w:ascii="Arial" w:cs="Arial" w:eastAsia="Arial" w:hAnsi="Arial"/>
          <w:sz w:val="16"/>
          <w:szCs w:val="16"/>
          <w:u w:val="single" w:color="auto"/>
          <w:color w:val="auto"/>
        </w:rPr>
        <w:t>Fiscal Year</w:t>
      </w:r>
      <w:r>
        <w:rPr>
          <w:rFonts w:ascii="Arial" w:cs="Arial" w:eastAsia="Arial" w:hAnsi="Arial"/>
          <w:sz w:val="16"/>
          <w:szCs w:val="16"/>
          <w:color w:val="auto"/>
        </w:rPr>
        <w:t>.</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The fiscal year of the Corporation shall be fixed by resolution of the Board and may be changed by the Board.</w:t>
      </w:r>
    </w:p>
    <w:p>
      <w:pPr>
        <w:spacing w:after="0" w:line="216"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20"/>
          <w:szCs w:val="20"/>
          <w:color w:val="auto"/>
        </w:rPr>
        <w:t>7.9</w:t>
      </w:r>
      <w:r>
        <w:rPr>
          <w:sz w:val="20"/>
          <w:szCs w:val="20"/>
          <w:color w:val="auto"/>
        </w:rPr>
        <w:tab/>
      </w:r>
      <w:r>
        <w:rPr>
          <w:rFonts w:ascii="Arial" w:cs="Arial" w:eastAsia="Arial" w:hAnsi="Arial"/>
          <w:sz w:val="16"/>
          <w:szCs w:val="16"/>
          <w:u w:val="single" w:color="auto"/>
          <w:color w:val="auto"/>
        </w:rPr>
        <w:t>Seal</w:t>
      </w:r>
      <w:r>
        <w:rPr>
          <w:rFonts w:ascii="Arial" w:cs="Arial" w:eastAsia="Arial" w:hAnsi="Arial"/>
          <w:sz w:val="16"/>
          <w:szCs w:val="16"/>
          <w:color w:val="auto"/>
        </w:rPr>
        <w:t>.</w:t>
      </w:r>
    </w:p>
    <w:p>
      <w:pPr>
        <w:spacing w:after="0" w:line="216" w:lineRule="exact"/>
        <w:rPr>
          <w:sz w:val="20"/>
          <w:szCs w:val="20"/>
          <w:color w:val="auto"/>
        </w:rPr>
      </w:pPr>
    </w:p>
    <w:p>
      <w:pPr>
        <w:jc w:val="both"/>
        <w:ind w:right="20" w:firstLine="648"/>
        <w:spacing w:after="0" w:line="316" w:lineRule="auto"/>
        <w:rPr>
          <w:sz w:val="20"/>
          <w:szCs w:val="20"/>
          <w:color w:val="auto"/>
        </w:rPr>
      </w:pPr>
      <w:r>
        <w:rPr>
          <w:rFonts w:ascii="Arial" w:cs="Arial" w:eastAsia="Arial" w:hAnsi="Arial"/>
          <w:sz w:val="18"/>
          <w:szCs w:val="18"/>
          <w:color w:val="auto"/>
        </w:rPr>
        <w:t>The Corporation may adopt a corporate seal, which shall be adopted and which may be altered by the Board. The Corporation may use the corporate seal by causing it or a facsimile thereof to be impressed or affixed or in any other manner reproduced.</w:t>
      </w:r>
    </w:p>
    <w:p>
      <w:pPr>
        <w:spacing w:after="0" w:line="130" w:lineRule="exact"/>
        <w:rPr>
          <w:sz w:val="20"/>
          <w:szCs w:val="20"/>
          <w:color w:val="auto"/>
        </w:rPr>
      </w:pPr>
    </w:p>
    <w:p>
      <w:pPr>
        <w:ind w:left="660"/>
        <w:spacing w:after="0"/>
        <w:tabs>
          <w:tab w:leader="none" w:pos="1180" w:val="left"/>
        </w:tabs>
        <w:rPr>
          <w:sz w:val="20"/>
          <w:szCs w:val="20"/>
          <w:color w:val="auto"/>
        </w:rPr>
      </w:pPr>
      <w:r>
        <w:rPr>
          <w:rFonts w:ascii="Arial" w:cs="Arial" w:eastAsia="Arial" w:hAnsi="Arial"/>
          <w:sz w:val="20"/>
          <w:szCs w:val="20"/>
          <w:color w:val="auto"/>
        </w:rPr>
        <w:t>7.10</w:t>
      </w:r>
      <w:r>
        <w:rPr>
          <w:sz w:val="20"/>
          <w:szCs w:val="20"/>
          <w:color w:val="auto"/>
        </w:rPr>
        <w:tab/>
      </w:r>
      <w:r>
        <w:rPr>
          <w:rFonts w:ascii="Arial" w:cs="Arial" w:eastAsia="Arial" w:hAnsi="Arial"/>
          <w:sz w:val="16"/>
          <w:szCs w:val="16"/>
          <w:u w:val="single" w:color="auto"/>
          <w:color w:val="auto"/>
        </w:rPr>
        <w:t>Transfer of Stock</w:t>
      </w:r>
      <w:r>
        <w:rPr>
          <w:rFonts w:ascii="Arial" w:cs="Arial" w:eastAsia="Arial" w:hAnsi="Arial"/>
          <w:sz w:val="16"/>
          <w:szCs w:val="16"/>
          <w:color w:val="auto"/>
        </w:rPr>
        <w:t>.</w:t>
      </w:r>
    </w:p>
    <w:p>
      <w:pPr>
        <w:spacing w:after="0" w:line="216"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8"/>
          <w:szCs w:val="18"/>
          <w:color w:val="auto"/>
        </w:rPr>
        <w:t>Shares of the Corporation shall be transferable in the manner prescribed by law and in these Bylaws. Shares of stock of the Corporation shall be transferred on the books of the Corporation only by the holder of record thereof or by such holder’s attorney duly authorized in writing, upon surrender to the Corporation of the certificate or certificates representing such shares endorsed by the appropriate person or persons (or by delivery of duly executed instructions with respect to uncertificated shares), with such evidence of the authenticity of such endorsement or execution, transfer, authorization and other matters as the Corporation may reasonably require, and accompanied by all necessary stock transfer stamps. No transfer of stock shall be valid as against the Corporation for any purpose until it shall have been entered in the stock records of the Corporation by an entry showing the names of the persons from and to whom it was transferred.</w:t>
      </w:r>
    </w:p>
    <w:p>
      <w:pPr>
        <w:spacing w:after="0" w:line="168" w:lineRule="exact"/>
        <w:rPr>
          <w:sz w:val="20"/>
          <w:szCs w:val="20"/>
          <w:color w:val="auto"/>
        </w:rPr>
      </w:pPr>
    </w:p>
    <w:p>
      <w:pPr>
        <w:ind w:left="660"/>
        <w:spacing w:after="0"/>
        <w:tabs>
          <w:tab w:leader="none" w:pos="1180" w:val="left"/>
        </w:tabs>
        <w:rPr>
          <w:sz w:val="20"/>
          <w:szCs w:val="20"/>
          <w:color w:val="auto"/>
        </w:rPr>
      </w:pPr>
      <w:r>
        <w:rPr>
          <w:rFonts w:ascii="Arial" w:cs="Arial" w:eastAsia="Arial" w:hAnsi="Arial"/>
          <w:sz w:val="20"/>
          <w:szCs w:val="20"/>
          <w:color w:val="auto"/>
        </w:rPr>
        <w:t>7.11</w:t>
      </w:r>
      <w:r>
        <w:rPr>
          <w:sz w:val="20"/>
          <w:szCs w:val="20"/>
          <w:color w:val="auto"/>
        </w:rPr>
        <w:tab/>
      </w:r>
      <w:r>
        <w:rPr>
          <w:rFonts w:ascii="Arial" w:cs="Arial" w:eastAsia="Arial" w:hAnsi="Arial"/>
          <w:sz w:val="16"/>
          <w:szCs w:val="16"/>
          <w:u w:val="single" w:color="auto"/>
          <w:color w:val="auto"/>
        </w:rPr>
        <w:t>Stock Transfer Agreements</w:t>
      </w:r>
      <w:r>
        <w:rPr>
          <w:rFonts w:ascii="Arial" w:cs="Arial" w:eastAsia="Arial" w:hAnsi="Arial"/>
          <w:sz w:val="16"/>
          <w:szCs w:val="16"/>
          <w:color w:val="auto"/>
        </w:rPr>
        <w:t>.</w:t>
      </w:r>
    </w:p>
    <w:p>
      <w:pPr>
        <w:spacing w:after="0" w:line="216"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The Corporation shall have power to enter into and perform any agreement with any number of stockholders of any one or more classes or series of stock of the Corporation to restrict the transfer of shares of stock of the Corporation of any one or more classes owned by such stockholders in any manner not prohibited by the DGCL.</w:t>
      </w:r>
    </w:p>
    <w:p>
      <w:pPr>
        <w:spacing w:after="0" w:line="186" w:lineRule="exact"/>
        <w:rPr>
          <w:sz w:val="20"/>
          <w:szCs w:val="20"/>
          <w:color w:val="auto"/>
        </w:rPr>
      </w:pPr>
    </w:p>
    <w:p>
      <w:pPr>
        <w:ind w:left="660"/>
        <w:spacing w:after="0"/>
        <w:tabs>
          <w:tab w:leader="none" w:pos="1180" w:val="left"/>
        </w:tabs>
        <w:rPr>
          <w:sz w:val="20"/>
          <w:szCs w:val="20"/>
          <w:color w:val="auto"/>
        </w:rPr>
      </w:pPr>
      <w:r>
        <w:rPr>
          <w:rFonts w:ascii="Arial" w:cs="Arial" w:eastAsia="Arial" w:hAnsi="Arial"/>
          <w:sz w:val="20"/>
          <w:szCs w:val="20"/>
          <w:color w:val="auto"/>
        </w:rPr>
        <w:t>7.12</w:t>
      </w:r>
      <w:r>
        <w:rPr>
          <w:sz w:val="20"/>
          <w:szCs w:val="20"/>
          <w:color w:val="auto"/>
        </w:rPr>
        <w:tab/>
      </w:r>
      <w:r>
        <w:rPr>
          <w:rFonts w:ascii="Arial" w:cs="Arial" w:eastAsia="Arial" w:hAnsi="Arial"/>
          <w:sz w:val="16"/>
          <w:szCs w:val="16"/>
          <w:u w:val="single" w:color="auto"/>
          <w:color w:val="auto"/>
        </w:rPr>
        <w:t>Registered Stockholders</w:t>
      </w:r>
      <w:r>
        <w:rPr>
          <w:rFonts w:ascii="Arial" w:cs="Arial" w:eastAsia="Arial" w:hAnsi="Arial"/>
          <w:sz w:val="16"/>
          <w:szCs w:val="16"/>
          <w:color w:val="auto"/>
        </w:rPr>
        <w:t>.</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The Corporation:</w:t>
      </w:r>
    </w:p>
    <w:p>
      <w:pPr>
        <w:spacing w:after="0" w:line="216" w:lineRule="exact"/>
        <w:rPr>
          <w:sz w:val="20"/>
          <w:szCs w:val="20"/>
          <w:color w:val="auto"/>
        </w:rPr>
      </w:pPr>
    </w:p>
    <w:p>
      <w:pPr>
        <w:ind w:firstLine="1304"/>
        <w:spacing w:after="0" w:line="260" w:lineRule="auto"/>
        <w:tabs>
          <w:tab w:leader="none" w:pos="1817" w:val="left"/>
        </w:tabs>
        <w:numPr>
          <w:ilvl w:val="0"/>
          <w:numId w:val="41"/>
        </w:numPr>
        <w:rPr>
          <w:rFonts w:ascii="Arial" w:cs="Arial" w:eastAsia="Arial" w:hAnsi="Arial"/>
          <w:sz w:val="20"/>
          <w:szCs w:val="20"/>
          <w:color w:val="auto"/>
        </w:rPr>
      </w:pPr>
      <w:r>
        <w:rPr>
          <w:rFonts w:ascii="Arial" w:cs="Arial" w:eastAsia="Arial" w:hAnsi="Arial"/>
          <w:sz w:val="20"/>
          <w:szCs w:val="20"/>
          <w:color w:val="auto"/>
        </w:rPr>
        <w:t>shall be entitled to recognize the exclusive right of a person registered on its books as the owner of shares to receive dividends and to vote as such owner; and</w:t>
      </w:r>
    </w:p>
    <w:p>
      <w:pPr>
        <w:spacing w:after="0" w:line="176" w:lineRule="exact"/>
        <w:rPr>
          <w:rFonts w:ascii="Arial" w:cs="Arial" w:eastAsia="Arial" w:hAnsi="Arial"/>
          <w:sz w:val="20"/>
          <w:szCs w:val="20"/>
          <w:color w:val="auto"/>
        </w:rPr>
      </w:pPr>
    </w:p>
    <w:p>
      <w:pPr>
        <w:ind w:firstLine="1304"/>
        <w:spacing w:after="0" w:line="385" w:lineRule="auto"/>
        <w:tabs>
          <w:tab w:leader="none" w:pos="1741" w:val="left"/>
        </w:tabs>
        <w:numPr>
          <w:ilvl w:val="0"/>
          <w:numId w:val="41"/>
        </w:numPr>
        <w:rPr>
          <w:rFonts w:ascii="Arial" w:cs="Arial" w:eastAsia="Arial" w:hAnsi="Arial"/>
          <w:sz w:val="16"/>
          <w:szCs w:val="16"/>
          <w:color w:val="auto"/>
        </w:rPr>
      </w:pPr>
      <w:r>
        <w:rPr>
          <w:rFonts w:ascii="Arial" w:cs="Arial" w:eastAsia="Arial" w:hAnsi="Arial"/>
          <w:sz w:val="16"/>
          <w:szCs w:val="16"/>
          <w:color w:val="auto"/>
        </w:rPr>
        <w:t>shall not be bound to recognize any equitable or other claim to or interest in such share or shares on the part of another person, whether or not it shall have express or other notice thereof, except as otherwise provided by the laws of the State of Delaware.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22</w:t>
      </w:r>
    </w:p>
    <w:p>
      <w:pPr>
        <w:sectPr>
          <w:pgSz w:w="11900" w:h="16838" w:orient="portrait"/>
          <w:cols w:equalWidth="0" w:num="1">
            <w:col w:w="11240"/>
          </w:cols>
          <w:pgMar w:left="320" w:top="1419" w:right="339" w:bottom="1440" w:gutter="0" w:footer="0" w:header="0"/>
        </w:sectPr>
      </w:pPr>
    </w:p>
    <w:bookmarkStart w:id="45" w:name="page46"/>
    <w:bookmarkEnd w:id="45"/>
    <w:p>
      <w:pPr>
        <w:ind w:left="660"/>
        <w:spacing w:after="0"/>
        <w:tabs>
          <w:tab w:leader="none" w:pos="1180" w:val="left"/>
        </w:tabs>
        <w:rPr>
          <w:sz w:val="20"/>
          <w:szCs w:val="20"/>
          <w:color w:val="auto"/>
        </w:rPr>
      </w:pPr>
      <w:r>
        <w:rPr>
          <w:rFonts w:ascii="Arial" w:cs="Arial" w:eastAsia="Arial" w:hAnsi="Arial"/>
          <w:sz w:val="20"/>
          <w:szCs w:val="20"/>
          <w:color w:val="auto"/>
        </w:rPr>
        <w:t>7.13</w:t>
      </w:r>
      <w:r>
        <w:rPr>
          <w:sz w:val="20"/>
          <w:szCs w:val="20"/>
          <w:color w:val="auto"/>
        </w:rPr>
        <w:tab/>
      </w:r>
      <w:r>
        <w:rPr>
          <w:rFonts w:ascii="Arial" w:cs="Arial" w:eastAsia="Arial" w:hAnsi="Arial"/>
          <w:sz w:val="18"/>
          <w:szCs w:val="18"/>
          <w:u w:val="single" w:color="auto"/>
          <w:color w:val="auto"/>
        </w:rPr>
        <w:t>Waiver of Notice</w:t>
      </w:r>
      <w:r>
        <w:rPr>
          <w:rFonts w:ascii="Arial" w:cs="Arial" w:eastAsia="Arial" w:hAnsi="Arial"/>
          <w:sz w:val="18"/>
          <w:szCs w:val="18"/>
          <w:color w:val="auto"/>
        </w:rPr>
        <w:t>.</w:t>
      </w:r>
    </w:p>
    <w:p>
      <w:pPr>
        <w:spacing w:after="0" w:line="216"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8"/>
          <w:szCs w:val="18"/>
          <w:color w:val="auto"/>
        </w:rPr>
        <w:t>Whenever notice is required to be given under any provision of the DGCL, the Certificate of Incorporation or these Bylaws, a written waiver, signed by the person entitled to notice, or a waiver by electronic transmission by the person entitled to notice, whether before or after the time of the event for which notice is to be given, shall be deemed equivalent to notice. Attendance of a person at a meeting shall constitute a waiver of notice of such meeting, except when the person attends a meeting for the express purpose of objecting at the beginning of the meeting, to the transaction of any business because the meeting is not lawfully called or convened. Neither the business to be transacted at, nor the purpose of, any regular or special meeting of the stockholders need be specified in any written waiver of notice or any waiver by electronic transmission unless so required by the Certificate of Incorporation or these Bylaws.</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VIII.</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Notice</w:t>
      </w:r>
    </w:p>
    <w:p>
      <w:pPr>
        <w:spacing w:after="0" w:line="132"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20"/>
          <w:szCs w:val="20"/>
          <w:color w:val="auto"/>
        </w:rPr>
        <w:t>8.1</w:t>
      </w:r>
      <w:r>
        <w:rPr>
          <w:sz w:val="20"/>
          <w:szCs w:val="20"/>
          <w:color w:val="auto"/>
        </w:rPr>
        <w:tab/>
      </w:r>
      <w:r>
        <w:rPr>
          <w:rFonts w:ascii="Arial" w:cs="Arial" w:eastAsia="Arial" w:hAnsi="Arial"/>
          <w:sz w:val="18"/>
          <w:szCs w:val="18"/>
          <w:u w:val="single" w:color="auto"/>
          <w:color w:val="auto"/>
        </w:rPr>
        <w:t>Delivery of Notice; Notice by Electronic Transmission</w:t>
      </w:r>
      <w:r>
        <w:rPr>
          <w:rFonts w:ascii="Arial" w:cs="Arial" w:eastAsia="Arial" w:hAnsi="Arial"/>
          <w:sz w:val="18"/>
          <w:szCs w:val="18"/>
          <w:color w:val="auto"/>
        </w:rPr>
        <w:t>.</w:t>
      </w:r>
    </w:p>
    <w:p>
      <w:pPr>
        <w:spacing w:after="0" w:line="216"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9"/>
          <w:szCs w:val="19"/>
          <w:color w:val="auto"/>
        </w:rPr>
        <w:t>Without limiting the manner by which notice otherwise may be given effectively to stockholders, any notice to stockholders given by the Corporation under any provisions of the DGCL, the Certificate of Incorporation, or these Bylaws may be given in writing directed to the stockholder’s mailing address (or by electronic transmission directed to the stockholder’s electronic mail address, as applicable) as it appears on the records of the Corporation and shall be given (1) if mailed, when the notice is deposited in the U.S. mail, postage prepaid, (2) if delivered by courier service, the earlier of when the notice is received or left at such stockholder’s address or (3) if given by electronic mail, when directed to such stockholder’s electronic mail address unless the stockholder has notified the Corporation in writing or by electronic transmission of an objection to receiving notice by electronic mail. A notice by electronic mail must include a prominent legend that the communication is an important notice regarding the Corporation.</w:t>
      </w:r>
    </w:p>
    <w:p>
      <w:pPr>
        <w:spacing w:after="0" w:line="180" w:lineRule="exact"/>
        <w:rPr>
          <w:sz w:val="20"/>
          <w:szCs w:val="20"/>
          <w:color w:val="auto"/>
        </w:rPr>
      </w:pPr>
    </w:p>
    <w:p>
      <w:pPr>
        <w:jc w:val="both"/>
        <w:ind w:firstLine="648"/>
        <w:spacing w:after="0" w:line="278" w:lineRule="auto"/>
        <w:rPr>
          <w:sz w:val="20"/>
          <w:szCs w:val="20"/>
          <w:color w:val="auto"/>
        </w:rPr>
      </w:pPr>
      <w:r>
        <w:rPr>
          <w:rFonts w:ascii="Arial" w:cs="Arial" w:eastAsia="Arial" w:hAnsi="Arial"/>
          <w:sz w:val="18"/>
          <w:szCs w:val="18"/>
          <w:color w:val="auto"/>
        </w:rPr>
        <w:t>Without limiting the manner by which notice otherwise may be given effectively to stockholders, any notice to stockholders given by the Corporation under any provision of the DGCL, the Certificate of Incorporation or these Bylaws shall be effective if given by a form of electronic transmission consented to by the stockholder to whom the notice is given. Any such consent shall be revocable by the stockholder by written notice or electronic transmission to the Corporation. Notwithstanding the provisions of this paragraph, the Corporation may give a notice by electronic mail in accordance with the first paragraph of this section without obtaining the consent required by this paragraph.</w:t>
      </w:r>
    </w:p>
    <w:p>
      <w:pPr>
        <w:spacing w:after="0" w:line="16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Any notice given pursuant to the preceding paragraph shall be deemed given:</w:t>
      </w:r>
    </w:p>
    <w:p>
      <w:pPr>
        <w:spacing w:after="0" w:line="216" w:lineRule="exact"/>
        <w:rPr>
          <w:sz w:val="20"/>
          <w:szCs w:val="20"/>
          <w:color w:val="auto"/>
        </w:rPr>
      </w:pPr>
    </w:p>
    <w:p>
      <w:pPr>
        <w:ind w:left="1680" w:hanging="376"/>
        <w:spacing w:after="0"/>
        <w:tabs>
          <w:tab w:leader="none" w:pos="16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if by facsimile telecommunication, when directed to a number at which the stockholder has consented to receive notice;</w:t>
      </w:r>
    </w:p>
    <w:p>
      <w:pPr>
        <w:spacing w:after="0" w:line="238" w:lineRule="exact"/>
        <w:rPr>
          <w:rFonts w:ascii="Arial" w:cs="Arial" w:eastAsia="Arial" w:hAnsi="Arial"/>
          <w:sz w:val="18"/>
          <w:szCs w:val="18"/>
          <w:color w:val="auto"/>
        </w:rPr>
      </w:pPr>
    </w:p>
    <w:p>
      <w:pPr>
        <w:ind w:left="1960" w:right="20" w:hanging="656"/>
        <w:spacing w:after="0" w:line="260" w:lineRule="auto"/>
        <w:tabs>
          <w:tab w:leader="none" w:pos="1773" w:val="left"/>
        </w:tabs>
        <w:numPr>
          <w:ilvl w:val="0"/>
          <w:numId w:val="42"/>
        </w:numPr>
        <w:rPr>
          <w:rFonts w:ascii="Arial" w:cs="Arial" w:eastAsia="Arial" w:hAnsi="Arial"/>
          <w:sz w:val="20"/>
          <w:szCs w:val="20"/>
          <w:color w:val="auto"/>
        </w:rPr>
      </w:pPr>
      <w:r>
        <w:rPr>
          <w:rFonts w:ascii="Arial" w:cs="Arial" w:eastAsia="Arial" w:hAnsi="Arial"/>
          <w:sz w:val="20"/>
          <w:szCs w:val="20"/>
          <w:color w:val="auto"/>
        </w:rPr>
        <w:t>if by a posting on an electronic network together with separate notice to the stockholder of such specific posting, upon the later of (A) such posting and (B) the giving of such separate notice; and</w:t>
      </w:r>
    </w:p>
    <w:p>
      <w:pPr>
        <w:spacing w:after="0" w:line="176" w:lineRule="exact"/>
        <w:rPr>
          <w:rFonts w:ascii="Arial" w:cs="Arial" w:eastAsia="Arial" w:hAnsi="Arial"/>
          <w:sz w:val="20"/>
          <w:szCs w:val="20"/>
          <w:color w:val="auto"/>
        </w:rPr>
      </w:pPr>
    </w:p>
    <w:p>
      <w:pPr>
        <w:ind w:left="1800" w:hanging="496"/>
        <w:spacing w:after="0"/>
        <w:tabs>
          <w:tab w:leader="none" w:pos="1800" w:val="left"/>
        </w:tabs>
        <w:numPr>
          <w:ilvl w:val="0"/>
          <w:numId w:val="42"/>
        </w:numPr>
        <w:rPr>
          <w:rFonts w:ascii="Arial" w:cs="Arial" w:eastAsia="Arial" w:hAnsi="Arial"/>
          <w:sz w:val="20"/>
          <w:szCs w:val="20"/>
          <w:color w:val="auto"/>
        </w:rPr>
      </w:pPr>
      <w:r>
        <w:rPr>
          <w:rFonts w:ascii="Arial" w:cs="Arial" w:eastAsia="Arial" w:hAnsi="Arial"/>
          <w:sz w:val="20"/>
          <w:szCs w:val="20"/>
          <w:color w:val="auto"/>
        </w:rPr>
        <w:t>if by any other form of electronic transmission, when directed to the stockholder.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23</w:t>
      </w:r>
    </w:p>
    <w:p>
      <w:pPr>
        <w:sectPr>
          <w:pgSz w:w="11900" w:h="16838" w:orient="portrait"/>
          <w:cols w:equalWidth="0" w:num="1">
            <w:col w:w="11240"/>
          </w:cols>
          <w:pgMar w:left="320" w:top="1419" w:right="339" w:bottom="1440" w:gutter="0" w:footer="0" w:header="0"/>
        </w:sectPr>
      </w:pPr>
    </w:p>
    <w:bookmarkStart w:id="46" w:name="page47"/>
    <w:bookmarkEnd w:id="46"/>
    <w:p>
      <w:pPr>
        <w:jc w:val="both"/>
        <w:ind w:firstLine="648"/>
        <w:spacing w:after="0" w:line="282" w:lineRule="auto"/>
        <w:rPr>
          <w:sz w:val="20"/>
          <w:szCs w:val="20"/>
          <w:color w:val="auto"/>
        </w:rPr>
      </w:pPr>
      <w:r>
        <w:rPr>
          <w:rFonts w:ascii="Arial" w:cs="Arial" w:eastAsia="Arial" w:hAnsi="Arial"/>
          <w:sz w:val="18"/>
          <w:szCs w:val="18"/>
          <w:color w:val="222222"/>
        </w:rPr>
        <w:t xml:space="preserve">Notwithstanding the foregoing, a notice may not be given by an electronic </w:t>
      </w:r>
      <w:r>
        <w:rPr>
          <w:rFonts w:ascii="Arial" w:cs="Arial" w:eastAsia="Arial" w:hAnsi="Arial"/>
          <w:sz w:val="18"/>
          <w:szCs w:val="18"/>
          <w:color w:val="000000"/>
        </w:rPr>
        <w:t>transmission</w:t>
      </w:r>
      <w:r>
        <w:rPr>
          <w:rFonts w:ascii="Arial" w:cs="Arial" w:eastAsia="Arial" w:hAnsi="Arial"/>
          <w:sz w:val="18"/>
          <w:szCs w:val="18"/>
          <w:color w:val="222222"/>
        </w:rPr>
        <w:t xml:space="preserve"> from and after the time that (1) the Corporation is unable to deliver by such electronic transmission two (2) consecutive notices given by the Corporation and (2) such inability becomes known to the Secretary or an Assistant Secretary of the Corporation or to the transfer agent, or other person responsible for the giving of notice, provided, however, the inadvertent failure to discover such inability shall not invalidate any meeting or other action.</w:t>
      </w:r>
    </w:p>
    <w:p>
      <w:pPr>
        <w:spacing w:after="0" w:line="161"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20"/>
          <w:szCs w:val="20"/>
          <w:color w:val="auto"/>
        </w:rPr>
        <w:t>An affidavit of the Secretary or an Assistant Secretary or of the transfer agent or other agent of the Corporation that the notice has been given shall, in the absence of fraud, be prima facie evidence of the facts stated therein.</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IX.</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Indemnification</w:t>
      </w:r>
    </w:p>
    <w:p>
      <w:pPr>
        <w:spacing w:after="0" w:line="200"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20"/>
          <w:szCs w:val="20"/>
          <w:color w:val="auto"/>
        </w:rPr>
        <w:t>9.1</w:t>
      </w:r>
      <w:r>
        <w:rPr>
          <w:sz w:val="20"/>
          <w:szCs w:val="20"/>
          <w:color w:val="auto"/>
        </w:rPr>
        <w:tab/>
      </w:r>
      <w:r>
        <w:rPr>
          <w:rFonts w:ascii="Arial" w:cs="Arial" w:eastAsia="Arial" w:hAnsi="Arial"/>
          <w:sz w:val="18"/>
          <w:szCs w:val="18"/>
          <w:u w:val="single" w:color="auto"/>
          <w:color w:val="auto"/>
        </w:rPr>
        <w:t>Indemnification of Directors and Officers</w:t>
      </w:r>
      <w:r>
        <w:rPr>
          <w:rFonts w:ascii="Arial" w:cs="Arial" w:eastAsia="Arial" w:hAnsi="Arial"/>
          <w:sz w:val="18"/>
          <w:szCs w:val="18"/>
          <w:color w:val="auto"/>
        </w:rPr>
        <w:t>.</w:t>
      </w:r>
    </w:p>
    <w:p>
      <w:pPr>
        <w:spacing w:after="0" w:line="216"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8"/>
          <w:szCs w:val="18"/>
          <w:color w:val="auto"/>
        </w:rPr>
        <w:t>The Corporation shall indemnify and hold harmless, to the fullest extent permitted by the DGCL as it presently exists or may hereafter be amended, any person (a “</w:t>
      </w:r>
      <w:r>
        <w:rPr>
          <w:rFonts w:ascii="Arial" w:cs="Arial" w:eastAsia="Arial" w:hAnsi="Arial"/>
          <w:sz w:val="18"/>
          <w:szCs w:val="18"/>
          <w:u w:val="single" w:color="auto"/>
          <w:color w:val="auto"/>
        </w:rPr>
        <w:t>covered person</w:t>
      </w:r>
      <w:r>
        <w:rPr>
          <w:rFonts w:ascii="Arial" w:cs="Arial" w:eastAsia="Arial" w:hAnsi="Arial"/>
          <w:sz w:val="18"/>
          <w:szCs w:val="18"/>
          <w:color w:val="auto"/>
        </w:rPr>
        <w:t>”) who was or is made or is threatened to be made a party or is otherwise involved in any action, suit or proceeding, whether civil, criminal, administrative or investigative (a “</w:t>
      </w:r>
      <w:r>
        <w:rPr>
          <w:rFonts w:ascii="Arial" w:cs="Arial" w:eastAsia="Arial" w:hAnsi="Arial"/>
          <w:sz w:val="18"/>
          <w:szCs w:val="18"/>
          <w:u w:val="single" w:color="auto"/>
          <w:color w:val="auto"/>
        </w:rPr>
        <w:t>Proceeding</w:t>
      </w:r>
      <w:r>
        <w:rPr>
          <w:rFonts w:ascii="Arial" w:cs="Arial" w:eastAsia="Arial" w:hAnsi="Arial"/>
          <w:sz w:val="18"/>
          <w:szCs w:val="18"/>
          <w:color w:val="auto"/>
        </w:rPr>
        <w:t>”) by reason of the fact that he or she, or a person for whom he or she is the legal representative, is or was a director or officer of the Corporation or, while serving as a director or officer of the Corporation, is or was serving at the request of the Corporation as a director, officer, employee or agent of another corporation or of a partnership, joint venture, trust, enterprise or non-profit entity, including service with respect to employee benefit plans, against all liability and loss suffered and expenses (including attorneys’ fees, judgments, fines, ERISA excise taxes or penalties and amounts paid in settlement) reasonably incurred by such person in connection with any such Proceeding. Notwithstanding the preceding sentence, except as otherwise provided in Section 9.4, the Corporation shall be required to indemnify a person in connection with a Proceeding initiated by such person only if the Proceeding was authorized in the specific case by the Board.</w:t>
      </w:r>
    </w:p>
    <w:p>
      <w:pPr>
        <w:spacing w:after="0" w:line="174"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20"/>
          <w:szCs w:val="20"/>
          <w:color w:val="auto"/>
        </w:rPr>
        <w:t>9.2</w:t>
      </w:r>
      <w:r>
        <w:rPr>
          <w:sz w:val="20"/>
          <w:szCs w:val="20"/>
          <w:color w:val="auto"/>
        </w:rPr>
        <w:tab/>
      </w:r>
      <w:r>
        <w:rPr>
          <w:rFonts w:ascii="Arial" w:cs="Arial" w:eastAsia="Arial" w:hAnsi="Arial"/>
          <w:sz w:val="18"/>
          <w:szCs w:val="18"/>
          <w:u w:val="single" w:color="auto"/>
          <w:color w:val="auto"/>
        </w:rPr>
        <w:t>Indemnification of Others</w:t>
      </w:r>
      <w:r>
        <w:rPr>
          <w:rFonts w:ascii="Arial" w:cs="Arial" w:eastAsia="Arial" w:hAnsi="Arial"/>
          <w:sz w:val="18"/>
          <w:szCs w:val="18"/>
          <w:color w:val="auto"/>
        </w:rPr>
        <w:t>.</w:t>
      </w:r>
    </w:p>
    <w:p>
      <w:pPr>
        <w:spacing w:after="0" w:line="216"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8"/>
          <w:szCs w:val="18"/>
          <w:color w:val="auto"/>
        </w:rPr>
        <w:t>The Corporation shall have the power to indemnify and hold harmless, to the fullest extent permitted by applicable law as it presently exists or may hereafter be amended, any person who was or is made or is threatened to be made a party or is otherwise involved in any Proceeding by reason of the fact that he or she, or a person for whom he or she is the legal representative, is or was an employee or agent of the Corporation or is or was serving at the request of the Corporation as a director, officer, employee or agent of another corporation or of a partnership, joint venture, trust, enterprise or non-profit entity, including service with respect to employee benefit plans, against all liability and loss suffered and expenses reasonably incurred by such person in connection with any such Proceeding.</w:t>
      </w:r>
    </w:p>
    <w:p>
      <w:pPr>
        <w:spacing w:after="0" w:line="165"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20"/>
          <w:szCs w:val="20"/>
          <w:color w:val="auto"/>
        </w:rPr>
        <w:t>9.3</w:t>
      </w:r>
      <w:r>
        <w:rPr>
          <w:sz w:val="20"/>
          <w:szCs w:val="20"/>
          <w:color w:val="auto"/>
        </w:rPr>
        <w:tab/>
      </w:r>
      <w:r>
        <w:rPr>
          <w:rFonts w:ascii="Arial" w:cs="Arial" w:eastAsia="Arial" w:hAnsi="Arial"/>
          <w:sz w:val="16"/>
          <w:szCs w:val="16"/>
          <w:u w:val="single" w:color="auto"/>
          <w:color w:val="auto"/>
        </w:rPr>
        <w:t>Prepayment of Expenses</w:t>
      </w:r>
      <w:r>
        <w:rPr>
          <w:rFonts w:ascii="Arial" w:cs="Arial" w:eastAsia="Arial" w:hAnsi="Arial"/>
          <w:sz w:val="16"/>
          <w:szCs w:val="16"/>
          <w:color w:val="auto"/>
        </w:rPr>
        <w:t>.</w:t>
      </w:r>
    </w:p>
    <w:p>
      <w:pPr>
        <w:spacing w:after="0" w:line="21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9"/>
          <w:szCs w:val="19"/>
          <w:color w:val="auto"/>
        </w:rPr>
        <w:t xml:space="preserve">The Corporation shall to the fullest extent not prohibited by applicable law pay the expenses (including attorneys’ fees) incurred by any covered person, and may pay the expenses incurred by any employee or agent of the Corporation, in defending any Proceeding in advance of its final disposition; </w:t>
      </w:r>
      <w:r>
        <w:rPr>
          <w:rFonts w:ascii="Arial" w:cs="Arial" w:eastAsia="Arial" w:hAnsi="Arial"/>
          <w:sz w:val="19"/>
          <w:szCs w:val="19"/>
          <w:i w:val="1"/>
          <w:iCs w:val="1"/>
          <w:color w:val="auto"/>
        </w:rPr>
        <w:t>provided, however</w:t>
      </w:r>
      <w:r>
        <w:rPr>
          <w:rFonts w:ascii="Arial" w:cs="Arial" w:eastAsia="Arial" w:hAnsi="Arial"/>
          <w:sz w:val="19"/>
          <w:szCs w:val="19"/>
          <w:color w:val="auto"/>
        </w:rPr>
        <w:t>, that such payment of expenses in advance of the final disposition of the Proceeding shall be made only upon receipt of an undertaking by the person to repay all amounts advanced if 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24</w:t>
      </w:r>
    </w:p>
    <w:p>
      <w:pPr>
        <w:sectPr>
          <w:pgSz w:w="11900" w:h="16838" w:orient="portrait"/>
          <w:cols w:equalWidth="0" w:num="1">
            <w:col w:w="11240"/>
          </w:cols>
          <w:pgMar w:left="320" w:top="1419" w:right="339" w:bottom="1440" w:gutter="0" w:footer="0" w:header="0"/>
        </w:sectPr>
      </w:pPr>
    </w:p>
    <w:bookmarkStart w:id="47" w:name="page48"/>
    <w:bookmarkEnd w:id="47"/>
    <w:p>
      <w:pPr>
        <w:spacing w:after="0"/>
        <w:rPr>
          <w:sz w:val="20"/>
          <w:szCs w:val="20"/>
          <w:color w:val="auto"/>
        </w:rPr>
      </w:pPr>
      <w:r>
        <w:rPr>
          <w:rFonts w:ascii="Arial" w:cs="Arial" w:eastAsia="Arial" w:hAnsi="Arial"/>
          <w:sz w:val="20"/>
          <w:szCs w:val="20"/>
          <w:color w:val="auto"/>
        </w:rPr>
        <w:t>should be ultimately determined that the person is not entitled to be indemnified under this Article IX or otherwise.</w:t>
      </w:r>
    </w:p>
    <w:p>
      <w:pPr>
        <w:spacing w:after="0" w:line="216"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20"/>
          <w:szCs w:val="20"/>
          <w:color w:val="auto"/>
        </w:rPr>
        <w:t>9.4</w:t>
      </w:r>
      <w:r>
        <w:rPr>
          <w:sz w:val="20"/>
          <w:szCs w:val="20"/>
          <w:color w:val="auto"/>
        </w:rPr>
        <w:tab/>
      </w:r>
      <w:r>
        <w:rPr>
          <w:rFonts w:ascii="Arial" w:cs="Arial" w:eastAsia="Arial" w:hAnsi="Arial"/>
          <w:sz w:val="18"/>
          <w:szCs w:val="18"/>
          <w:u w:val="single" w:color="auto"/>
          <w:color w:val="auto"/>
        </w:rPr>
        <w:t>Determination; Claim</w:t>
      </w:r>
      <w:r>
        <w:rPr>
          <w:rFonts w:ascii="Arial" w:cs="Arial" w:eastAsia="Arial" w:hAnsi="Arial"/>
          <w:sz w:val="18"/>
          <w:szCs w:val="18"/>
          <w:color w:val="auto"/>
        </w:rPr>
        <w:t>.</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If a claim for indemnification (following the final disposition of such Proceeding) under this Article IX is not paid in full within sixty</w:t>
      </w:r>
    </w:p>
    <w:p>
      <w:pPr>
        <w:spacing w:after="0" w:line="39" w:lineRule="exact"/>
        <w:rPr>
          <w:sz w:val="20"/>
          <w:szCs w:val="20"/>
          <w:color w:val="auto"/>
        </w:rPr>
      </w:pPr>
    </w:p>
    <w:p>
      <w:pPr>
        <w:jc w:val="both"/>
        <w:ind w:firstLine="8"/>
        <w:spacing w:after="0"/>
        <w:tabs>
          <w:tab w:leader="none" w:pos="404" w:val="left"/>
        </w:tabs>
        <w:numPr>
          <w:ilvl w:val="0"/>
          <w:numId w:val="43"/>
        </w:numPr>
        <w:rPr>
          <w:rFonts w:ascii="Arial" w:cs="Arial" w:eastAsia="Arial" w:hAnsi="Arial"/>
          <w:sz w:val="20"/>
          <w:szCs w:val="20"/>
          <w:color w:val="auto"/>
        </w:rPr>
      </w:pPr>
      <w:r>
        <w:rPr>
          <w:rFonts w:ascii="Arial" w:cs="Arial" w:eastAsia="Arial" w:hAnsi="Arial"/>
          <w:sz w:val="20"/>
          <w:szCs w:val="20"/>
          <w:color w:val="auto"/>
        </w:rPr>
        <w:t>days, or a claim for advancement of expenses under this Article IX is not paid in full within thirty (30) days, after a written claim therefor has been received by the Corporation the claimant may thereafter (but not before) file suit to recover the unpaid amount of such claim and, if successful in whole or in part, shall be entitled to be paid the expense of prosecuting such claim to the fullest extent permitted by law. In any such action the Corporation shall have the burden of proving that the claimant was not entitled to the requested indemnification or payment of expenses under applicable law.</w:t>
      </w:r>
    </w:p>
    <w:p>
      <w:pPr>
        <w:spacing w:after="0" w:line="198"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20"/>
          <w:szCs w:val="20"/>
          <w:color w:val="auto"/>
        </w:rPr>
        <w:t>9.5</w:t>
      </w:r>
      <w:r>
        <w:rPr>
          <w:sz w:val="20"/>
          <w:szCs w:val="20"/>
          <w:color w:val="auto"/>
        </w:rPr>
        <w:tab/>
      </w:r>
      <w:r>
        <w:rPr>
          <w:rFonts w:ascii="Arial" w:cs="Arial" w:eastAsia="Arial" w:hAnsi="Arial"/>
          <w:sz w:val="18"/>
          <w:szCs w:val="18"/>
          <w:u w:val="single" w:color="auto"/>
          <w:color w:val="auto"/>
        </w:rPr>
        <w:t>Non-Exclusivity of Rights</w:t>
      </w:r>
      <w:r>
        <w:rPr>
          <w:rFonts w:ascii="Arial" w:cs="Arial" w:eastAsia="Arial" w:hAnsi="Arial"/>
          <w:sz w:val="18"/>
          <w:szCs w:val="18"/>
          <w:color w:val="auto"/>
        </w:rPr>
        <w:t>.</w:t>
      </w:r>
    </w:p>
    <w:p>
      <w:pPr>
        <w:spacing w:after="0" w:line="216"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The rights conferred on any person by this Article IX shall not be exclusive of any other rights which such person may have or hereafter acquire under any statute, provision of the Certificate of Incorporation, these Bylaws, agreement, vote of stockholders or disinterested directors or otherwise.</w:t>
      </w:r>
    </w:p>
    <w:p>
      <w:pPr>
        <w:spacing w:after="0" w:line="186"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20"/>
          <w:szCs w:val="20"/>
          <w:color w:val="auto"/>
        </w:rPr>
        <w:t>9.6</w:t>
      </w:r>
      <w:r>
        <w:rPr>
          <w:sz w:val="20"/>
          <w:szCs w:val="20"/>
          <w:color w:val="auto"/>
        </w:rPr>
        <w:tab/>
      </w:r>
      <w:r>
        <w:rPr>
          <w:rFonts w:ascii="Arial" w:cs="Arial" w:eastAsia="Arial" w:hAnsi="Arial"/>
          <w:sz w:val="16"/>
          <w:szCs w:val="16"/>
          <w:u w:val="single" w:color="auto"/>
          <w:color w:val="auto"/>
        </w:rPr>
        <w:t>Insurance</w:t>
      </w:r>
      <w:r>
        <w:rPr>
          <w:rFonts w:ascii="Arial" w:cs="Arial" w:eastAsia="Arial" w:hAnsi="Arial"/>
          <w:sz w:val="16"/>
          <w:szCs w:val="16"/>
          <w:color w:val="auto"/>
        </w:rPr>
        <w:t>.</w:t>
      </w:r>
    </w:p>
    <w:p>
      <w:pPr>
        <w:spacing w:after="0" w:line="216"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The Corporation may purchase and maintain insurance on behalf of any person who is or was a director, officer, employee or agent of the Corporation, or is or was serving at the request of the Corporation as a director, officer, employee or agent of another corporation, partnership, joint venture, trust enterprise or non-profit entity against any liability asserted against him or her and incurred by him or her in any such capacity, or arising out of his or her status as such, whether or not the Corporation would have the power to indemnify him or her against such liability under the provisions of the DGCL.</w:t>
      </w:r>
    </w:p>
    <w:p>
      <w:pPr>
        <w:spacing w:after="0" w:line="194"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20"/>
          <w:szCs w:val="20"/>
          <w:color w:val="auto"/>
        </w:rPr>
        <w:t>9.7</w:t>
      </w:r>
      <w:r>
        <w:rPr>
          <w:sz w:val="20"/>
          <w:szCs w:val="20"/>
          <w:color w:val="auto"/>
        </w:rPr>
        <w:tab/>
      </w:r>
      <w:r>
        <w:rPr>
          <w:rFonts w:ascii="Arial" w:cs="Arial" w:eastAsia="Arial" w:hAnsi="Arial"/>
          <w:sz w:val="18"/>
          <w:szCs w:val="18"/>
          <w:u w:val="single" w:color="auto"/>
          <w:color w:val="auto"/>
        </w:rPr>
        <w:t>Other Indemnification</w:t>
      </w:r>
      <w:r>
        <w:rPr>
          <w:rFonts w:ascii="Arial" w:cs="Arial" w:eastAsia="Arial" w:hAnsi="Arial"/>
          <w:sz w:val="18"/>
          <w:szCs w:val="18"/>
          <w:color w:val="auto"/>
        </w:rPr>
        <w:t>.</w:t>
      </w:r>
    </w:p>
    <w:p>
      <w:pPr>
        <w:spacing w:after="0" w:line="216"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The Corporation’s obligation, if any, to indemnify or advance expenses to any person who was or is serving at its request as a director, officer, employee or agent of another corporation, partnership, joint venture, trust, enterprise or non-profit entity shall be reduced by any amount such person may collect as indemnification or advancement of expenses from such other corporation, partnership, joint venture, trust, enterprise or non-profit enterprise.</w:t>
      </w:r>
    </w:p>
    <w:p>
      <w:pPr>
        <w:spacing w:after="0" w:line="191"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20"/>
          <w:szCs w:val="20"/>
          <w:color w:val="auto"/>
        </w:rPr>
        <w:t>9.8</w:t>
      </w:r>
      <w:r>
        <w:rPr>
          <w:sz w:val="20"/>
          <w:szCs w:val="20"/>
          <w:color w:val="auto"/>
        </w:rPr>
        <w:tab/>
      </w:r>
      <w:r>
        <w:rPr>
          <w:rFonts w:ascii="Arial" w:cs="Arial" w:eastAsia="Arial" w:hAnsi="Arial"/>
          <w:sz w:val="18"/>
          <w:szCs w:val="18"/>
          <w:u w:val="single" w:color="auto"/>
          <w:color w:val="auto"/>
        </w:rPr>
        <w:t>Continuation of Indemnification</w:t>
      </w:r>
      <w:r>
        <w:rPr>
          <w:rFonts w:ascii="Arial" w:cs="Arial" w:eastAsia="Arial" w:hAnsi="Arial"/>
          <w:sz w:val="18"/>
          <w:szCs w:val="18"/>
          <w:color w:val="auto"/>
        </w:rPr>
        <w:t>.</w:t>
      </w:r>
    </w:p>
    <w:p>
      <w:pPr>
        <w:spacing w:after="0" w:line="216"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The rights to indemnification and to prepayment of expenses provided by, or granted pursuant to, this Article IX shall continue notwithstanding that the person has ceased to be a director or officer of the Corporation and shall inure to the benefit of the estate, heirs, executors, administrators, legatees and distributees of such person.</w:t>
      </w:r>
    </w:p>
    <w:p>
      <w:pPr>
        <w:spacing w:after="0" w:line="186"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20"/>
          <w:szCs w:val="20"/>
          <w:color w:val="auto"/>
        </w:rPr>
        <w:t>9.9</w:t>
      </w:r>
      <w:r>
        <w:rPr>
          <w:sz w:val="20"/>
          <w:szCs w:val="20"/>
          <w:color w:val="auto"/>
        </w:rPr>
        <w:tab/>
      </w:r>
      <w:r>
        <w:rPr>
          <w:rFonts w:ascii="Arial" w:cs="Arial" w:eastAsia="Arial" w:hAnsi="Arial"/>
          <w:sz w:val="18"/>
          <w:szCs w:val="18"/>
          <w:u w:val="single" w:color="auto"/>
          <w:color w:val="auto"/>
        </w:rPr>
        <w:t>Amendment or Repeal; Interpretation</w:t>
      </w:r>
      <w:r>
        <w:rPr>
          <w:rFonts w:ascii="Arial" w:cs="Arial" w:eastAsia="Arial" w:hAnsi="Arial"/>
          <w:sz w:val="18"/>
          <w:szCs w:val="18"/>
          <w:color w:val="auto"/>
        </w:rPr>
        <w:t>.</w:t>
      </w:r>
    </w:p>
    <w:p>
      <w:pPr>
        <w:spacing w:after="0" w:line="216"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8"/>
          <w:szCs w:val="18"/>
          <w:color w:val="auto"/>
        </w:rPr>
        <w:t>The provisions of this Article IX shall constitute a contract between the Corporation, on the one hand, and, on the other hand, each individual who serves or has served as a director or officer of the Corporation (whether before or after the adoption of these Bylaws), in consideration of such person’s performance of such services, and pursuant to this Article IX the Corporation intends to be legally bound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25</w:t>
      </w:r>
    </w:p>
    <w:p>
      <w:pPr>
        <w:sectPr>
          <w:pgSz w:w="11900" w:h="16838" w:orient="portrait"/>
          <w:cols w:equalWidth="0" w:num="1">
            <w:col w:w="11240"/>
          </w:cols>
          <w:pgMar w:left="320" w:top="1419" w:right="339" w:bottom="1440" w:gutter="0" w:footer="0" w:header="0"/>
        </w:sectPr>
      </w:pPr>
    </w:p>
    <w:bookmarkStart w:id="48" w:name="page49"/>
    <w:bookmarkEnd w:id="48"/>
    <w:p>
      <w:pPr>
        <w:jc w:val="both"/>
        <w:spacing w:after="0" w:line="242" w:lineRule="auto"/>
        <w:rPr>
          <w:sz w:val="20"/>
          <w:szCs w:val="20"/>
          <w:color w:val="auto"/>
        </w:rPr>
      </w:pPr>
      <w:r>
        <w:rPr>
          <w:rFonts w:ascii="Arial" w:cs="Arial" w:eastAsia="Arial" w:hAnsi="Arial"/>
          <w:sz w:val="20"/>
          <w:szCs w:val="20"/>
          <w:color w:val="auto"/>
        </w:rPr>
        <w:t>to each such current or former director or officer of the Corporation. With respect to current and former directors and officers of the Corporation, the rights conferred under this Article IX are present contractual rights and such rights are fully vested, and shall be deemed to have vested fully, immediately upon adoption of theses Bylaws. With respect to any directors or officers of the Corporation who commence service following adoption of these Bylaws, the rights conferred under this provision shall be present contractual rights and such rights shall fully vest, and be deemed to have vested fully, immediately upon such director or officer commencing service as a director or officer of the Corporation. Any repeal or modification of the foregoing provisions of this Article IX shall not adversely affect any right or protection (i) hereunder of any person in respect of any act or omission occurring prior to the time of such repeal or modification or (ii) under any agreement providing for indemnification or advancement of expenses to an officer or director of the Corporation in effect prior to the time of such repeal or modification.</w:t>
      </w:r>
    </w:p>
    <w:p>
      <w:pPr>
        <w:spacing w:after="0" w:line="194"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9"/>
          <w:szCs w:val="19"/>
          <w:color w:val="auto"/>
        </w:rPr>
        <w:t>Any reference to an officer of the Corporation in this Article IX shall be deemed to refer exclusively to the Chief Executive Officer, Chief Financial Officer, and Secretary, or other officer of the Corporation appointed by (x) the Board pursuant to Article V of these Bylaws or (y) an officer to whom the Board has delegated the power to appoint officers pursuant to Article V of these Bylaws, and any reference to an officer of any other corporation, partnership, joint venture, trust, employee benefit plan or other enterprise shall be deemed to refer exclusively to an officer appointed by the board of directors (or equivalent governing body) of such other entity pursuant to the certificate of incorporation and bylaws (or equivalent organizational documents) of such other corporation, partnership, joint venture, trust, employee benefit plan or other enterprise. The fact that any person who is or was an employee of the Corporation or an employee of any other corporation, partnership, joint venture, trust, employee benefit plan or other enterprise has been given or has used the title of “Vice President” or any other title that could be construed to suggest or imply that such person is or may be an officer of the Corporation or of such other corporation, partnership, joint venture, trust, employee benefit plan or other enterprise shall not result in such person being constituted as, or being deemed to be, an officer of the Corporation or of such other corporation, partnership, joint venture, trust, employee benefit plan or other enterprise for purposes of this Article IX.</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X.</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Amendments</w:t>
      </w:r>
    </w:p>
    <w:p>
      <w:pPr>
        <w:spacing w:after="0" w:line="13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9"/>
          <w:szCs w:val="19"/>
          <w:color w:val="auto"/>
        </w:rPr>
        <w:t>The Board is expressly empowered to adopt, amend or repeal the Bylaws of the Corporation. The Bylaws of the Corporation may also be adopted, amended or repealed by, in addition to any other vote required by the Certificate of Incorporation or applicable law, the affirmative vote of the stockholders of the Corporation holding a majority of the voting power of all the then-outstanding shares of voting stock of the Corporation with the power to vote generally in an election of directors, voting together as a single class.</w:t>
      </w:r>
    </w:p>
    <w:p>
      <w:pPr>
        <w:spacing w:after="0" w:line="170" w:lineRule="exact"/>
        <w:rPr>
          <w:sz w:val="20"/>
          <w:szCs w:val="20"/>
          <w:color w:val="auto"/>
        </w:rPr>
      </w:pPr>
    </w:p>
    <w:p>
      <w:pPr>
        <w:ind w:left="5180"/>
        <w:spacing w:after="0"/>
        <w:rPr>
          <w:sz w:val="20"/>
          <w:szCs w:val="20"/>
          <w:color w:val="auto"/>
        </w:rPr>
      </w:pPr>
      <w:r>
        <w:rPr>
          <w:rFonts w:ascii="Arial" w:cs="Arial" w:eastAsia="Arial" w:hAnsi="Arial"/>
          <w:sz w:val="20"/>
          <w:szCs w:val="20"/>
          <w:b w:val="1"/>
          <w:bCs w:val="1"/>
          <w:color w:val="auto"/>
        </w:rPr>
        <w:t>Article XI.</w:t>
      </w:r>
    </w:p>
    <w:p>
      <w:pPr>
        <w:spacing w:after="0" w:line="22" w:lineRule="exact"/>
        <w:rPr>
          <w:sz w:val="20"/>
          <w:szCs w:val="20"/>
          <w:color w:val="auto"/>
        </w:rPr>
      </w:pPr>
    </w:p>
    <w:p>
      <w:pPr>
        <w:ind w:left="5160"/>
        <w:spacing w:after="0"/>
        <w:rPr>
          <w:sz w:val="20"/>
          <w:szCs w:val="20"/>
          <w:color w:val="auto"/>
        </w:rPr>
      </w:pPr>
      <w:r>
        <w:rPr>
          <w:rFonts w:ascii="Arial" w:cs="Arial" w:eastAsia="Arial" w:hAnsi="Arial"/>
          <w:sz w:val="20"/>
          <w:szCs w:val="20"/>
          <w:b w:val="1"/>
          <w:bCs w:val="1"/>
          <w:color w:val="auto"/>
        </w:rPr>
        <w:t>Definitions</w:t>
      </w:r>
    </w:p>
    <w:p>
      <w:pPr>
        <w:spacing w:after="0" w:line="119"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20"/>
          <w:szCs w:val="20"/>
          <w:color w:val="auto"/>
        </w:rPr>
        <w:t>As used in these Bylaws, unless the context otherwise requires, the terms “electronic transmission,” “electronic mail,” and “electronic mail address,” shall have the meanings ascribed thereto in the DGCL.</w:t>
      </w:r>
    </w:p>
    <w:p>
      <w:pPr>
        <w:spacing w:after="0" w:line="177"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As used in these Bylaws, unless the context otherwise requires, the term “</w:t>
      </w:r>
      <w:r>
        <w:rPr>
          <w:rFonts w:ascii="Arial" w:cs="Arial" w:eastAsia="Arial" w:hAnsi="Arial"/>
          <w:sz w:val="20"/>
          <w:szCs w:val="20"/>
          <w:u w:val="single" w:color="auto"/>
          <w:color w:val="auto"/>
        </w:rPr>
        <w:t>person</w:t>
      </w:r>
      <w:r>
        <w:rPr>
          <w:rFonts w:ascii="Arial" w:cs="Arial" w:eastAsia="Arial" w:hAnsi="Arial"/>
          <w:sz w:val="20"/>
          <w:szCs w:val="20"/>
          <w:color w:val="auto"/>
        </w:rPr>
        <w:t>” means any individual, general partnership, limited partnership, limited liability company, corporation, trust, business trust, joint stock company, joint venture, unincorporated association, cooperative or association or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26</w:t>
      </w:r>
    </w:p>
    <w:p>
      <w:pPr>
        <w:sectPr>
          <w:pgSz w:w="11900" w:h="16838" w:orient="portrait"/>
          <w:cols w:equalWidth="0" w:num="1">
            <w:col w:w="11240"/>
          </w:cols>
          <w:pgMar w:left="320" w:top="1419" w:right="339" w:bottom="1440" w:gutter="0" w:footer="0" w:header="0"/>
        </w:sectPr>
      </w:pPr>
    </w:p>
    <w:bookmarkStart w:id="49" w:name="page50"/>
    <w:bookmarkEnd w:id="49"/>
    <w:p>
      <w:pPr>
        <w:spacing w:after="0"/>
        <w:rPr>
          <w:sz w:val="20"/>
          <w:szCs w:val="20"/>
          <w:color w:val="auto"/>
        </w:rPr>
      </w:pPr>
      <w:r>
        <w:rPr>
          <w:rFonts w:ascii="Arial" w:cs="Arial" w:eastAsia="Arial" w:hAnsi="Arial"/>
          <w:sz w:val="16"/>
          <w:szCs w:val="16"/>
          <w:color w:val="auto"/>
        </w:rPr>
        <w:t>other legal entity or organization of whatever nature, and shall include any successor (by merger or otherwise) of such entity.</w:t>
      </w:r>
    </w:p>
    <w:p>
      <w:pPr>
        <w:sectPr>
          <w:pgSz w:w="11900" w:h="16838" w:orient="portrait"/>
          <w:cols w:equalWidth="0" w:num="1">
            <w:col w:w="10139"/>
          </w:cols>
          <w:pgMar w:left="320" w:top="1419"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left="5520"/>
        <w:spacing w:after="0"/>
        <w:rPr>
          <w:sz w:val="20"/>
          <w:szCs w:val="20"/>
          <w:color w:val="auto"/>
        </w:rPr>
      </w:pPr>
      <w:r>
        <w:rPr>
          <w:rFonts w:ascii="Arial" w:cs="Arial" w:eastAsia="Arial" w:hAnsi="Arial"/>
          <w:sz w:val="16"/>
          <w:szCs w:val="16"/>
          <w:color w:val="auto"/>
        </w:rPr>
        <w:t>27</w:t>
      </w:r>
    </w:p>
    <w:p>
      <w:pPr>
        <w:sectPr>
          <w:pgSz w:w="11900" w:h="16838" w:orient="portrait"/>
          <w:cols w:equalWidth="0" w:num="1">
            <w:col w:w="10139"/>
          </w:cols>
          <w:pgMar w:left="320" w:top="1419" w:right="1440" w:bottom="1440" w:gutter="0" w:footer="0" w:header="0"/>
          <w:type w:val="continuous"/>
        </w:sectPr>
      </w:pPr>
    </w:p>
    <w:bookmarkStart w:id="50" w:name="page51"/>
    <w:bookmarkEnd w:id="50"/>
    <w:p>
      <w:pPr>
        <w:jc w:val="center"/>
        <w:ind w:right="-19"/>
        <w:spacing w:after="0"/>
        <w:rPr>
          <w:sz w:val="20"/>
          <w:szCs w:val="20"/>
          <w:color w:val="auto"/>
        </w:rPr>
      </w:pPr>
      <w:r>
        <w:rPr>
          <w:rFonts w:ascii="Arial" w:cs="Arial" w:eastAsia="Arial" w:hAnsi="Arial"/>
          <w:sz w:val="20"/>
          <w:szCs w:val="20"/>
          <w:b w:val="1"/>
          <w:bCs w:val="1"/>
          <w:color w:val="auto"/>
        </w:rPr>
        <w:t>Expensify, Inc.</w:t>
      </w:r>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Certificate of Amendment and Restatement of Bylaws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385"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The undersigned hereby certifies that he is the duly elected, qualified, and acting Secretary of Expensify, Inc., a Delaware corporation (the “</w:t>
      </w:r>
      <w:r>
        <w:rPr>
          <w:rFonts w:ascii="Arial" w:cs="Arial" w:eastAsia="Arial" w:hAnsi="Arial"/>
          <w:sz w:val="20"/>
          <w:szCs w:val="20"/>
          <w:u w:val="single" w:color="auto"/>
          <w:color w:val="auto"/>
        </w:rPr>
        <w:t>Corporation</w:t>
      </w:r>
      <w:r>
        <w:rPr>
          <w:rFonts w:ascii="Arial" w:cs="Arial" w:eastAsia="Arial" w:hAnsi="Arial"/>
          <w:sz w:val="20"/>
          <w:szCs w:val="20"/>
          <w:color w:val="auto"/>
        </w:rPr>
        <w:t>”), and that the foregoing bylaws were approved on October 30, 2021, effective as of November 15, 2021 by the Corporation’s board of directors.</w:t>
      </w:r>
    </w:p>
    <w:p>
      <w:pPr>
        <w:spacing w:after="0" w:line="18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IN WITNESS WHEREOF, the undersigned has hereunto set his hand this 15th day of November, 2021.</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6100"/>
        <w:spacing w:after="0"/>
        <w:rPr>
          <w:sz w:val="20"/>
          <w:szCs w:val="20"/>
          <w:color w:val="auto"/>
        </w:rPr>
      </w:pPr>
      <w:r>
        <w:rPr>
          <w:rFonts w:ascii="Arial" w:cs="Arial" w:eastAsia="Arial" w:hAnsi="Arial"/>
          <w:sz w:val="20"/>
          <w:szCs w:val="20"/>
          <w:color w:val="auto"/>
        </w:rPr>
        <w:t>/s/ Cole Eason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10160</wp:posOffset>
            </wp:positionV>
            <wp:extent cx="327469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7" w:lineRule="exact"/>
        <w:rPr>
          <w:sz w:val="20"/>
          <w:szCs w:val="20"/>
          <w:color w:val="auto"/>
        </w:rPr>
      </w:pPr>
    </w:p>
    <w:p>
      <w:pPr>
        <w:ind w:left="6100"/>
        <w:spacing w:after="0"/>
        <w:tabs>
          <w:tab w:leader="none" w:pos="6920" w:val="left"/>
        </w:tabs>
        <w:rPr>
          <w:sz w:val="20"/>
          <w:szCs w:val="20"/>
          <w:color w:val="auto"/>
        </w:rPr>
      </w:pPr>
      <w:r>
        <w:rPr>
          <w:rFonts w:ascii="Arial" w:cs="Arial" w:eastAsia="Arial" w:hAnsi="Arial"/>
          <w:sz w:val="20"/>
          <w:szCs w:val="20"/>
          <w:color w:val="auto"/>
        </w:rPr>
        <w:t>Name:</w:t>
      </w:r>
      <w:r>
        <w:rPr>
          <w:sz w:val="20"/>
          <w:szCs w:val="20"/>
          <w:color w:val="auto"/>
        </w:rPr>
        <w:tab/>
      </w:r>
      <w:r>
        <w:rPr>
          <w:rFonts w:ascii="Arial" w:cs="Arial" w:eastAsia="Arial" w:hAnsi="Arial"/>
          <w:sz w:val="20"/>
          <w:szCs w:val="20"/>
          <w:color w:val="auto"/>
        </w:rPr>
        <w:t>Cole Eason</w:t>
      </w:r>
    </w:p>
    <w:p>
      <w:pPr>
        <w:spacing w:after="0" w:line="20" w:lineRule="exact"/>
        <w:rPr>
          <w:sz w:val="20"/>
          <w:szCs w:val="20"/>
          <w:color w:val="auto"/>
        </w:rPr>
      </w:pPr>
    </w:p>
    <w:p>
      <w:pPr>
        <w:ind w:left="6100"/>
        <w:spacing w:after="0"/>
        <w:tabs>
          <w:tab w:leader="none" w:pos="6920" w:val="left"/>
        </w:tabs>
        <w:rPr>
          <w:sz w:val="20"/>
          <w:szCs w:val="20"/>
          <w:color w:val="auto"/>
        </w:rPr>
      </w:pPr>
      <w:r>
        <w:rPr>
          <w:rFonts w:ascii="Arial" w:cs="Arial" w:eastAsia="Arial" w:hAnsi="Arial"/>
          <w:sz w:val="20"/>
          <w:szCs w:val="20"/>
          <w:color w:val="auto"/>
        </w:rPr>
        <w:t>Title:</w:t>
      </w:r>
      <w:r>
        <w:rPr>
          <w:sz w:val="20"/>
          <w:szCs w:val="20"/>
          <w:color w:val="auto"/>
        </w:rPr>
        <w:tab/>
      </w:r>
      <w:r>
        <w:rPr>
          <w:rFonts w:ascii="Arial" w:cs="Arial" w:eastAsia="Arial" w:hAnsi="Arial"/>
          <w:sz w:val="20"/>
          <w:szCs w:val="20"/>
          <w:color w:val="auto"/>
        </w:rPr>
        <w:t>Secretary</w:t>
      </w:r>
    </w:p>
    <w:p>
      <w:pPr>
        <w:sectPr>
          <w:pgSz w:w="11900" w:h="16838" w:orient="portrait"/>
          <w:cols w:equalWidth="0" w:num="1">
            <w:col w:w="11220"/>
          </w:cols>
          <w:pgMar w:left="320" w:top="1413" w:right="359" w:bottom="1440" w:gutter="0" w:footer="0" w:header="0"/>
        </w:sectPr>
      </w:pPr>
    </w:p>
    <w:bookmarkStart w:id="51" w:name="page52"/>
    <w:bookmarkEnd w:id="51"/>
    <w:p>
      <w:pPr>
        <w:jc w:val="right"/>
        <w:spacing w:after="0"/>
        <w:rPr>
          <w:sz w:val="20"/>
          <w:szCs w:val="20"/>
          <w:color w:val="auto"/>
        </w:rPr>
      </w:pPr>
      <w:r>
        <w:rPr>
          <w:rFonts w:ascii="Arial" w:cs="Arial" w:eastAsia="Arial" w:hAnsi="Arial"/>
          <w:sz w:val="18"/>
          <w:szCs w:val="18"/>
          <w:b w:val="1"/>
          <w:bCs w:val="1"/>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line="287" w:lineRule="auto"/>
        <w:rPr>
          <w:sz w:val="20"/>
          <w:szCs w:val="20"/>
          <w:color w:val="auto"/>
        </w:rPr>
      </w:pPr>
      <w:r>
        <w:rPr>
          <w:rFonts w:ascii="Arial" w:cs="Arial" w:eastAsia="Arial" w:hAnsi="Arial"/>
          <w:sz w:val="18"/>
          <w:szCs w:val="18"/>
          <w:b w:val="1"/>
          <w:bCs w:val="1"/>
          <w:color w:val="auto"/>
        </w:rPr>
        <w:t>Expensify Announces Closing of Initial Public Offering and Exercise in Full of the Underwriters’ Option to Purchase Additional Shares</w:t>
      </w:r>
    </w:p>
    <w:p>
      <w:pPr>
        <w:spacing w:after="0" w:line="107"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PORTLAND, Oregon, November 15, 2021 – Expensify, Inc. (Nasdaq: EXFY), a payments superapp that helps individuals and businesses around the world simplify the way they manage money across expenses, corporate cards and bills, today announced the closing of its initial public offering of 11,190,392 shares of its Class A common stock. Expensify sold 2,608,696 shares of Class A common stock and the selling stockholders named in the prospectus sold 8,581,696 shares of Class A common stock, including 1,459,616 shares sold by certain of such selling stockholders pursuant to the exercise in full of the underwriters’ option to purchase additional shares of common stock, at a public offering price of $27.00 per share. Expensify’s Class A common stock is listed on The Nasdaq Global Select Market under the ticker symbol "EXFY."</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auto"/>
        </w:rPr>
        <w:t>J.P. Morgan Securities LLC, Citigroup Global Markets Inc. and BofA Securities acted as joint lead bookrunning managers for the offering.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Piper Sandler &amp; Co., JMP Securities LLC and Loop Capital Markets acted as co-managers for the offering.</w:t>
      </w:r>
    </w:p>
    <w:p>
      <w:pPr>
        <w:spacing w:after="0" w:line="158" w:lineRule="exact"/>
        <w:rPr>
          <w:sz w:val="20"/>
          <w:szCs w:val="20"/>
          <w:color w:val="auto"/>
        </w:rPr>
      </w:pPr>
    </w:p>
    <w:p>
      <w:pPr>
        <w:ind w:right="100"/>
        <w:spacing w:after="0" w:line="252" w:lineRule="auto"/>
        <w:rPr>
          <w:sz w:val="20"/>
          <w:szCs w:val="20"/>
          <w:color w:val="auto"/>
        </w:rPr>
      </w:pPr>
      <w:r>
        <w:rPr>
          <w:rFonts w:ascii="Arial" w:cs="Arial" w:eastAsia="Arial" w:hAnsi="Arial"/>
          <w:sz w:val="18"/>
          <w:szCs w:val="18"/>
          <w:color w:val="auto"/>
        </w:rPr>
        <w:t>A registration statement on Form S-1 relating to the offering of these securities was filed with the SEC and was declared effective on November 9, 2021. The offering was made only by means of a prospectus. A copy of the final prospectus relating to the offering may be obtained from: J.P. Morgan Securities LLC, c/o Broadridge Financial Solutions, 1155 Long Island Avenue, Edgewood, NY 11717, by telephone at (866) 803-9204, or by email at prospectus-eq_fi@jpmchase.com; Citigroup Global Markets Inc., c/o Broadridge Financial Solutions, 1155 Long Island Avenue, Edgewood, NY 11717, by telephone at (800) 831-9146, or by email at prospectus@citi.com; or BofA Securities, NC1-004-03-43, 200 North College Street, 3rd floor, Charlotte, NC 28255-0001, Attention: Prospectus Department, or by email at dg.prospectus_requests@bofa.com.</w:t>
      </w:r>
    </w:p>
    <w:p>
      <w:pPr>
        <w:spacing w:after="0" w:line="139"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This press release shall not constitute an offer to sell or the solicitation of an offer to buy these securities, nor shall there be any sale of these securities in any state or jurisdiction in which such offer, solicitation, or sale would be unlawful prior to registration or qualification under the securities laws of any such state or jurisdiction.</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Expensify</w:t>
      </w:r>
    </w:p>
    <w:p>
      <w:pPr>
        <w:spacing w:after="0" w:line="234" w:lineRule="exact"/>
        <w:rPr>
          <w:sz w:val="20"/>
          <w:szCs w:val="20"/>
          <w:color w:val="auto"/>
        </w:rPr>
      </w:pPr>
    </w:p>
    <w:p>
      <w:pPr>
        <w:ind w:right="40"/>
        <w:spacing w:after="0" w:line="238" w:lineRule="auto"/>
        <w:rPr>
          <w:sz w:val="20"/>
          <w:szCs w:val="20"/>
          <w:color w:val="auto"/>
        </w:rPr>
      </w:pPr>
      <w:r>
        <w:rPr>
          <w:rFonts w:ascii="Arial" w:cs="Arial" w:eastAsia="Arial" w:hAnsi="Arial"/>
          <w:sz w:val="18"/>
          <w:szCs w:val="18"/>
          <w:color w:val="auto"/>
        </w:rPr>
        <w:t>Expensify is a payments superapp that helps individuals and businesses around the world simplify the way they manage money. More than 10 million people use Expensify's free features, which include corporate cards, expense tracking, next-day reimbursement, invoicing, bill pay, and travel booking in one app. All free. Whether you own a small business, manage a team, or close the books for your clients, Expensify makes it easy so you have more time to focus on what really matters.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James Dean</w:t>
      </w:r>
    </w:p>
    <w:p>
      <w:pPr>
        <w:spacing w:after="0"/>
        <w:rPr>
          <w:sz w:val="20"/>
          <w:szCs w:val="20"/>
          <w:color w:val="auto"/>
        </w:rPr>
      </w:pPr>
      <w:r>
        <w:rPr>
          <w:rFonts w:ascii="Arial" w:cs="Arial" w:eastAsia="Arial" w:hAnsi="Arial"/>
          <w:sz w:val="18"/>
          <w:szCs w:val="18"/>
          <w:color w:val="auto"/>
        </w:rPr>
        <w:t>press@expensify.com</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Larry Yu</w:t>
      </w:r>
    </w:p>
    <w:p>
      <w:pPr>
        <w:spacing w:after="0" w:line="234" w:lineRule="auto"/>
        <w:rPr>
          <w:sz w:val="20"/>
          <w:szCs w:val="20"/>
          <w:color w:val="auto"/>
        </w:rPr>
      </w:pPr>
      <w:r>
        <w:rPr>
          <w:rFonts w:ascii="Arial" w:cs="Arial" w:eastAsia="Arial" w:hAnsi="Arial"/>
          <w:sz w:val="18"/>
          <w:szCs w:val="18"/>
          <w:color w:val="auto"/>
        </w:rPr>
        <w:t>Brunswick Group</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Expensify@brunswickgroup.com</w:t>
      </w: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21DA317"/>
    <w:multiLevelType w:val="hybridMultilevel"/>
    <w:lvl w:ilvl="0">
      <w:lvlJc w:val="left"/>
      <w:lvlText w:val="☐"/>
      <w:numFmt w:val="bullet"/>
      <w:start w:val="1"/>
    </w:lvl>
  </w:abstractNum>
  <w:abstractNum w:abstractNumId="1">
    <w:nsid w:val="2443A858"/>
    <w:multiLevelType w:val="hybridMultilevel"/>
    <w:lvl w:ilvl="0">
      <w:lvlJc w:val="left"/>
      <w:lvlText w:val="(%1)"/>
      <w:numFmt w:val="lowerLetter"/>
      <w:start w:val="4"/>
    </w:lvl>
  </w:abstractNum>
  <w:abstractNum w:abstractNumId="2">
    <w:nsid w:val="2D1D5AE9"/>
    <w:multiLevelType w:val="hybridMultilevel"/>
    <w:lvl w:ilvl="0">
      <w:lvlJc w:val="left"/>
      <w:lvlText w:val="%1"/>
      <w:numFmt w:val="decimal"/>
      <w:start w:val="1"/>
    </w:lvl>
    <w:lvl w:ilvl="1">
      <w:lvlJc w:val="left"/>
      <w:lvlText w:val="%2."/>
      <w:numFmt w:val="decimal"/>
      <w:start w:val="1"/>
    </w:lvl>
    <w:lvl w:ilvl="2">
      <w:lvlJc w:val="left"/>
      <w:lvlText w:val="%3"/>
      <w:numFmt w:val="decimal"/>
      <w:start w:val="1"/>
    </w:lvl>
  </w:abstractNum>
  <w:abstractNum w:abstractNumId="3">
    <w:nsid w:val="6763845E"/>
    <w:multiLevelType w:val="hybridMultilevel"/>
    <w:lvl w:ilvl="0">
      <w:lvlJc w:val="left"/>
      <w:lvlText w:val="%1."/>
      <w:numFmt w:val="decimal"/>
      <w:start w:val="2"/>
    </w:lvl>
    <w:lvl w:ilvl="1">
      <w:lvlJc w:val="left"/>
      <w:lvlText w:val="%2"/>
      <w:numFmt w:val="decimal"/>
      <w:start w:val="1"/>
    </w:lvl>
    <w:lvl w:ilvl="2">
      <w:lvlJc w:val="left"/>
      <w:lvlText w:val="%3."/>
      <w:numFmt w:val="decimal"/>
      <w:start w:val="3"/>
    </w:lvl>
  </w:abstractNum>
  <w:abstractNum w:abstractNumId="4">
    <w:nsid w:val="75A2A8D4"/>
    <w:multiLevelType w:val="hybridMultilevel"/>
    <w:lvl w:ilvl="0">
      <w:lvlJc w:val="left"/>
      <w:lvlText w:val="%1"/>
      <w:numFmt w:val="decimal"/>
      <w:start w:val="1"/>
    </w:lvl>
    <w:lvl w:ilvl="1">
      <w:lvlJc w:val="left"/>
      <w:lvlText w:val="(%2)"/>
      <w:numFmt w:val="upperLetter"/>
      <w:start w:val="1"/>
    </w:lvl>
  </w:abstractNum>
  <w:abstractNum w:abstractNumId="5">
    <w:nsid w:val="8EDBDAB"/>
    <w:multiLevelType w:val="hybridMultilevel"/>
    <w:lvl w:ilvl="0">
      <w:lvlJc w:val="left"/>
      <w:lvlText w:val="(%1)"/>
      <w:numFmt w:val="decimal"/>
      <w:start w:val="1"/>
    </w:lvl>
    <w:lvl w:ilvl="1">
      <w:lvlJc w:val="left"/>
      <w:lvlText w:val="(%2)"/>
      <w:numFmt w:val="upperLetter"/>
      <w:start w:val="3"/>
    </w:lvl>
  </w:abstractNum>
  <w:abstractNum w:abstractNumId="6">
    <w:nsid w:val="79838CB2"/>
    <w:multiLevelType w:val="hybridMultilevel"/>
    <w:lvl w:ilvl="0">
      <w:lvlJc w:val="left"/>
      <w:lvlText w:val="(%1)"/>
      <w:numFmt w:val="upperLetter"/>
      <w:start w:val="4"/>
    </w:lvl>
    <w:lvl w:ilvl="1">
      <w:lvlJc w:val="left"/>
      <w:lvlText w:val="(%2)"/>
      <w:numFmt w:val="lowerRoman"/>
      <w:start w:val="1"/>
    </w:lvl>
  </w:abstractNum>
  <w:abstractNum w:abstractNumId="7">
    <w:nsid w:val="4353D0CD"/>
    <w:multiLevelType w:val="hybridMultilevel"/>
    <w:lvl w:ilvl="0">
      <w:lvlJc w:val="left"/>
      <w:lvlText w:val="(%1)"/>
      <w:numFmt w:val="decimal"/>
      <w:start w:val="1"/>
    </w:lvl>
    <w:lvl w:ilvl="1">
      <w:lvlJc w:val="left"/>
      <w:lvlText w:val="(%2)"/>
      <w:numFmt w:val="upperLetter"/>
      <w:start w:val="6"/>
    </w:lvl>
    <w:lvl w:ilvl="2">
      <w:lvlJc w:val="left"/>
      <w:lvlText w:val="(%3)"/>
      <w:numFmt w:val="lowerRoman"/>
      <w:start w:val="2"/>
    </w:lvl>
  </w:abstractNum>
  <w:abstractNum w:abstractNumId="8">
    <w:nsid w:val="B03E0C6"/>
    <w:multiLevelType w:val="hybridMultilevel"/>
    <w:lvl w:ilvl="0">
      <w:lvlJc w:val="left"/>
      <w:lvlText w:val="%1"/>
      <w:numFmt w:val="decimal"/>
      <w:start w:val="1"/>
    </w:lvl>
    <w:lvl w:ilvl="1">
      <w:lvlJc w:val="left"/>
      <w:lvlText w:val="%2"/>
      <w:numFmt w:val="upperLetter"/>
      <w:start w:val="1"/>
    </w:lvl>
    <w:lvl w:ilvl="2">
      <w:lvlJc w:val="left"/>
      <w:lvlText w:val="(%3)"/>
      <w:numFmt w:val="lowerRoman"/>
      <w:start w:val="1"/>
    </w:lvl>
  </w:abstractNum>
  <w:abstractNum w:abstractNumId="9">
    <w:nsid w:val="189A769B"/>
    <w:multiLevelType w:val="hybridMultilevel"/>
    <w:lvl w:ilvl="0">
      <w:lvlJc w:val="left"/>
      <w:lvlText w:val="(%1)"/>
      <w:numFmt w:val="lowerRoman"/>
      <w:start w:val="3"/>
    </w:lvl>
  </w:abstractNum>
  <w:abstractNum w:abstractNumId="10">
    <w:nsid w:val="54E49EB4"/>
    <w:multiLevelType w:val="hybridMultilevel"/>
    <w:lvl w:ilvl="0">
      <w:lvlJc w:val="left"/>
      <w:lvlText w:val="(%1)"/>
      <w:numFmt w:val="lowerRoman"/>
      <w:start w:val="9"/>
    </w:lvl>
  </w:abstractNum>
  <w:abstractNum w:abstractNumId="11">
    <w:nsid w:val="71F32454"/>
    <w:multiLevelType w:val="hybridMultilevel"/>
    <w:lvl w:ilvl="0">
      <w:lvlJc w:val="left"/>
      <w:lvlText w:val="(%1)"/>
      <w:numFmt w:val="upperLetter"/>
      <w:start w:val="8"/>
    </w:lvl>
    <w:lvl w:ilvl="1">
      <w:lvlJc w:val="left"/>
      <w:lvlText w:val="(%2)"/>
      <w:numFmt w:val="lowerRoman"/>
      <w:start w:val="1"/>
    </w:lvl>
  </w:abstractNum>
  <w:abstractNum w:abstractNumId="12">
    <w:nsid w:val="2CA88611"/>
    <w:multiLevelType w:val="hybridMultilevel"/>
    <w:lvl w:ilvl="0">
      <w:lvlJc w:val="left"/>
      <w:lvlText w:val="(%1)"/>
      <w:numFmt w:val="lowerRoman"/>
      <w:start w:val="4"/>
    </w:lvl>
  </w:abstractNum>
  <w:abstractNum w:abstractNumId="13">
    <w:nsid w:val="836C40E"/>
    <w:multiLevelType w:val="hybridMultilevel"/>
    <w:lvl w:ilvl="0">
      <w:lvlJc w:val="left"/>
      <w:lvlText w:val="(%1)"/>
      <w:numFmt w:val="upperLetter"/>
      <w:start w:val="1"/>
    </w:lvl>
  </w:abstractNum>
  <w:abstractNum w:abstractNumId="14">
    <w:nsid w:val="2901D82"/>
    <w:multiLevelType w:val="hybridMultilevel"/>
    <w:lvl w:ilvl="0">
      <w:lvlJc w:val="left"/>
      <w:lvlText w:val="(%1)"/>
      <w:numFmt w:val="upperLetter"/>
      <w:start w:val="1"/>
    </w:lvl>
  </w:abstractNum>
  <w:abstractNum w:abstractNumId="15">
    <w:nsid w:val="3A95F874"/>
    <w:multiLevelType w:val="hybridMultilevel"/>
    <w:lvl w:ilvl="0">
      <w:lvlJc w:val="left"/>
      <w:lvlText w:val="(%1)"/>
      <w:numFmt w:val="lowerRoman"/>
      <w:start w:val="1"/>
    </w:lvl>
  </w:abstractNum>
  <w:abstractNum w:abstractNumId="16">
    <w:nsid w:val="8138641"/>
    <w:multiLevelType w:val="hybridMultilevel"/>
    <w:lvl w:ilvl="0">
      <w:lvlJc w:val="left"/>
      <w:lvlText w:val="(%1)"/>
      <w:numFmt w:val="lowerLetter"/>
      <w:start w:val="1"/>
    </w:lvl>
  </w:abstractNum>
  <w:abstractNum w:abstractNumId="17">
    <w:nsid w:val="1E7FF521"/>
    <w:multiLevelType w:val="hybridMultilevel"/>
    <w:lvl w:ilvl="0">
      <w:lvlJc w:val="left"/>
      <w:lvlText w:val="(%1)"/>
      <w:numFmt w:val="lowerLetter"/>
      <w:start w:val="2"/>
    </w:lvl>
    <w:lvl w:ilvl="1">
      <w:lvlJc w:val="left"/>
      <w:lvlText w:val="(%2)"/>
      <w:numFmt w:val="lowerRoman"/>
      <w:start w:val="1"/>
    </w:lvl>
  </w:abstractNum>
  <w:abstractNum w:abstractNumId="18">
    <w:nsid w:val="7C3DBD3D"/>
    <w:multiLevelType w:val="hybridMultilevel"/>
    <w:lvl w:ilvl="0">
      <w:lvlJc w:val="left"/>
      <w:lvlText w:val="(%1)"/>
      <w:numFmt w:val="lowerRoman"/>
      <w:start w:val="3"/>
    </w:lvl>
  </w:abstractNum>
  <w:abstractNum w:abstractNumId="19">
    <w:nsid w:val="737B8DDC"/>
    <w:multiLevelType w:val="hybridMultilevel"/>
    <w:lvl w:ilvl="0">
      <w:lvlJc w:val="left"/>
      <w:lvlText w:val="%1"/>
      <w:numFmt w:val="decimal"/>
      <w:start w:val="1"/>
    </w:lvl>
    <w:lvl w:ilvl="1">
      <w:lvlJc w:val="left"/>
      <w:lvlText w:val="(%2)"/>
      <w:numFmt w:val="lowerLetter"/>
      <w:start w:val="4"/>
    </w:lvl>
  </w:abstractNum>
  <w:abstractNum w:abstractNumId="20">
    <w:nsid w:val="6CEAF087"/>
    <w:multiLevelType w:val="hybridMultilevel"/>
    <w:lvl w:ilvl="0">
      <w:lvlJc w:val="left"/>
      <w:lvlText w:val="(%1)"/>
      <w:numFmt w:val="decimal"/>
      <w:start w:val="8"/>
    </w:lvl>
    <w:lvl w:ilvl="1">
      <w:lvlJc w:val="left"/>
      <w:lvlText w:val="(%2)"/>
      <w:numFmt w:val="lowerLetter"/>
      <w:start w:val="5"/>
    </w:lvl>
  </w:abstractNum>
  <w:abstractNum w:abstractNumId="21">
    <w:nsid w:val="22221A70"/>
    <w:multiLevelType w:val="hybridMultilevel"/>
    <w:lvl w:ilvl="0">
      <w:lvlJc w:val="left"/>
      <w:lvlText w:val="(%1)"/>
      <w:numFmt w:val="lowerLetter"/>
      <w:start w:val="7"/>
    </w:lvl>
  </w:abstractNum>
  <w:abstractNum w:abstractNumId="22">
    <w:nsid w:val="4516DDE9"/>
    <w:multiLevelType w:val="hybridMultilevel"/>
    <w:lvl w:ilvl="0">
      <w:lvlJc w:val="left"/>
      <w:lvlText w:val="(%1)"/>
      <w:numFmt w:val="lowerLetter"/>
      <w:start w:val="1"/>
    </w:lvl>
  </w:abstractNum>
  <w:abstractNum w:abstractNumId="23">
    <w:nsid w:val="3006C83E"/>
    <w:multiLevelType w:val="hybridMultilevel"/>
    <w:lvl w:ilvl="0">
      <w:lvlJc w:val="left"/>
      <w:lvlText w:val="(%1)"/>
      <w:numFmt w:val="lowerLetter"/>
      <w:start w:val="6"/>
    </w:lvl>
  </w:abstractNum>
  <w:abstractNum w:abstractNumId="24">
    <w:nsid w:val="614FD4A1"/>
    <w:multiLevelType w:val="hybridMultilevel"/>
    <w:lvl w:ilvl="0">
      <w:lvlJc w:val="left"/>
      <w:lvlText w:val="(%1)"/>
      <w:numFmt w:val="lowerLetter"/>
      <w:start w:val="1"/>
    </w:lvl>
  </w:abstractNum>
  <w:abstractNum w:abstractNumId="25">
    <w:nsid w:val="419AC241"/>
    <w:multiLevelType w:val="hybridMultilevel"/>
    <w:lvl w:ilvl="0">
      <w:lvlJc w:val="left"/>
      <w:lvlText w:val="%1"/>
      <w:numFmt w:val="lowerRoman"/>
      <w:start w:val="1"/>
    </w:lvl>
    <w:lvl w:ilvl="1">
      <w:lvlJc w:val="left"/>
      <w:lvlText w:val="%2"/>
      <w:numFmt w:val="lowerLetter"/>
      <w:start w:val="1"/>
    </w:lvl>
    <w:lvl w:ilvl="2">
      <w:lvlJc w:val="left"/>
      <w:lvlText w:val="(%3)"/>
      <w:numFmt w:val="lowerRoman"/>
      <w:start w:val="2"/>
    </w:lvl>
  </w:abstractNum>
  <w:abstractNum w:abstractNumId="26">
    <w:nsid w:val="5577F8E1"/>
    <w:multiLevelType w:val="hybridMultilevel"/>
    <w:lvl w:ilvl="0">
      <w:lvlJc w:val="left"/>
      <w:lvlText w:val="(%1)"/>
      <w:numFmt w:val="lowerRoman"/>
      <w:start w:val="3"/>
    </w:lvl>
    <w:lvl w:ilvl="1">
      <w:lvlJc w:val="left"/>
      <w:lvlText w:val="(%2)"/>
      <w:numFmt w:val="lowerLetter"/>
      <w:start w:val="2"/>
    </w:lvl>
    <w:lvl w:ilvl="2">
      <w:lvlJc w:val="left"/>
      <w:lvlText w:val="(%3)"/>
      <w:numFmt w:val="lowerRoman"/>
      <w:start w:val="3"/>
    </w:lvl>
  </w:abstractNum>
  <w:abstractNum w:abstractNumId="27">
    <w:nsid w:val="440BADFC"/>
    <w:multiLevelType w:val="hybridMultilevel"/>
    <w:lvl w:ilvl="0">
      <w:lvlJc w:val="left"/>
      <w:lvlText w:val="%1"/>
      <w:numFmt w:val="lowerRoman"/>
      <w:start w:val="1"/>
    </w:lvl>
    <w:lvl w:ilvl="1">
      <w:lvlJc w:val="left"/>
      <w:lvlText w:val="%2"/>
      <w:numFmt w:val="lowerLetter"/>
      <w:start w:val="1"/>
    </w:lvl>
    <w:lvl w:ilvl="2">
      <w:lvlJc w:val="left"/>
      <w:lvlText w:val="(%3)"/>
      <w:numFmt w:val="lowerRoman"/>
      <w:start w:val="1"/>
    </w:lvl>
  </w:abstractNum>
  <w:abstractNum w:abstractNumId="28">
    <w:nsid w:val="5072367"/>
    <w:multiLevelType w:val="hybridMultilevel"/>
    <w:lvl w:ilvl="0">
      <w:lvlJc w:val="left"/>
      <w:lvlText w:val="(%1)"/>
      <w:numFmt w:val="lowerRoman"/>
      <w:start w:val="3"/>
    </w:lvl>
  </w:abstractNum>
  <w:abstractNum w:abstractNumId="29">
    <w:nsid w:val="3804823E"/>
    <w:multiLevelType w:val="hybridMultilevel"/>
    <w:lvl w:ilvl="0">
      <w:lvlJc w:val="left"/>
      <w:lvlText w:val="(%1)"/>
      <w:numFmt w:val="lowerLetter"/>
      <w:start w:val="4"/>
    </w:lvl>
  </w:abstractNum>
  <w:abstractNum w:abstractNumId="30">
    <w:nsid w:val="77465F01"/>
    <w:multiLevelType w:val="hybridMultilevel"/>
    <w:lvl w:ilvl="0">
      <w:lvlJc w:val="left"/>
      <w:lvlText w:val="(%1)"/>
      <w:numFmt w:val="lowerLetter"/>
      <w:start w:val="1"/>
    </w:lvl>
  </w:abstractNum>
  <w:abstractNum w:abstractNumId="31">
    <w:nsid w:val="7724C67E"/>
    <w:multiLevelType w:val="hybridMultilevel"/>
    <w:lvl w:ilvl="0">
      <w:lvlJc w:val="left"/>
      <w:lvlText w:val="(%1)"/>
      <w:numFmt w:val="lowerLetter"/>
      <w:start w:val="4"/>
    </w:lvl>
  </w:abstractNum>
  <w:abstractNum w:abstractNumId="32">
    <w:nsid w:val="5C482A97"/>
    <w:multiLevelType w:val="hybridMultilevel"/>
    <w:lvl w:ilvl="0">
      <w:lvlJc w:val="left"/>
      <w:lvlText w:val="(%1)"/>
      <w:numFmt w:val="lowerRoman"/>
      <w:start w:val="1"/>
    </w:lvl>
  </w:abstractNum>
  <w:abstractNum w:abstractNumId="33">
    <w:nsid w:val="2463B9EA"/>
    <w:multiLevelType w:val="hybridMultilevel"/>
    <w:lvl w:ilvl="0">
      <w:lvlJc w:val="left"/>
      <w:lvlText w:val="(%1)"/>
      <w:numFmt w:val="lowerLetter"/>
      <w:start w:val="1"/>
    </w:lvl>
  </w:abstractNum>
  <w:abstractNum w:abstractNumId="34">
    <w:nsid w:val="5E884ADC"/>
    <w:multiLevelType w:val="hybridMultilevel"/>
    <w:lvl w:ilvl="0">
      <w:lvlJc w:val="left"/>
      <w:lvlText w:val="(%1)"/>
      <w:numFmt w:val="lowerLetter"/>
      <w:start w:val="1"/>
    </w:lvl>
  </w:abstractNum>
  <w:abstractNum w:abstractNumId="35">
    <w:nsid w:val="51EAD36B"/>
    <w:multiLevelType w:val="hybridMultilevel"/>
    <w:lvl w:ilvl="0">
      <w:lvlJc w:val="left"/>
      <w:lvlText w:val="(%1)"/>
      <w:numFmt w:val="lowerLetter"/>
      <w:start w:val="1"/>
    </w:lvl>
  </w:abstractNum>
  <w:abstractNum w:abstractNumId="36">
    <w:nsid w:val="2D517796"/>
    <w:multiLevelType w:val="hybridMultilevel"/>
    <w:lvl w:ilvl="0">
      <w:lvlJc w:val="left"/>
      <w:lvlText w:val="(%1)"/>
      <w:numFmt w:val="lowerRoman"/>
      <w:start w:val="1"/>
    </w:lvl>
  </w:abstractNum>
  <w:abstractNum w:abstractNumId="37">
    <w:nsid w:val="580BD78F"/>
    <w:multiLevelType w:val="hybridMultilevel"/>
    <w:lvl w:ilvl="0">
      <w:lvlJc w:val="left"/>
      <w:lvlText w:val="(%1)"/>
      <w:numFmt w:val="lowerRoman"/>
      <w:start w:val="1"/>
    </w:lvl>
  </w:abstractNum>
  <w:abstractNum w:abstractNumId="38">
    <w:nsid w:val="153EA438"/>
    <w:multiLevelType w:val="hybridMultilevel"/>
    <w:lvl w:ilvl="0">
      <w:lvlJc w:val="left"/>
      <w:lvlText w:val="(%1)"/>
      <w:numFmt w:val="lowerRoman"/>
      <w:start w:val="2"/>
    </w:lvl>
  </w:abstractNum>
  <w:abstractNum w:abstractNumId="39">
    <w:nsid w:val="3855585C"/>
    <w:multiLevelType w:val="hybridMultilevel"/>
    <w:lvl w:ilvl="0">
      <w:lvlJc w:val="left"/>
      <w:lvlText w:val="(%1)"/>
      <w:numFmt w:val="lowerRoman"/>
      <w:start w:val="3"/>
    </w:lvl>
  </w:abstractNum>
  <w:abstractNum w:abstractNumId="40">
    <w:nsid w:val="70A64E2A"/>
    <w:multiLevelType w:val="hybridMultilevel"/>
    <w:lvl w:ilvl="0">
      <w:lvlJc w:val="left"/>
      <w:lvlText w:val="(%1)"/>
      <w:numFmt w:val="lowerLetter"/>
      <w:start w:val="1"/>
    </w:lvl>
  </w:abstractNum>
  <w:abstractNum w:abstractNumId="41">
    <w:nsid w:val="6A2342EC"/>
    <w:multiLevelType w:val="hybridMultilevel"/>
    <w:lvl w:ilvl="0">
      <w:lvlJc w:val="left"/>
      <w:lvlText w:val="(%1)"/>
      <w:numFmt w:val="lowerRoman"/>
      <w:start w:val="1"/>
    </w:lvl>
  </w:abstractNum>
  <w:abstractNum w:abstractNumId="42">
    <w:nsid w:val="2A487CB0"/>
    <w:multiLevelType w:val="hybridMultilevel"/>
    <w:lvl w:ilvl="0">
      <w:lvlJc w:val="left"/>
      <w:lvlText w:val="(%1)"/>
      <w:numFmt w:val="decimal"/>
      <w:start w:val="60"/>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2021-11-15T16:45:24Z</dcterms:created>
  <dcterms:modified xsi:type="dcterms:W3CDTF">2021-11-15T16:45:24Z</dcterms:modified>
</cp:coreProperties>
</file>