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7, 2026</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Expensify, Inc.</w:t>
      </w:r>
    </w:p>
    <w:p>
      <w:pPr>
        <w:spacing w:after="0" w:line="58" w:lineRule="exact"/>
        <w:rPr>
          <w:sz w:val="24"/>
          <w:szCs w:val="24"/>
          <w:color w:val="auto"/>
        </w:rPr>
      </w:pPr>
    </w:p>
    <w:tbl>
      <w:tblPr>
        <w:tblLayout w:type="fixed"/>
        <w:tblInd w:w="1140" w:type="dxa"/>
        <w:tblCellMar>
          <w:top w:w="0" w:type="dxa"/>
          <w:left w:w="0" w:type="dxa"/>
          <w:bottom w:w="0" w:type="dxa"/>
          <w:right w:w="0" w:type="dxa"/>
        </w:tblCellMar>
      </w:tblPr>
      <w:tr>
        <w:trPr>
          <w:trHeight w:val="208"/>
        </w:trPr>
        <w:tc>
          <w:tcPr>
            <w:tcW w:w="2080" w:type="dxa"/>
            <w:vAlign w:val="bottom"/>
          </w:tcPr>
          <w:p>
            <w:pPr>
              <w:spacing w:after="0"/>
              <w:rPr>
                <w:sz w:val="18"/>
                <w:szCs w:val="18"/>
                <w:color w:val="auto"/>
              </w:rPr>
            </w:pPr>
          </w:p>
        </w:tc>
        <w:tc>
          <w:tcPr>
            <w:tcW w:w="492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8"/>
              </w:rPr>
              <w:t>(Exact Name of Registrant as Specified in its Charter)</w:t>
            </w:r>
          </w:p>
        </w:tc>
        <w:tc>
          <w:tcPr>
            <w:tcW w:w="1700" w:type="dxa"/>
            <w:vAlign w:val="bottom"/>
          </w:tcPr>
          <w:p>
            <w:pPr>
              <w:spacing w:after="0"/>
              <w:rPr>
                <w:sz w:val="18"/>
                <w:szCs w:val="18"/>
                <w:color w:val="auto"/>
              </w:rPr>
            </w:pPr>
          </w:p>
        </w:tc>
      </w:tr>
      <w:tr>
        <w:trPr>
          <w:trHeight w:val="217"/>
        </w:trPr>
        <w:tc>
          <w:tcPr>
            <w:tcW w:w="2080" w:type="dxa"/>
            <w:vAlign w:val="bottom"/>
          </w:tcPr>
          <w:p>
            <w:pPr>
              <w:jc w:val="center"/>
              <w:ind w:right="53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8"/>
              </w:rPr>
              <w:t>001-41043</w:t>
            </w:r>
          </w:p>
        </w:tc>
        <w:tc>
          <w:tcPr>
            <w:tcW w:w="1700" w:type="dxa"/>
            <w:vAlign w:val="bottom"/>
          </w:tcPr>
          <w:p>
            <w:pPr>
              <w:jc w:val="center"/>
              <w:ind w:left="672"/>
              <w:spacing w:after="0"/>
              <w:rPr>
                <w:sz w:val="20"/>
                <w:szCs w:val="20"/>
                <w:color w:val="auto"/>
              </w:rPr>
            </w:pPr>
            <w:r>
              <w:rPr>
                <w:rFonts w:ascii="Times New Roman" w:cs="Times New Roman" w:eastAsia="Times New Roman" w:hAnsi="Times New Roman"/>
                <w:sz w:val="16"/>
                <w:szCs w:val="16"/>
                <w:b w:val="1"/>
                <w:bCs w:val="1"/>
                <w:color w:val="auto"/>
                <w:w w:val="98"/>
              </w:rPr>
              <w:t>27-0239450</w:t>
            </w:r>
          </w:p>
        </w:tc>
      </w:tr>
      <w:tr>
        <w:trPr>
          <w:trHeight w:val="155"/>
        </w:trPr>
        <w:tc>
          <w:tcPr>
            <w:tcW w:w="2080" w:type="dxa"/>
            <w:vAlign w:val="bottom"/>
          </w:tcPr>
          <w:p>
            <w:pPr>
              <w:jc w:val="center"/>
              <w:ind w:right="532"/>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492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700" w:type="dxa"/>
            <w:vAlign w:val="bottom"/>
          </w:tcPr>
          <w:p>
            <w:pPr>
              <w:jc w:val="center"/>
              <w:ind w:left="652"/>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080" w:type="dxa"/>
            <w:vAlign w:val="bottom"/>
          </w:tcPr>
          <w:p>
            <w:pPr>
              <w:jc w:val="center"/>
              <w:ind w:right="532"/>
              <w:spacing w:after="0"/>
              <w:rPr>
                <w:sz w:val="20"/>
                <w:szCs w:val="20"/>
                <w:color w:val="auto"/>
              </w:rPr>
            </w:pPr>
            <w:r>
              <w:rPr>
                <w:rFonts w:ascii="Times New Roman" w:cs="Times New Roman" w:eastAsia="Times New Roman" w:hAnsi="Times New Roman"/>
                <w:sz w:val="13"/>
                <w:szCs w:val="13"/>
                <w:b w:val="1"/>
                <w:bCs w:val="1"/>
                <w:color w:val="auto"/>
                <w:w w:val="95"/>
              </w:rPr>
              <w:t>of Incorporation)</w:t>
            </w: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1700" w:type="dxa"/>
            <w:vAlign w:val="bottom"/>
          </w:tcPr>
          <w:p>
            <w:pPr>
              <w:jc w:val="center"/>
              <w:ind w:left="652"/>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81"/>
        </w:trPr>
        <w:tc>
          <w:tcPr>
            <w:tcW w:w="2080" w:type="dxa"/>
            <w:vAlign w:val="bottom"/>
          </w:tcPr>
          <w:p>
            <w:pPr>
              <w:spacing w:after="0"/>
              <w:rPr>
                <w:sz w:val="24"/>
                <w:szCs w:val="24"/>
                <w:color w:val="auto"/>
              </w:rPr>
            </w:pP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7"/>
              </w:rPr>
              <w:t>88 Kearny St, Ste 1600</w:t>
            </w:r>
          </w:p>
        </w:tc>
        <w:tc>
          <w:tcPr>
            <w:tcW w:w="1700" w:type="dxa"/>
            <w:vAlign w:val="bottom"/>
          </w:tcPr>
          <w:p>
            <w:pPr>
              <w:spacing w:after="0"/>
              <w:rPr>
                <w:sz w:val="24"/>
                <w:szCs w:val="24"/>
                <w:color w:val="auto"/>
              </w:rPr>
            </w:pPr>
          </w:p>
        </w:tc>
      </w:tr>
      <w:tr>
        <w:trPr>
          <w:trHeight w:val="186"/>
        </w:trPr>
        <w:tc>
          <w:tcPr>
            <w:tcW w:w="2080" w:type="dxa"/>
            <w:vAlign w:val="bottom"/>
          </w:tcPr>
          <w:p>
            <w:pPr>
              <w:spacing w:after="0"/>
              <w:rPr>
                <w:sz w:val="16"/>
                <w:szCs w:val="16"/>
                <w:color w:val="auto"/>
              </w:rPr>
            </w:pP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8"/>
              </w:rPr>
              <w:t>San Francisco, California 94108</w:t>
            </w:r>
          </w:p>
        </w:tc>
        <w:tc>
          <w:tcPr>
            <w:tcW w:w="1700" w:type="dxa"/>
            <w:vAlign w:val="bottom"/>
          </w:tcPr>
          <w:p>
            <w:pPr>
              <w:spacing w:after="0"/>
              <w:rPr>
                <w:sz w:val="16"/>
                <w:szCs w:val="16"/>
                <w:color w:val="auto"/>
              </w:rPr>
            </w:pPr>
          </w:p>
        </w:tc>
      </w:tr>
      <w:tr>
        <w:trPr>
          <w:trHeight w:val="166"/>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1700" w:type="dxa"/>
            <w:vAlign w:val="bottom"/>
          </w:tcPr>
          <w:p>
            <w:pPr>
              <w:spacing w:after="0"/>
              <w:rPr>
                <w:sz w:val="14"/>
                <w:szCs w:val="14"/>
                <w:color w:val="auto"/>
              </w:rPr>
            </w:pPr>
          </w:p>
        </w:tc>
      </w:tr>
      <w:tr>
        <w:trPr>
          <w:trHeight w:val="271"/>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7"/>
              </w:rPr>
              <w:t>(971) 365-3939</w:t>
            </w:r>
          </w:p>
        </w:tc>
        <w:tc>
          <w:tcPr>
            <w:tcW w:w="1700" w:type="dxa"/>
            <w:vAlign w:val="bottom"/>
          </w:tcPr>
          <w:p>
            <w:pPr>
              <w:spacing w:after="0"/>
              <w:rPr>
                <w:sz w:val="23"/>
                <w:szCs w:val="23"/>
                <w:color w:val="auto"/>
              </w:rPr>
            </w:pPr>
          </w:p>
        </w:tc>
      </w:tr>
      <w:tr>
        <w:trPr>
          <w:trHeight w:val="166"/>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700" w:type="dxa"/>
            <w:vAlign w:val="bottom"/>
          </w:tcPr>
          <w:p>
            <w:pPr>
              <w:spacing w:after="0"/>
              <w:rPr>
                <w:sz w:val="14"/>
                <w:szCs w:val="14"/>
                <w:color w:val="auto"/>
              </w:rPr>
            </w:pPr>
          </w:p>
        </w:tc>
      </w:tr>
      <w:tr>
        <w:trPr>
          <w:trHeight w:val="271"/>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8"/>
              </w:rPr>
              <w:t>Not applicable</w:t>
            </w:r>
          </w:p>
        </w:tc>
        <w:tc>
          <w:tcPr>
            <w:tcW w:w="1700" w:type="dxa"/>
            <w:vAlign w:val="bottom"/>
          </w:tcPr>
          <w:p>
            <w:pPr>
              <w:spacing w:after="0"/>
              <w:rPr>
                <w:sz w:val="23"/>
                <w:szCs w:val="23"/>
                <w:color w:val="auto"/>
              </w:rPr>
            </w:pPr>
          </w:p>
        </w:tc>
      </w:tr>
      <w:tr>
        <w:trPr>
          <w:trHeight w:val="166"/>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700" w:type="dxa"/>
            <w:vAlign w:val="bottom"/>
          </w:tcPr>
          <w:p>
            <w:pPr>
              <w:spacing w:after="0"/>
              <w:rPr>
                <w:sz w:val="14"/>
                <w:szCs w:val="14"/>
                <w:color w:val="auto"/>
              </w:rPr>
            </w:pPr>
          </w:p>
        </w:tc>
      </w:tr>
    </w:tbl>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3" w:lineRule="exact"/>
        <w:rPr>
          <w:sz w:val="24"/>
          <w:szCs w:val="24"/>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2"/>
          </w:tcPr>
          <w:p>
            <w:pPr>
              <w:ind w:left="156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7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680" w:type="dxa"/>
            <w:vAlign w:val="bottom"/>
            <w:gridSpan w:val="2"/>
          </w:tcPr>
          <w:p>
            <w:pPr>
              <w:ind w:left="154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r>
        <w:trPr>
          <w:trHeight w:val="205"/>
        </w:trPr>
        <w:tc>
          <w:tcPr>
            <w:tcW w:w="3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Class A Common Stock, par value $0.0001 per share</w:t>
            </w:r>
          </w:p>
        </w:tc>
        <w:tc>
          <w:tcPr>
            <w:tcW w:w="3680" w:type="dxa"/>
            <w:vAlign w:val="bottom"/>
            <w:gridSpan w:val="2"/>
          </w:tcPr>
          <w:p>
            <w:pPr>
              <w:ind w:left="1560"/>
              <w:spacing w:after="0"/>
              <w:rPr>
                <w:sz w:val="20"/>
                <w:szCs w:val="20"/>
                <w:color w:val="auto"/>
              </w:rPr>
            </w:pPr>
            <w:r>
              <w:rPr>
                <w:rFonts w:ascii="Times New Roman" w:cs="Times New Roman" w:eastAsia="Times New Roman" w:hAnsi="Times New Roman"/>
                <w:sz w:val="16"/>
                <w:szCs w:val="16"/>
                <w:b w:val="1"/>
                <w:bCs w:val="1"/>
                <w:color w:val="auto"/>
              </w:rPr>
              <w:t>EXFY</w:t>
            </w: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Stock Market LLC</w:t>
            </w:r>
          </w:p>
        </w:tc>
      </w:tr>
    </w:tbl>
    <w:p>
      <w:pPr>
        <w:spacing w:after="0" w:line="77"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4" w:lineRule="exact"/>
        <w:rPr>
          <w:sz w:val="24"/>
          <w:szCs w:val="24"/>
          <w:color w:val="auto"/>
        </w:rPr>
      </w:pPr>
    </w:p>
    <w:p>
      <w:pPr>
        <w:ind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813435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39" w:right="319" w:bottom="1440" w:gutter="0" w:footer="0" w:header="0"/>
        </w:sectPr>
      </w:pPr>
    </w:p>
    <w:bookmarkStart w:id="1" w:name="page2"/>
    <w:bookmarkEnd w:id="1"/>
    <w:p>
      <w:pPr>
        <w:spacing w:after="0" w:line="10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26" w:lineRule="exact"/>
        <w:rPr>
          <w:sz w:val="20"/>
          <w:szCs w:val="20"/>
          <w:color w:val="auto"/>
        </w:rPr>
      </w:pPr>
    </w:p>
    <w:p>
      <w:pPr>
        <w:ind w:left="5" w:right="260"/>
        <w:spacing w:after="0" w:line="260" w:lineRule="auto"/>
        <w:rPr>
          <w:sz w:val="20"/>
          <w:szCs w:val="20"/>
          <w:color w:val="auto"/>
        </w:rPr>
      </w:pPr>
      <w:r>
        <w:rPr>
          <w:rFonts w:ascii="Times New Roman" w:cs="Times New Roman" w:eastAsia="Times New Roman" w:hAnsi="Times New Roman"/>
          <w:sz w:val="16"/>
          <w:szCs w:val="16"/>
          <w:color w:val="auto"/>
        </w:rPr>
        <w:t>On May 7, 2026, the Expensify, Inc. (“Expensify” or “the Company”) issued a press release announcing its financial results for the year and quarter ended March 31, 2026. A copy of this press release is furnished as Exhibit 99.1 to this current report on Form 8-K and is incorporated herein by reference.</w:t>
      </w:r>
    </w:p>
    <w:p>
      <w:pPr>
        <w:spacing w:after="0" w:line="2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26" w:lineRule="exact"/>
        <w:rPr>
          <w:sz w:val="20"/>
          <w:szCs w:val="20"/>
          <w:color w:val="auto"/>
        </w:rPr>
      </w:pPr>
    </w:p>
    <w:p>
      <w:pPr>
        <w:ind w:left="5" w:right="220"/>
        <w:spacing w:after="0" w:line="246" w:lineRule="auto"/>
        <w:rPr>
          <w:sz w:val="20"/>
          <w:szCs w:val="20"/>
          <w:color w:val="auto"/>
        </w:rPr>
      </w:pPr>
      <w:r>
        <w:rPr>
          <w:rFonts w:ascii="Times New Roman" w:cs="Times New Roman" w:eastAsia="Times New Roman" w:hAnsi="Times New Roman"/>
          <w:sz w:val="16"/>
          <w:szCs w:val="16"/>
          <w:color w:val="auto"/>
        </w:rPr>
        <w:t>On May 7, 2026, the Company posted an investor presentation to its website at https://ir.expensify.com (the “Investor Presentation”). A copy of the Investor Presentation is attached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spacing w:after="0" w:line="97" w:lineRule="exact"/>
        <w:rPr>
          <w:sz w:val="20"/>
          <w:szCs w:val="20"/>
          <w:color w:val="auto"/>
        </w:rPr>
      </w:pPr>
    </w:p>
    <w:p>
      <w:pPr>
        <w:ind w:left="5" w:right="140"/>
        <w:spacing w:after="0" w:line="241" w:lineRule="auto"/>
        <w:rPr>
          <w:sz w:val="20"/>
          <w:szCs w:val="20"/>
          <w:color w:val="auto"/>
        </w:rPr>
      </w:pPr>
      <w:r>
        <w:rPr>
          <w:rFonts w:ascii="Times New Roman" w:cs="Times New Roman" w:eastAsia="Times New Roman" w:hAnsi="Times New Roman"/>
          <w:sz w:val="16"/>
          <w:szCs w:val="16"/>
          <w:color w:val="auto"/>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spacing w:after="0" w:line="102" w:lineRule="exact"/>
        <w:rPr>
          <w:sz w:val="20"/>
          <w:szCs w:val="20"/>
          <w:color w:val="auto"/>
        </w:rPr>
      </w:pPr>
    </w:p>
    <w:p>
      <w:pPr>
        <w:ind w:left="5"/>
        <w:spacing w:after="0" w:line="278" w:lineRule="auto"/>
        <w:rPr>
          <w:sz w:val="20"/>
          <w:szCs w:val="20"/>
          <w:color w:val="auto"/>
        </w:rPr>
      </w:pPr>
      <w:r>
        <w:rPr>
          <w:rFonts w:ascii="Times New Roman" w:cs="Times New Roman" w:eastAsia="Times New Roman" w:hAnsi="Times New Roman"/>
          <w:sz w:val="15"/>
          <w:szCs w:val="15"/>
          <w:color w:val="auto"/>
        </w:rPr>
        <w:t>The information contained in Item 2.02 and this Item 7.01, including Exhibit 99.1 and 99.2, is being furnished and shall not be deemed “filed” for the purposed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pacing w:after="0" w:line="22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26" w:lineRule="exact"/>
        <w:rPr>
          <w:sz w:val="20"/>
          <w:szCs w:val="20"/>
          <w:color w:val="auto"/>
        </w:rPr>
      </w:pPr>
    </w:p>
    <w:p>
      <w:pPr>
        <w:ind w:left="225" w:hanging="225"/>
        <w:spacing w:after="0"/>
        <w:tabs>
          <w:tab w:leader="none" w:pos="2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Exhibits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5"/>
        <w:spacing w:after="0"/>
        <w:tabs>
          <w:tab w:leader="none" w:pos="925"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92" w:lineRule="exact"/>
        <w:rPr>
          <w:sz w:val="20"/>
          <w:szCs w:val="20"/>
          <w:color w:val="auto"/>
        </w:rPr>
      </w:pPr>
    </w:p>
    <w:p>
      <w:pPr>
        <w:ind w:left="285"/>
        <w:spacing w:after="0"/>
        <w:tabs>
          <w:tab w:leader="none" w:pos="925"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FF"/>
        </w:rPr>
        <w:t>Press Release issued by Expensify, Inc., dated May 7, 2026</w:t>
      </w:r>
    </w:p>
    <w:p>
      <w:pPr>
        <w:spacing w:after="0" w:line="88" w:lineRule="exact"/>
        <w:rPr>
          <w:sz w:val="20"/>
          <w:szCs w:val="20"/>
          <w:color w:val="auto"/>
        </w:rPr>
      </w:pPr>
    </w:p>
    <w:p>
      <w:pPr>
        <w:ind w:left="285"/>
        <w:spacing w:after="0"/>
        <w:tabs>
          <w:tab w:leader="none" w:pos="925"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FF"/>
        </w:rPr>
        <w:t>Investor Presentation, dated May 7, 2026.</w:t>
      </w:r>
    </w:p>
    <w:p>
      <w:pPr>
        <w:spacing w:after="0" w:line="88" w:lineRule="exact"/>
        <w:rPr>
          <w:sz w:val="20"/>
          <w:szCs w:val="20"/>
          <w:color w:val="auto"/>
        </w:rPr>
      </w:pPr>
    </w:p>
    <w:p>
      <w:pPr>
        <w:ind w:left="305"/>
        <w:spacing w:after="0"/>
        <w:tabs>
          <w:tab w:leader="none" w:pos="925"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842010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1440" w:right="35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6"/>
          <w:szCs w:val="16"/>
          <w:b w:val="1"/>
          <w:bCs w:val="1"/>
          <w:u w:val="single" w:color="auto"/>
          <w:color w:val="auto"/>
        </w:rPr>
        <w:t>SIGNATURE</w:t>
      </w:r>
    </w:p>
    <w:p>
      <w:pPr>
        <w:spacing w:after="0" w:line="18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color w:val="auto"/>
        </w:rPr>
        <w:t>Expensify, Inc.</w:t>
      </w:r>
    </w:p>
    <w:p>
      <w:pPr>
        <w:spacing w:after="0" w:line="230" w:lineRule="exact"/>
        <w:rPr>
          <w:sz w:val="20"/>
          <w:szCs w:val="20"/>
          <w:color w:val="auto"/>
        </w:rPr>
      </w:pPr>
    </w:p>
    <w:p>
      <w:pPr>
        <w:ind w:left="8440"/>
        <w:spacing w:after="0"/>
        <w:tabs>
          <w:tab w:leader="none" w:pos="89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5696585</wp:posOffset>
            </wp:positionH>
            <wp:positionV relativeFrom="paragraph">
              <wp:posOffset>21590</wp:posOffset>
            </wp:positionV>
            <wp:extent cx="14497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7620"/>
                    </a:xfrm>
                    <a:prstGeom prst="rect">
                      <a:avLst/>
                    </a:prstGeom>
                    <a:noFill/>
                  </pic:spPr>
                </pic:pic>
              </a:graphicData>
            </a:graphic>
          </wp:anchor>
        </w:drawing>
      </w:r>
    </w:p>
    <w:p>
      <w:pPr>
        <w:spacing w:after="0" w:line="21" w:lineRule="exact"/>
        <w:rPr>
          <w:sz w:val="20"/>
          <w:szCs w:val="20"/>
          <w:color w:val="auto"/>
        </w:rPr>
      </w:pPr>
    </w:p>
    <w:p>
      <w:pPr>
        <w:ind w:left="8440"/>
        <w:spacing w:after="0"/>
        <w:tabs>
          <w:tab w:leader="none" w:pos="89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Ryan Schaffer</w:t>
      </w:r>
    </w:p>
    <w:p>
      <w:pPr>
        <w:spacing w:after="0" w:line="53" w:lineRule="exact"/>
        <w:rPr>
          <w:sz w:val="20"/>
          <w:szCs w:val="20"/>
          <w:color w:val="auto"/>
        </w:rPr>
      </w:pPr>
    </w:p>
    <w:p>
      <w:pPr>
        <w:ind w:left="8440"/>
        <w:spacing w:after="0"/>
        <w:tabs>
          <w:tab w:leader="none" w:pos="896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7, 2026</w:t>
      </w:r>
    </w:p>
    <w:p>
      <w:pPr>
        <w:sectPr>
          <w:pgSz w:w="11900" w:h="16838" w:orient="portrait"/>
          <w:cols w:equalWidth="0" w:num="1">
            <w:col w:w="10720"/>
          </w:cols>
          <w:pgMar w:left="320" w:top="1256"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EXPENSIFY ANNOUNCES Q1 2026 RESULTS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Interchange revenue derived from the Expensify Card grew to $5.5 million, an increase of 10% as compared to the same period last year.</w:t>
      </w:r>
    </w:p>
    <w:p>
      <w:pPr>
        <w:spacing w:after="0" w:line="126"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SAN FRANCISCO, CAL.--(BUSINESS WIRE)--May 7, 2026-- Expensify, Inc. (Nasdaq: EXFY), the easiest way to manage expenses, corporate cards, and travel, today released a letter to shareholders from Founder and CEO David Barrett alongside results for its quarter ended March 31,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 Message From Our Founder</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color w:val="auto"/>
        </w:rPr>
        <w:t>In Q1 2026, Expensify continued to advance its growth strategy by expanding distribution partnerships, strengthening its product ecosystem, and accelerating development of New Expensify. The company made progress on its Bring Your Own Card strategy, enabling customers to connect existing corporate and personal cards through integrations with more than 10,000 banks, while adding or renewing strategic relationships with the Institute of Commercial Payments, ANZ Bank, and Kiwibank. Expensify also expanded its commercial ecosystem through new agreements with Campfire ERP and Rillet ERP and a new travel integration with American Airlines.</w:t>
      </w:r>
    </w:p>
    <w:p>
      <w:pPr>
        <w:spacing w:after="0" w:line="9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6"/>
          <w:szCs w:val="16"/>
          <w:color w:val="auto"/>
        </w:rPr>
        <w:t>Product development remained strong, with more than 30 improvements shipped during the quarter across Home, Insights, Concierge, card controls, expense automation, reporting, and mobile receipt management, including merchant rules, GPS mileage tracking, enhanced analytics, virtual card controls, and expanded accountant workflows. Together with continued Expensify Card interchange growth, positive free cash flow, and an increase in April 2026 paid active users relative to the Q1 2026 average, these initiatives reflect continued progress toward improving adoption, increasing automation, and positioning the business for future growth.</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-david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Founder and CEO of Expensify</w:t>
      </w:r>
    </w:p>
    <w:p>
      <w:pPr>
        <w:sectPr>
          <w:pgSz w:w="11900" w:h="16838" w:orient="portrait"/>
          <w:cols w:equalWidth="0" w:num="1">
            <w:col w:w="11260"/>
          </w:cols>
          <w:pgMar w:left="320" w:top="121"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First Quarter 2026 Highlights</w:t>
      </w:r>
    </w:p>
    <w:p>
      <w:pPr>
        <w:spacing w:after="0" w:line="149" w:lineRule="exact"/>
        <w:rPr>
          <w:sz w:val="20"/>
          <w:szCs w:val="20"/>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net was $34.0 million, a decrease of 6% compared to the same period last year.</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Generated $0.1 million of cash from operating activities.</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Free cash flow was $2.5 million, which includes a $2.6 million one time payment related to settling the shareholder class action lawsuit.</w:t>
      </w:r>
    </w:p>
    <w:p>
      <w:pPr>
        <w:spacing w:after="0" w:line="147"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was $2.3 million, compared to $3.2 million for the same period last year.</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was $3.6 million.</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was $6.2 million.</w:t>
      </w:r>
    </w:p>
    <w:p>
      <w:pPr>
        <w:spacing w:after="0" w:line="147"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Interchange revenue derived from the Expensify Card grew to $5.5 million, an increase of 10% compared to the same period last year.</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Financial Outlook section for Free Cash Flow guidance for fiscal year ending December 31,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First Quarter 2026 Highlights</w:t>
      </w:r>
    </w:p>
    <w:p>
      <w:pPr>
        <w:spacing w:after="0" w:line="135" w:lineRule="exact"/>
        <w:rPr>
          <w:sz w:val="20"/>
          <w:szCs w:val="20"/>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Paid members </w:t>
      </w:r>
      <w:r>
        <w:rPr>
          <w:rFonts w:ascii="Times New Roman" w:cs="Times New Roman" w:eastAsia="Times New Roman" w:hAnsi="Times New Roman"/>
          <w:sz w:val="16"/>
          <w:szCs w:val="16"/>
          <w:color w:val="auto"/>
        </w:rPr>
        <w:t>- Paid members were 632,000, a decrease of 4% from the same period last year.</w:t>
      </w:r>
    </w:p>
    <w:p>
      <w:pPr>
        <w:spacing w:after="0" w:line="135" w:lineRule="exact"/>
        <w:rPr>
          <w:rFonts w:ascii="Times New Roman" w:cs="Times New Roman" w:eastAsia="Times New Roman" w:hAnsi="Times New Roman"/>
          <w:sz w:val="16"/>
          <w:szCs w:val="16"/>
          <w:color w:val="auto"/>
        </w:rPr>
      </w:pPr>
    </w:p>
    <w:p>
      <w:pPr>
        <w:ind w:left="560" w:right="220" w:hanging="282"/>
        <w:spacing w:after="0" w:line="294" w:lineRule="auto"/>
        <w:tabs>
          <w:tab w:leader="none" w:pos="55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Partnerships </w:t>
      </w:r>
      <w:r>
        <w:rPr>
          <w:rFonts w:ascii="Times New Roman" w:cs="Times New Roman" w:eastAsia="Times New Roman" w:hAnsi="Times New Roman"/>
          <w:sz w:val="16"/>
          <w:szCs w:val="16"/>
          <w:color w:val="auto"/>
        </w:rPr>
        <w:t>- The company launched integrations with Campfire ERP, Rillet ERP, and American Airlines; the company announced strategic partnerships with Xero,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ANZ Bank, Kiwi Bank, and the Institute of Commercial Payments.</w:t>
      </w:r>
    </w:p>
    <w:p>
      <w:pPr>
        <w:spacing w:after="0" w:line="69" w:lineRule="exact"/>
        <w:rPr>
          <w:rFonts w:ascii="Times New Roman" w:cs="Times New Roman" w:eastAsia="Times New Roman" w:hAnsi="Times New Roman"/>
          <w:sz w:val="16"/>
          <w:szCs w:val="16"/>
          <w:color w:val="auto"/>
        </w:rPr>
      </w:pPr>
    </w:p>
    <w:p>
      <w:pPr>
        <w:ind w:left="560" w:right="240" w:hanging="282"/>
        <w:spacing w:after="0" w:line="294" w:lineRule="auto"/>
        <w:tabs>
          <w:tab w:leader="none" w:pos="55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Product improvements </w:t>
      </w:r>
      <w:r>
        <w:rPr>
          <w:rFonts w:ascii="Times New Roman" w:cs="Times New Roman" w:eastAsia="Times New Roman" w:hAnsi="Times New Roman"/>
          <w:sz w:val="16"/>
          <w:szCs w:val="16"/>
          <w:color w:val="auto"/>
        </w:rPr>
        <w:t>- The company released over 30 product improvements in Q1, highlighted by merchant level rules, an action driven homepage, and powerful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new insights.</w:t>
      </w:r>
    </w:p>
    <w:p>
      <w:pPr>
        <w:sectPr>
          <w:pgSz w:w="11900" w:h="16838" w:orient="portrait"/>
          <w:cols w:equalWidth="0" w:num="1">
            <w:col w:w="11260"/>
          </w:cols>
          <w:pgMar w:left="320" w:top="121" w:right="3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Financial Outlook</w:t>
      </w:r>
    </w:p>
    <w:p>
      <w:pPr>
        <w:spacing w:after="0" w:line="12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6"/>
          <w:szCs w:val="16"/>
          <w:color w:val="auto"/>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Free Cash Flow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Expensify estimates Free Cash Flow of $6.0 million - $9.0 million for the fiscal year ending December 31, 2026.</w:t>
      </w:r>
    </w:p>
    <w:p>
      <w:pPr>
        <w:spacing w:after="0" w:line="13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The Company does not provide a reconciliation for free cash flow estimates on a forward-looking basis because it is unable, without making unreasonable efforts, to provide a meaningful or reasonably accurate calculation or estimation of net cash provided by operating activities and certain reconciling items on a forward-looking basis, which could be significant to the Company's results.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Based Compensation</w:t>
      </w:r>
    </w:p>
    <w:p>
      <w:pPr>
        <w:spacing w:after="0" w:line="12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An estimate of expected stock-based compensation for the next four fiscal quarters is as follows, which is driven primarily by the pre-IPO grant of RSUs issued to all employees (which vest quarterly over eight years with approximately three years remaining).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Est. stock-based compensation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42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762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Q4 2026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Q1 2027</w:t>
            </w:r>
          </w:p>
        </w:tc>
        <w:tc>
          <w:tcPr>
            <w:tcW w:w="680" w:type="dxa"/>
            <w:vAlign w:val="bottom"/>
          </w:tcPr>
          <w:p>
            <w:pPr>
              <w:spacing w:after="0"/>
              <w:rPr>
                <w:sz w:val="16"/>
                <w:szCs w:val="16"/>
                <w:color w:val="auto"/>
              </w:rPr>
            </w:pPr>
          </w:p>
        </w:tc>
      </w:tr>
      <w:tr>
        <w:trPr>
          <w:trHeight w:val="29"/>
        </w:trPr>
        <w:tc>
          <w:tcPr>
            <w:tcW w:w="30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8"/>
        </w:trPr>
        <w:tc>
          <w:tcPr>
            <w:tcW w:w="30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Pr>
          <w:p>
            <w:pPr>
              <w:spacing w:after="0"/>
              <w:rPr>
                <w:sz w:val="16"/>
                <w:szCs w:val="16"/>
                <w:color w:val="auto"/>
              </w:rPr>
            </w:pPr>
          </w:p>
        </w:tc>
        <w:tc>
          <w:tcPr>
            <w:tcW w:w="6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9"/>
        </w:trPr>
        <w:tc>
          <w:tcPr>
            <w:tcW w:w="30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7"/>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 net</w:t>
            </w:r>
          </w:p>
        </w:tc>
        <w:tc>
          <w:tcPr>
            <w:tcW w:w="66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6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9"/>
        </w:trPr>
        <w:tc>
          <w:tcPr>
            <w:tcW w:w="3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5"/>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6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6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29"/>
        </w:trPr>
        <w:tc>
          <w:tcPr>
            <w:tcW w:w="30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Availability of Information on Expensify’s Website</w:t>
      </w:r>
    </w:p>
    <w:p>
      <w:pPr>
        <w:spacing w:after="0" w:line="13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color w:val="auto"/>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w:t>
      </w:r>
    </w:p>
    <w:p>
      <w:pPr>
        <w:spacing w:after="0" w:line="137"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w:t>
      </w:r>
    </w:p>
    <w:p>
      <w:pPr>
        <w:sectPr>
          <w:pgSz w:w="11900" w:h="16838" w:orient="portrait"/>
          <w:cols w:equalWidth="0" w:num="1">
            <w:col w:w="11260"/>
          </w:cols>
          <w:pgMar w:left="320" w:top="121"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Non-GAAP Financial Measures</w:t>
      </w:r>
    </w:p>
    <w:p>
      <w:pPr>
        <w:spacing w:after="0" w:line="137" w:lineRule="exact"/>
        <w:rPr>
          <w:sz w:val="20"/>
          <w:szCs w:val="20"/>
          <w:color w:val="auto"/>
        </w:rPr>
      </w:pPr>
    </w:p>
    <w:p>
      <w:pPr>
        <w:ind w:right="480"/>
        <w:spacing w:after="0" w:line="291" w:lineRule="auto"/>
        <w:rPr>
          <w:sz w:val="20"/>
          <w:szCs w:val="20"/>
          <w:color w:val="auto"/>
        </w:rPr>
      </w:pPr>
      <w:r>
        <w:rPr>
          <w:rFonts w:ascii="Times New Roman" w:cs="Times New Roman" w:eastAsia="Times New Roman" w:hAnsi="Times New Roman"/>
          <w:sz w:val="16"/>
          <w:szCs w:val="16"/>
          <w:color w:val="auto"/>
        </w:rPr>
        <w:t>In addition to financial measures prepared in accordance with U.S. generally accepted accounting principles (“GAAP”), we provide certain non-GAAP financial measures, including adjusted EBITDA, non-GAAP net (loss) income, and free cash flow.</w:t>
      </w:r>
    </w:p>
    <w:p>
      <w:pPr>
        <w:spacing w:after="0" w:line="7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spacing w:after="0" w:line="100" w:lineRule="exact"/>
        <w:rPr>
          <w:sz w:val="20"/>
          <w:szCs w:val="20"/>
          <w:color w:val="auto"/>
        </w:rPr>
      </w:pPr>
    </w:p>
    <w:p>
      <w:pPr>
        <w:ind w:right="800"/>
        <w:spacing w:after="0" w:line="294" w:lineRule="auto"/>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16"/>
          <w:szCs w:val="16"/>
          <w:color w:val="auto"/>
        </w:rPr>
        <w:t>We define adjusted EBITDA as net loss excluding provision for income taxes, other income, net, depreciation and amortization, and stock-based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compensation expense.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Non-GAAP net income. </w:t>
      </w:r>
      <w:r>
        <w:rPr>
          <w:rFonts w:ascii="Times New Roman" w:cs="Times New Roman" w:eastAsia="Times New Roman" w:hAnsi="Times New Roman"/>
          <w:sz w:val="16"/>
          <w:szCs w:val="16"/>
          <w:color w:val="auto"/>
        </w:rPr>
        <w:t>We define non-GAAP net income as net loss excluding stock-based compensation expense.</w:t>
      </w:r>
    </w:p>
    <w:p>
      <w:pPr>
        <w:spacing w:after="0" w:line="147"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Free cash flow. </w:t>
      </w:r>
      <w:r>
        <w:rPr>
          <w:rFonts w:ascii="Times New Roman" w:cs="Times New Roman" w:eastAsia="Times New Roman" w:hAnsi="Times New Roman"/>
          <w:sz w:val="16"/>
          <w:szCs w:val="16"/>
          <w:color w:val="auto"/>
        </w:rPr>
        <w:t>We define free cash flow as net cash provided by operating activities excluding changes in settlement assets, net and settlement liabilities, reduced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purchases of property and equipment and software development costs.</w:t>
      </w:r>
    </w:p>
    <w:p>
      <w:pPr>
        <w:spacing w:after="0" w:line="9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The tables at the end of the Condensed Consolidated Financial Statements provide reconciliations to the most directly comparable GAAP financial measure to each of these non-GAAP financial measures.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137"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6"/>
          <w:szCs w:val="16"/>
          <w:color w:val="auto"/>
        </w:rPr>
        <w:t>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future cash flow, projected costs, prospects, plans, objectives of management and expected market growth, product developments and their potential impact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which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w:t>
      </w:r>
    </w:p>
    <w:p>
      <w:pPr>
        <w:sectPr>
          <w:pgSz w:w="11900" w:h="16838" w:orient="portrait"/>
          <w:cols w:equalWidth="0" w:num="1">
            <w:col w:w="11260"/>
          </w:cols>
          <w:pgMar w:left="320" w:top="121"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5"/>
          <w:szCs w:val="15"/>
          <w:color w:val="auto"/>
        </w:rPr>
        <w:t>any other changes in the competitive landscape of our market; the amount and timing of operating expenses that we may incur to maintain and expand our business and operations to remain competitive; the sufficiency of our cash, cash equivalents and investments to meet our liquidity needs; our ability to meet the Nasdaq continued listing requirements for minimum bid price or other Nasdaq listing requirements and the potential delisting of our common stock;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geopolitical tensions, including the war in Ukraine and the conflict in the Middle East; our ability to effectively manage our exposure to fluctuations in foreign currency exchange rates; the size of our addressable markets, market share and market trends; anticipated trends, developments and challenges in our industry, business and the highly competitive markets in which we operate; any adverse impact on our business operations as a result of using artificial intelligence or other machine learning technologies in our services;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including geopolitical uncertainty and instability, and their effects on software spending; our ability to protect against security incidents, technical difficulties, or interruptions to our platform; our ability to maintain, protect and enhance our intellectual property; the impact of tariffs and global trade disruptions on us, our customers and our vendors, including the impact on inflation, supply chains and consumer sentiment;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Expensify</w:t>
      </w:r>
    </w:p>
    <w:p>
      <w:pPr>
        <w:spacing w:after="0" w:line="149"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6"/>
          <w:szCs w:val="16"/>
          <w:color w:val="auto"/>
        </w:rPr>
        <w:t>Expensify is the easiest way to do your expenses, travel, and corporate cards. Built for businesses of all sizes and trusted by 15 million members worldwide, Expensify is a top-rated app across G2, TrustRadius, Capterra, and more. Learn more at use.expensify.com.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Nick Tooker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investors@expensify.com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Press Contact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James Dean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press@expensify.com</w:t>
      </w:r>
    </w:p>
    <w:p>
      <w:pPr>
        <w:sectPr>
          <w:pgSz w:w="11900" w:h="16838" w:orient="portrait"/>
          <w:cols w:equalWidth="0" w:num="1">
            <w:col w:w="11260"/>
          </w:cols>
          <w:pgMar w:left="320" w:top="121"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Condensed Consolidated Balance Sheets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320675</wp:posOffset>
            </wp:positionV>
            <wp:extent cx="714946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9"/>
        </w:trPr>
        <w:tc>
          <w:tcPr>
            <w:tcW w:w="7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66,528</w:t>
            </w:r>
          </w:p>
        </w:tc>
        <w:tc>
          <w:tcPr>
            <w:tcW w:w="3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63,080</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12,617</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assets, net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45,378</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5,588</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26,344</w:t>
            </w:r>
          </w:p>
        </w:tc>
        <w:tc>
          <w:tcPr>
            <w:tcW w:w="0" w:type="dxa"/>
            <w:vAlign w:val="bottom"/>
          </w:tcPr>
          <w:p>
            <w:pPr>
              <w:spacing w:after="0"/>
              <w:rPr>
                <w:sz w:val="1"/>
                <w:szCs w:val="1"/>
                <w:color w:val="auto"/>
              </w:rPr>
            </w:pPr>
          </w:p>
        </w:tc>
      </w:tr>
      <w:tr>
        <w:trPr>
          <w:trHeight w:val="29"/>
        </w:trPr>
        <w:tc>
          <w:tcPr>
            <w:tcW w:w="7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730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158,221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153,007</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software, net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13,596</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13,016</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 net</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300" w:type="dxa"/>
            <w:vAlign w:val="bottom"/>
            <w:tcBorders>
              <w:top w:val="single" w:sz="8" w:color="CCEEFF"/>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185,989</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17,893</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liabilities</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27,545</w:t>
            </w:r>
          </w:p>
        </w:tc>
        <w:tc>
          <w:tcPr>
            <w:tcW w:w="0" w:type="dxa"/>
            <w:vAlign w:val="bottom"/>
          </w:tcPr>
          <w:p>
            <w:pPr>
              <w:spacing w:after="0"/>
              <w:rPr>
                <w:sz w:val="1"/>
                <w:szCs w:val="1"/>
                <w:color w:val="auto"/>
              </w:rPr>
            </w:pPr>
          </w:p>
        </w:tc>
      </w:tr>
      <w:tr>
        <w:trPr>
          <w:trHeight w:val="29"/>
        </w:trPr>
        <w:tc>
          <w:tcPr>
            <w:tcW w:w="7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730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45,337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46,405</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0" w:type="dxa"/>
            <w:vAlign w:val="bottom"/>
          </w:tcPr>
          <w:p>
            <w:pPr>
              <w:spacing w:after="0"/>
              <w:rPr>
                <w:sz w:val="1"/>
                <w:szCs w:val="1"/>
                <w:color w:val="auto"/>
              </w:rPr>
            </w:pPr>
          </w:p>
        </w:tc>
      </w:tr>
      <w:tr>
        <w:trPr>
          <w:trHeight w:val="179"/>
        </w:trPr>
        <w:tc>
          <w:tcPr>
            <w:tcW w:w="730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52,069</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53,244</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Preferred stock, par value $0.0001; 10,000,000 shares authorized; no shares issued and outstanding as of March 31, 2026 and</w:t>
            </w: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3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December 31, 2025</w:t>
            </w:r>
          </w:p>
        </w:tc>
        <w:tc>
          <w:tcPr>
            <w:tcW w:w="3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A common stock; 1,000,000,000 shares authorized; 84,272,879 and 80,767,385 shares issued and outstanding as of</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March 31, 2026 and December 31, 2025, respectively</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LT10 common stock; 21,871,197 shares authorized; 4,209,827 shares issued and outstanding as of March 31, 2026 and</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December 31, 2025,</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LT50 common stock; 24,893,067 and 24,967,114 shares authorized as of March 31, 2026 and December 31, 2025,</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respectively; 7,950,037 and 8,083,690 shares issued and outstanding as of March 31, 2026 and December 31, 2025,</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respectively</w:t>
            </w: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313,072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304,953</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(172,217)</w:t>
            </w:r>
          </w:p>
        </w:tc>
        <w:tc>
          <w:tcPr>
            <w:tcW w:w="0" w:type="dxa"/>
            <w:vAlign w:val="bottom"/>
          </w:tcPr>
          <w:p>
            <w:pPr>
              <w:spacing w:after="0"/>
              <w:rPr>
                <w:sz w:val="1"/>
                <w:szCs w:val="1"/>
                <w:color w:val="auto"/>
              </w:rPr>
            </w:pPr>
          </w:p>
        </w:tc>
      </w:tr>
      <w:tr>
        <w:trPr>
          <w:trHeight w:val="29"/>
        </w:trPr>
        <w:tc>
          <w:tcPr>
            <w:tcW w:w="7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0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138,528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132,745</w:t>
            </w:r>
          </w:p>
        </w:tc>
        <w:tc>
          <w:tcPr>
            <w:tcW w:w="0" w:type="dxa"/>
            <w:vAlign w:val="bottom"/>
          </w:tcPr>
          <w:p>
            <w:pPr>
              <w:spacing w:after="0"/>
              <w:rPr>
                <w:sz w:val="1"/>
                <w:szCs w:val="1"/>
                <w:color w:val="auto"/>
              </w:rPr>
            </w:pPr>
          </w:p>
        </w:tc>
      </w:tr>
      <w:tr>
        <w:trPr>
          <w:trHeight w:val="214"/>
        </w:trPr>
        <w:tc>
          <w:tcPr>
            <w:tcW w:w="730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190,597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185,989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337"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Operations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net</w:t>
            </w:r>
          </w:p>
        </w:tc>
        <w:tc>
          <w:tcPr>
            <w:tcW w:w="66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33,969</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36,074</w:t>
            </w:r>
          </w:p>
        </w:tc>
        <w:tc>
          <w:tcPr>
            <w:tcW w:w="0" w:type="dxa"/>
            <w:vAlign w:val="bottom"/>
          </w:tcPr>
          <w:p>
            <w:pPr>
              <w:spacing w:after="0"/>
              <w:rPr>
                <w:sz w:val="1"/>
                <w:szCs w:val="1"/>
                <w:color w:val="auto"/>
              </w:rPr>
            </w:pPr>
          </w:p>
        </w:tc>
      </w:tr>
      <w:tr>
        <w:trPr>
          <w:trHeight w:val="225"/>
        </w:trPr>
        <w:tc>
          <w:tcPr>
            <w:tcW w:w="77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Cost of revenue, net</w:t>
            </w:r>
            <w:r>
              <w:rPr>
                <w:rFonts w:ascii="Times New Roman" w:cs="Times New Roman" w:eastAsia="Times New Roman" w:hAnsi="Times New Roman"/>
                <w:sz w:val="18"/>
                <w:szCs w:val="18"/>
                <w:color w:val="auto"/>
                <w:vertAlign w:val="superscript"/>
              </w:rPr>
              <w:t>(1)</w:t>
            </w: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17,798</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17,832</w:t>
            </w:r>
          </w:p>
        </w:tc>
        <w:tc>
          <w:tcPr>
            <w:tcW w:w="0" w:type="dxa"/>
            <w:vAlign w:val="bottom"/>
          </w:tcPr>
          <w:p>
            <w:pPr>
              <w:spacing w:after="0"/>
              <w:rPr>
                <w:sz w:val="1"/>
                <w:szCs w:val="1"/>
                <w:color w:val="auto"/>
              </w:rPr>
            </w:pPr>
          </w:p>
        </w:tc>
      </w:tr>
      <w:tr>
        <w:trPr>
          <w:trHeight w:val="217"/>
        </w:trPr>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66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16,171</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18,242</w:t>
            </w:r>
          </w:p>
        </w:tc>
        <w:tc>
          <w:tcPr>
            <w:tcW w:w="0" w:type="dxa"/>
            <w:vAlign w:val="bottom"/>
          </w:tcPr>
          <w:p>
            <w:pPr>
              <w:spacing w:after="0"/>
              <w:rPr>
                <w:sz w:val="1"/>
                <w:szCs w:val="1"/>
                <w:color w:val="auto"/>
              </w:rPr>
            </w:pPr>
          </w:p>
        </w:tc>
      </w:tr>
      <w:tr>
        <w:trPr>
          <w:trHeight w:val="176"/>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7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8"/>
                <w:szCs w:val="18"/>
                <w:color w:val="auto"/>
                <w:vertAlign w:val="superscript"/>
              </w:rPr>
              <w:t>(1)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5,265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5,358</w:t>
            </w:r>
          </w:p>
        </w:tc>
        <w:tc>
          <w:tcPr>
            <w:tcW w:w="0" w:type="dxa"/>
            <w:vAlign w:val="bottom"/>
          </w:tcPr>
          <w:p>
            <w:pPr>
              <w:spacing w:after="0"/>
              <w:rPr>
                <w:sz w:val="1"/>
                <w:szCs w:val="1"/>
                <w:color w:val="auto"/>
              </w:rPr>
            </w:pPr>
          </w:p>
        </w:tc>
      </w:tr>
      <w:tr>
        <w:trPr>
          <w:trHeight w:val="225"/>
        </w:trPr>
        <w:tc>
          <w:tcPr>
            <w:tcW w:w="77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8"/>
                <w:szCs w:val="18"/>
                <w:color w:val="auto"/>
                <w:vertAlign w:val="superscript"/>
              </w:rPr>
              <w:t>(1)</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9,118</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10,829</w:t>
            </w:r>
          </w:p>
        </w:tc>
        <w:tc>
          <w:tcPr>
            <w:tcW w:w="0" w:type="dxa"/>
            <w:vAlign w:val="bottom"/>
          </w:tcPr>
          <w:p>
            <w:pPr>
              <w:spacing w:after="0"/>
              <w:rPr>
                <w:sz w:val="1"/>
                <w:szCs w:val="1"/>
                <w:color w:val="auto"/>
              </w:rPr>
            </w:pPr>
          </w:p>
        </w:tc>
      </w:tr>
      <w:tr>
        <w:trPr>
          <w:trHeight w:val="233"/>
        </w:trPr>
        <w:tc>
          <w:tcPr>
            <w:tcW w:w="77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8"/>
                <w:szCs w:val="18"/>
                <w:color w:val="auto"/>
                <w:vertAlign w:val="superscript"/>
              </w:rPr>
              <w:t>(1)</w:t>
            </w:r>
          </w:p>
        </w:tc>
        <w:tc>
          <w:tcPr>
            <w:tcW w:w="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3,760</w:t>
            </w:r>
          </w:p>
        </w:tc>
        <w:tc>
          <w:tcPr>
            <w:tcW w:w="80" w:type="dxa"/>
            <w:vAlign w:val="bottom"/>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3,542</w:t>
            </w: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18,143</w:t>
            </w:r>
          </w:p>
        </w:tc>
        <w:tc>
          <w:tcPr>
            <w:tcW w:w="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19,729</w:t>
            </w:r>
          </w:p>
        </w:tc>
        <w:tc>
          <w:tcPr>
            <w:tcW w:w="0" w:type="dxa"/>
            <w:vAlign w:val="bottom"/>
          </w:tcPr>
          <w:p>
            <w:pPr>
              <w:spacing w:after="0"/>
              <w:rPr>
                <w:sz w:val="1"/>
                <w:szCs w:val="1"/>
                <w:color w:val="auto"/>
              </w:rPr>
            </w:pPr>
          </w:p>
        </w:tc>
      </w:tr>
      <w:tr>
        <w:trPr>
          <w:trHeight w:val="29"/>
        </w:trPr>
        <w:tc>
          <w:tcPr>
            <w:tcW w:w="6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7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(1,972)</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(1,487)</w:t>
            </w:r>
          </w:p>
        </w:tc>
        <w:tc>
          <w:tcPr>
            <w:tcW w:w="0" w:type="dxa"/>
            <w:vAlign w:val="bottom"/>
          </w:tcPr>
          <w:p>
            <w:pPr>
              <w:spacing w:after="0"/>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6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29"/>
        </w:trPr>
        <w:tc>
          <w:tcPr>
            <w:tcW w:w="6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7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(1,801)</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196"/>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(2,006)</w:t>
            </w:r>
          </w:p>
        </w:tc>
        <w:tc>
          <w:tcPr>
            <w:tcW w:w="0" w:type="dxa"/>
            <w:vAlign w:val="bottom"/>
          </w:tcPr>
          <w:p>
            <w:pPr>
              <w:spacing w:after="0"/>
              <w:rPr>
                <w:sz w:val="1"/>
                <w:szCs w:val="1"/>
                <w:color w:val="auto"/>
              </w:rPr>
            </w:pPr>
          </w:p>
        </w:tc>
      </w:tr>
      <w:tr>
        <w:trPr>
          <w:trHeight w:val="29"/>
        </w:trPr>
        <w:tc>
          <w:tcPr>
            <w:tcW w:w="6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66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(2,337)</w:t>
            </w:r>
          </w:p>
        </w:tc>
        <w:tc>
          <w:tcPr>
            <w:tcW w:w="1060" w:type="dxa"/>
            <w:vAlign w:val="bottom"/>
            <w:gridSpan w:val="2"/>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(3,169)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Net loss per share:</w:t>
            </w: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66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(0.02)</w:t>
            </w:r>
          </w:p>
        </w:tc>
        <w:tc>
          <w:tcPr>
            <w:tcW w:w="1060" w:type="dxa"/>
            <w:vAlign w:val="bottom"/>
            <w:tcBorders>
              <w:bottom w:val="single" w:sz="8" w:color="CCEEFF"/>
            </w:tcBorders>
            <w:gridSpan w:val="2"/>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96"/>
        </w:trPr>
        <w:tc>
          <w:tcPr>
            <w:tcW w:w="77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Weighted average shares of common stock used to compute net loss per share:</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66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93,719,202</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91,501,083</w:t>
            </w:r>
          </w:p>
        </w:tc>
        <w:tc>
          <w:tcPr>
            <w:tcW w:w="0" w:type="dxa"/>
            <w:vAlign w:val="bottom"/>
          </w:tcPr>
          <w:p>
            <w:pPr>
              <w:spacing w:after="0"/>
              <w:rPr>
                <w:sz w:val="1"/>
                <w:szCs w:val="1"/>
                <w:color w:val="auto"/>
              </w:rPr>
            </w:pPr>
          </w:p>
        </w:tc>
      </w:tr>
      <w:tr>
        <w:trPr>
          <w:trHeight w:val="39"/>
        </w:trPr>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6"/>
        </w:trPr>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(1)</w:t>
            </w:r>
          </w:p>
        </w:tc>
        <w:tc>
          <w:tcPr>
            <w:tcW w:w="6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Includes stock-based compensation expense as follows:</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gridSpan w:val="5"/>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4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2026</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7100" w:type="dxa"/>
            <w:vAlign w:val="bottom"/>
            <w:tcBorders>
              <w:bottom w:val="single" w:sz="8" w:color="CCEEFF"/>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 net</w:t>
            </w:r>
          </w:p>
        </w:tc>
        <w:tc>
          <w:tcPr>
            <w:tcW w:w="1040" w:type="dxa"/>
            <w:vAlign w:val="bottom"/>
            <w:tcBorders>
              <w:bottom w:val="single" w:sz="8" w:color="CCEEFF"/>
            </w:tcBorders>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2,311</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889"/>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3,039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2,402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60" w:type="dxa"/>
            <w:vAlign w:val="bottom"/>
          </w:tcPr>
          <w:p>
            <w:pPr>
              <w:spacing w:after="0"/>
              <w:rPr>
                <w:sz w:val="15"/>
                <w:szCs w:val="15"/>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1,572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Sales and marketing</w:t>
            </w: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7100" w:type="dxa"/>
            <w:vAlign w:val="bottom"/>
            <w:tcBorders>
              <w:bottom w:val="single" w:sz="8" w:color="CCEEFF"/>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660" w:type="dxa"/>
            <w:vAlign w:val="bottom"/>
          </w:tcPr>
          <w:p>
            <w:pPr>
              <w:spacing w:after="0"/>
              <w:rPr>
                <w:sz w:val="18"/>
                <w:szCs w:val="18"/>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1040" w:type="dxa"/>
            <w:vAlign w:val="bottom"/>
            <w:tcBorders>
              <w:bottom w:val="single" w:sz="8" w:color="auto"/>
            </w:tcBorders>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5,977</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889"/>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7,990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337" w:right="3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Cash Flows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330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16"/>
                <w:szCs w:val="16"/>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6"/>
                <w:szCs w:val="16"/>
                <w:color w:val="auto"/>
              </w:rPr>
            </w:pPr>
          </w:p>
        </w:tc>
        <w:tc>
          <w:tcPr>
            <w:tcW w:w="13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380" w:type="dxa"/>
            <w:vAlign w:val="bottom"/>
            <w:gridSpan w:val="2"/>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Adjustments to reconcile net loss to cash provided by operating activities:</w:t>
            </w: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Reduction of operating lease right-of-use assets</w:t>
            </w: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96"/>
        </w:trPr>
        <w:tc>
          <w:tcPr>
            <w:tcW w:w="7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impairment, receivables and sale or disposal of equipment</w:t>
            </w:r>
          </w:p>
        </w:tc>
        <w:tc>
          <w:tcPr>
            <w:tcW w:w="1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5,977</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6"/>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Settlement assets, net</w:t>
            </w:r>
          </w:p>
        </w:tc>
        <w:tc>
          <w:tcPr>
            <w:tcW w:w="1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(4,481)</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(5,555)</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96"/>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1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(10,189)</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0" w:type="dxa"/>
            <w:vAlign w:val="bottom"/>
          </w:tcPr>
          <w:p>
            <w:pPr>
              <w:spacing w:after="0"/>
              <w:rPr>
                <w:sz w:val="1"/>
                <w:szCs w:val="1"/>
                <w:color w:val="auto"/>
              </w:rPr>
            </w:pPr>
          </w:p>
        </w:tc>
      </w:tr>
      <w:tr>
        <w:trPr>
          <w:trHeight w:val="196"/>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Settlement liabilities</w:t>
            </w: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w:t>
            </w:r>
          </w:p>
        </w:tc>
        <w:tc>
          <w:tcPr>
            <w:tcW w:w="0" w:type="dxa"/>
            <w:vAlign w:val="bottom"/>
          </w:tcPr>
          <w:p>
            <w:pPr>
              <w:spacing w:after="0"/>
              <w:rPr>
                <w:sz w:val="1"/>
                <w:szCs w:val="1"/>
                <w:color w:val="auto"/>
              </w:rPr>
            </w:pPr>
          </w:p>
        </w:tc>
      </w:tr>
      <w:tr>
        <w:trPr>
          <w:trHeight w:val="196"/>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1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9"/>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7,856</w:t>
            </w: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Software development costs</w:t>
            </w:r>
          </w:p>
        </w:tc>
        <w:tc>
          <w:tcPr>
            <w:tcW w:w="1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100" w:type="dxa"/>
            <w:vAlign w:val="bottom"/>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79"/>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1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29"/>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 in customer funds, net</w:t>
            </w:r>
          </w:p>
        </w:tc>
        <w:tc>
          <w:tcPr>
            <w:tcW w:w="1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4,437</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Principal payments of finance leases</w:t>
            </w: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6"/>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common stock purchased under Matching Plan</w:t>
            </w:r>
          </w:p>
        </w:tc>
        <w:tc>
          <w:tcPr>
            <w:tcW w:w="1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common stock on exercise of stock options</w:t>
            </w:r>
          </w:p>
        </w:tc>
        <w:tc>
          <w:tcPr>
            <w:tcW w:w="1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79"/>
        </w:trPr>
        <w:tc>
          <w:tcPr>
            <w:tcW w:w="7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6,267</w:t>
            </w:r>
          </w:p>
        </w:tc>
        <w:tc>
          <w:tcPr>
            <w:tcW w:w="1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0" w:type="dxa"/>
            <w:vAlign w:val="bottom"/>
          </w:tcPr>
          <w:p>
            <w:pPr>
              <w:spacing w:after="0"/>
              <w:rPr>
                <w:sz w:val="1"/>
                <w:szCs w:val="1"/>
                <w:color w:val="auto"/>
              </w:rPr>
            </w:pPr>
          </w:p>
        </w:tc>
      </w:tr>
      <w:tr>
        <w:trPr>
          <w:trHeight w:val="29"/>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7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increase in cash and cash equivalents and restricted cash</w:t>
            </w:r>
          </w:p>
        </w:tc>
        <w:tc>
          <w:tcPr>
            <w:tcW w:w="1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w:t>
            </w:r>
          </w:p>
        </w:tc>
        <w:tc>
          <w:tcPr>
            <w:tcW w:w="0" w:type="dxa"/>
            <w:vAlign w:val="bottom"/>
          </w:tcPr>
          <w:p>
            <w:pPr>
              <w:spacing w:after="0"/>
              <w:rPr>
                <w:sz w:val="1"/>
                <w:szCs w:val="1"/>
                <w:color w:val="auto"/>
              </w:rPr>
            </w:pPr>
          </w:p>
        </w:tc>
      </w:tr>
      <w:tr>
        <w:trPr>
          <w:trHeight w:val="196"/>
        </w:trPr>
        <w:tc>
          <w:tcPr>
            <w:tcW w:w="7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1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104,624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90,834</w:t>
            </w:r>
          </w:p>
        </w:tc>
        <w:tc>
          <w:tcPr>
            <w:tcW w:w="0" w:type="dxa"/>
            <w:vAlign w:val="bottom"/>
          </w:tcPr>
          <w:p>
            <w:pPr>
              <w:spacing w:after="0"/>
              <w:rPr>
                <w:sz w:val="1"/>
                <w:szCs w:val="1"/>
                <w:color w:val="auto"/>
              </w:rPr>
            </w:pPr>
          </w:p>
        </w:tc>
      </w:tr>
      <w:tr>
        <w:trPr>
          <w:trHeight w:val="29"/>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1260" w:type="dxa"/>
            <w:vAlign w:val="bottom"/>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109,597</w:t>
            </w:r>
          </w:p>
        </w:tc>
        <w:tc>
          <w:tcPr>
            <w:tcW w:w="1380" w:type="dxa"/>
            <w:vAlign w:val="bottom"/>
            <w:gridSpan w:val="2"/>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96,349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4"/>
                <w:szCs w:val="14"/>
                <w:color w:val="auto"/>
              </w:rPr>
              <w:t>Noncash investing and financing items: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 capitalized as software development costs</w:t>
            </w:r>
          </w:p>
        </w:tc>
        <w:tc>
          <w:tcPr>
            <w:tcW w:w="1260" w:type="dxa"/>
            <w:vAlign w:val="bottom"/>
            <w:tcBorders>
              <w:bottom w:val="single" w:sz="8" w:color="CCEEFF"/>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9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 and capitalized software in accounts payable and accrued expenses</w:t>
            </w:r>
          </w:p>
        </w:tc>
        <w:tc>
          <w:tcPr>
            <w:tcW w:w="1260" w:type="dxa"/>
            <w:vAlign w:val="bottom"/>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380" w:type="dxa"/>
            <w:vAlign w:val="bottom"/>
            <w:gridSpan w:val="2"/>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Fair value of common stock issued to settle liability-classified restricted stock units</w:t>
            </w:r>
          </w:p>
        </w:tc>
        <w:tc>
          <w:tcPr>
            <w:tcW w:w="1260" w:type="dxa"/>
            <w:vAlign w:val="bottom"/>
            <w:tcBorders>
              <w:bottom w:val="single" w:sz="8" w:color="CCEEFF"/>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Reconciliation of cash and cash equivalents and restricted cash to the Condensed Consolidated Balance Sheets:</w:t>
            </w: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60" w:type="dxa"/>
            <w:vAlign w:val="bottom"/>
            <w:tcBorders>
              <w:bottom w:val="single" w:sz="8" w:color="CCEEFF"/>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66,528</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59,627</w:t>
            </w:r>
          </w:p>
        </w:tc>
        <w:tc>
          <w:tcPr>
            <w:tcW w:w="0" w:type="dxa"/>
            <w:vAlign w:val="bottom"/>
          </w:tcPr>
          <w:p>
            <w:pPr>
              <w:spacing w:after="0"/>
              <w:rPr>
                <w:sz w:val="1"/>
                <w:szCs w:val="1"/>
                <w:color w:val="auto"/>
              </w:rPr>
            </w:pPr>
          </w:p>
        </w:tc>
      </w:tr>
      <w:tr>
        <w:trPr>
          <w:trHeight w:val="19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Restricted cash included in other current assets</w:t>
            </w:r>
          </w:p>
        </w:tc>
        <w:tc>
          <w:tcPr>
            <w:tcW w:w="1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19,718</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19,225</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Restricted cash included in settlement assets, net</w:t>
            </w:r>
          </w:p>
        </w:tc>
        <w:tc>
          <w:tcPr>
            <w:tcW w:w="1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23,351</w:t>
            </w:r>
          </w:p>
        </w:tc>
        <w:tc>
          <w:tcPr>
            <w:tcW w:w="100" w:type="dxa"/>
            <w:vAlign w:val="bottom"/>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17,497</w:t>
            </w:r>
          </w:p>
        </w:tc>
        <w:tc>
          <w:tcPr>
            <w:tcW w:w="0" w:type="dxa"/>
            <w:vAlign w:val="bottom"/>
          </w:tcPr>
          <w:p>
            <w:pPr>
              <w:spacing w:after="0"/>
              <w:rPr>
                <w:sz w:val="1"/>
                <w:szCs w:val="1"/>
                <w:color w:val="auto"/>
              </w:rPr>
            </w:pPr>
          </w:p>
        </w:tc>
      </w:tr>
      <w:tr>
        <w:trPr>
          <w:trHeight w:val="206"/>
        </w:trPr>
        <w:tc>
          <w:tcPr>
            <w:tcW w:w="7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cash and cash equivalents and restricted cash</w:t>
            </w:r>
          </w:p>
        </w:tc>
        <w:tc>
          <w:tcPr>
            <w:tcW w:w="1260" w:type="dxa"/>
            <w:vAlign w:val="bottom"/>
            <w:tcBorders>
              <w:top w:val="single" w:sz="8" w:color="auto"/>
              <w:bottom w:val="single" w:sz="8" w:color="auto"/>
            </w:tcBorders>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109,597</w:t>
            </w:r>
          </w:p>
        </w:tc>
        <w:tc>
          <w:tcPr>
            <w:tcW w:w="10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96,349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337"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Reconciliation of GAAP to Non-GAAP Financial Measures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 in thousands, except percentages)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Adjusted EBITDA and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71494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400" w:type="dxa"/>
            <w:vAlign w:val="bottom"/>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r>
      <w:tr>
        <w:trPr>
          <w:trHeight w:val="29"/>
        </w:trPr>
        <w:tc>
          <w:tcPr>
            <w:tcW w:w="71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7140" w:type="dxa"/>
            <w:vAlign w:val="bottom"/>
          </w:tcPr>
          <w:p>
            <w:pPr>
              <w:spacing w:after="0"/>
              <w:rPr>
                <w:sz w:val="16"/>
                <w:szCs w:val="16"/>
                <w:color w:val="auto"/>
              </w:rPr>
            </w:pP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6"/>
                <w:szCs w:val="16"/>
                <w:color w:val="auto"/>
              </w:rPr>
            </w:pPr>
          </w:p>
        </w:tc>
        <w:tc>
          <w:tcPr>
            <w:tcW w:w="14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r>
      <w:tr>
        <w:trPr>
          <w:trHeight w:val="29"/>
        </w:trPr>
        <w:tc>
          <w:tcPr>
            <w:tcW w:w="7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7"/>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tcBorders>
              <w:bottom w:val="single" w:sz="8" w:color="CCEEFF"/>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(2,337)</w:t>
            </w:r>
          </w:p>
        </w:tc>
        <w:tc>
          <w:tcPr>
            <w:tcW w:w="100" w:type="dxa"/>
            <w:vAlign w:val="bottom"/>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(3,169)</w:t>
            </w: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margin</w:t>
            </w: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9"/>
        </w:trPr>
        <w:tc>
          <w:tcPr>
            <w:tcW w:w="7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1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300" w:type="dxa"/>
            <w:vAlign w:val="bottom"/>
          </w:tcPr>
          <w:p>
            <w:pPr>
              <w:spacing w:after="0"/>
              <w:rPr>
                <w:sz w:val="17"/>
                <w:szCs w:val="17"/>
                <w:color w:val="auto"/>
              </w:rPr>
            </w:pPr>
          </w:p>
        </w:tc>
        <w:tc>
          <w:tcPr>
            <w:tcW w:w="7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2,006</w:t>
            </w:r>
          </w:p>
        </w:tc>
      </w:tr>
      <w:tr>
        <w:trPr>
          <w:trHeight w:val="29"/>
        </w:trPr>
        <w:tc>
          <w:tcPr>
            <w:tcW w:w="7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3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(324)</w:t>
            </w: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00" w:type="dxa"/>
            <w:vAlign w:val="bottom"/>
          </w:tcPr>
          <w:p>
            <w:pPr>
              <w:spacing w:after="0"/>
              <w:rPr>
                <w:sz w:val="17"/>
                <w:szCs w:val="17"/>
                <w:color w:val="auto"/>
              </w:rPr>
            </w:pPr>
          </w:p>
        </w:tc>
        <w:tc>
          <w:tcPr>
            <w:tcW w:w="7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2,215</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1,943</w:t>
            </w:r>
          </w:p>
        </w:tc>
      </w:tr>
      <w:tr>
        <w:trPr>
          <w:trHeight w:val="29"/>
        </w:trPr>
        <w:tc>
          <w:tcPr>
            <w:tcW w:w="7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5,977</w:t>
            </w:r>
          </w:p>
        </w:tc>
        <w:tc>
          <w:tcPr>
            <w:tcW w:w="100" w:type="dxa"/>
            <w:vAlign w:val="bottom"/>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7,990</w:t>
            </w:r>
          </w:p>
        </w:tc>
      </w:tr>
      <w:tr>
        <w:trPr>
          <w:trHeight w:val="20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30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6,220</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8,446</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13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39"/>
        </w:trPr>
        <w:tc>
          <w:tcPr>
            <w:tcW w:w="7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Non-GAAP Net Income and Non-GAAP Net Income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71494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40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r>
      <w:tr>
        <w:trPr>
          <w:trHeight w:val="29"/>
        </w:trPr>
        <w:tc>
          <w:tcPr>
            <w:tcW w:w="71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714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6"/>
                <w:szCs w:val="16"/>
                <w:color w:val="auto"/>
              </w:rPr>
            </w:pPr>
          </w:p>
        </w:tc>
        <w:tc>
          <w:tcPr>
            <w:tcW w:w="138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r>
      <w:tr>
        <w:trPr>
          <w:trHeight w:val="29"/>
        </w:trPr>
        <w:tc>
          <w:tcPr>
            <w:tcW w:w="7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7"/>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20" w:type="dxa"/>
            <w:vAlign w:val="bottom"/>
            <w:tcBorders>
              <w:bottom w:val="single" w:sz="8" w:color="CCEEFF"/>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(2,337)</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(3,169)</w:t>
            </w: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margin</w:t>
            </w:r>
          </w:p>
        </w:tc>
        <w:tc>
          <w:tcPr>
            <w:tcW w:w="1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1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20" w:type="dxa"/>
            <w:vAlign w:val="bottom"/>
          </w:tcPr>
          <w:p>
            <w:pPr>
              <w:spacing w:after="0"/>
              <w:rPr>
                <w:sz w:val="17"/>
                <w:szCs w:val="17"/>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5,977</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7,990</w:t>
            </w:r>
          </w:p>
        </w:tc>
      </w:tr>
      <w:tr>
        <w:trPr>
          <w:trHeight w:val="29"/>
        </w:trPr>
        <w:tc>
          <w:tcPr>
            <w:tcW w:w="7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 net income</w:t>
            </w:r>
          </w:p>
        </w:tc>
        <w:tc>
          <w:tcPr>
            <w:tcW w:w="132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3,640</w:t>
            </w:r>
          </w:p>
        </w:tc>
        <w:tc>
          <w:tcPr>
            <w:tcW w:w="1380" w:type="dxa"/>
            <w:vAlign w:val="bottom"/>
            <w:gridSpan w:val="2"/>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4,821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6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 net income margin</w:t>
            </w:r>
          </w:p>
        </w:tc>
        <w:tc>
          <w:tcPr>
            <w:tcW w:w="1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76"/>
        </w:trPr>
        <w:tc>
          <w:tcPr>
            <w:tcW w:w="7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Free Cash Flow and Free Cash Flow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714946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400" w:type="dxa"/>
            <w:vAlign w:val="bottom"/>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r>
      <w:tr>
        <w:trPr>
          <w:trHeight w:val="29"/>
        </w:trPr>
        <w:tc>
          <w:tcPr>
            <w:tcW w:w="71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7140" w:type="dxa"/>
            <w:vAlign w:val="bottom"/>
          </w:tcPr>
          <w:p>
            <w:pPr>
              <w:spacing w:after="0"/>
              <w:rPr>
                <w:sz w:val="16"/>
                <w:szCs w:val="16"/>
                <w:color w:val="auto"/>
              </w:rPr>
            </w:pP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6"/>
                <w:szCs w:val="16"/>
                <w:color w:val="auto"/>
              </w:rPr>
            </w:pPr>
          </w:p>
        </w:tc>
        <w:tc>
          <w:tcPr>
            <w:tcW w:w="14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r>
      <w:tr>
        <w:trPr>
          <w:trHeight w:val="29"/>
        </w:trPr>
        <w:tc>
          <w:tcPr>
            <w:tcW w:w="7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7"/>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300" w:type="dxa"/>
            <w:vAlign w:val="bottom"/>
            <w:tcBorders>
              <w:bottom w:val="single" w:sz="8" w:color="CCEEFF"/>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7,856</w:t>
            </w: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cash flow margin</w:t>
            </w: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29"/>
        </w:trPr>
        <w:tc>
          <w:tcPr>
            <w:tcW w:w="7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settlement assets and liabilities:</w:t>
            </w:r>
          </w:p>
        </w:tc>
        <w:tc>
          <w:tcPr>
            <w:tcW w:w="1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6"/>
        </w:trPr>
        <w:tc>
          <w:tcPr>
            <w:tcW w:w="7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Settlement assets, net</w:t>
            </w:r>
          </w:p>
        </w:tc>
        <w:tc>
          <w:tcPr>
            <w:tcW w:w="1300" w:type="dxa"/>
            <w:vAlign w:val="bottom"/>
          </w:tcPr>
          <w:p>
            <w:pPr>
              <w:spacing w:after="0"/>
              <w:rPr>
                <w:sz w:val="17"/>
                <w:szCs w:val="17"/>
                <w:color w:val="auto"/>
              </w:rPr>
            </w:pPr>
          </w:p>
        </w:tc>
        <w:tc>
          <w:tcPr>
            <w:tcW w:w="7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4,481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5,555</w:t>
            </w:r>
          </w:p>
        </w:tc>
      </w:tr>
      <w:tr>
        <w:trPr>
          <w:trHeight w:val="29"/>
        </w:trPr>
        <w:tc>
          <w:tcPr>
            <w:tcW w:w="7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5"/>
        </w:trPr>
        <w:tc>
          <w:tcPr>
            <w:tcW w:w="7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Settlement liabilities</w:t>
            </w:r>
          </w:p>
        </w:tc>
        <w:tc>
          <w:tcPr>
            <w:tcW w:w="13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(3,809)</w:t>
            </w: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9"/>
        </w:trPr>
        <w:tc>
          <w:tcPr>
            <w:tcW w:w="7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3"/>
        </w:trPr>
        <w:tc>
          <w:tcPr>
            <w:tcW w:w="7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Software development costs</w:t>
            </w:r>
          </w:p>
        </w:tc>
        <w:tc>
          <w:tcPr>
            <w:tcW w:w="1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(1,412)</w:t>
            </w:r>
          </w:p>
        </w:tc>
        <w:tc>
          <w:tcPr>
            <w:tcW w:w="100" w:type="dxa"/>
            <w:vAlign w:val="bottom"/>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(498)</w:t>
            </w:r>
          </w:p>
        </w:tc>
      </w:tr>
      <w:tr>
        <w:trPr>
          <w:trHeight w:val="20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130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2,457</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9,104</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Free cash flow margin</w:t>
            </w:r>
          </w:p>
        </w:tc>
        <w:tc>
          <w:tcPr>
            <w:tcW w:w="13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39"/>
        </w:trPr>
        <w:tc>
          <w:tcPr>
            <w:tcW w:w="7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37" w:right="31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0140"/>
          </w:cols>
          <w:pgMar w:left="1440" w:top="124" w:right="3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140"/>
          </w:cols>
          <w:pgMar w:left="1440" w:top="124" w:right="31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140"/>
          </w:cols>
          <w:pgMar w:left="1440" w:top="124" w:right="3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140"/>
          </w:cols>
          <w:pgMar w:left="1440" w:top="124" w:right="31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140"/>
          </w:cols>
          <w:pgMar w:left="1440" w:top="124" w:right="3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140"/>
          </w:cols>
          <w:pgMar w:left="1440" w:top="124" w:right="31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140"/>
          </w:cols>
          <w:pgMar w:left="1440" w:top="124" w:right="3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140"/>
          </w:cols>
          <w:pgMar w:left="1440" w:top="124" w:right="31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0140"/>
          </w:cols>
          <w:pgMar w:left="1440" w:top="124" w:right="31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0140"/>
          </w:cols>
          <w:pgMar w:left="1440" w:top="124" w:right="31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140"/>
          </w:cols>
          <w:pgMar w:left="1440" w:top="124" w:right="31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0140"/>
          </w:cols>
          <w:pgMar w:left="1440" w:top="124" w:right="31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0140"/>
          </w:cols>
          <w:pgMar w:left="1440" w:top="124" w:right="31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0140"/>
          </w:cols>
          <w:pgMar w:left="1440" w:top="124" w:right="31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0140"/>
          </w:cols>
          <w:pgMar w:left="1440" w:top="124" w:right="31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0140"/>
          </w:cols>
          <w:pgMar w:left="1440" w:top="124" w:right="31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0140"/>
          </w:cols>
          <w:pgMar w:left="1440" w:top="124" w:right="3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0140"/>
          </w:cols>
          <w:pgMar w:left="1440" w:top="124" w:right="3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19</w:t>
      </w:r>
    </w:p>
    <w:sectPr>
      <w:pgSz w:w="11900" w:h="16838" w:orient="portrait"/>
      <w:cols w:equalWidth="0" w:num="1">
        <w:col w:w="10140"/>
      </w:cols>
      <w:pgMar w:left="1440" w:top="12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2026-05-07T15:14:20Z</dcterms:created>
  <dcterms:modified xsi:type="dcterms:W3CDTF">2026-05-07T15:14:20Z</dcterms:modified>
</cp:coreProperties>
</file>