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0001891862</w:t>
            </w:r>
          </w:p>
        </w:tc>
        <w:tc>
          <w:tcPr>
            <w:tcW w:w="29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29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4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29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40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40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40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40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835"/>
        </w:trPr>
        <w:tc>
          <w:tcPr>
            <w:tcW w:w="74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29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400" w:type="dxa"/>
            <w:vAlign w:val="bottom"/>
          </w:tcPr>
          <w:p>
            <w:pPr>
              <w:spacing w:after="0"/>
              <w:rPr>
                <w:sz w:val="24"/>
                <w:szCs w:val="24"/>
                <w:color w:val="auto"/>
              </w:rPr>
            </w:pPr>
          </w:p>
        </w:tc>
        <w:tc>
          <w:tcPr>
            <w:tcW w:w="2940" w:type="dxa"/>
            <w:vAlign w:val="bottom"/>
          </w:tcPr>
          <w:p>
            <w:pPr>
              <w:ind w:left="1640"/>
              <w:spacing w:after="0"/>
              <w:rPr>
                <w:sz w:val="20"/>
                <w:szCs w:val="20"/>
                <w:color w:val="auto"/>
              </w:rPr>
            </w:pPr>
            <w:r>
              <w:rPr>
                <w:rFonts w:ascii="Times New Roman" w:cs="Times New Roman" w:eastAsia="Times New Roman" w:hAnsi="Times New Roman"/>
                <w:sz w:val="22"/>
                <w:szCs w:val="22"/>
                <w:color w:val="auto"/>
                <w:w w:val="95"/>
              </w:rPr>
              <w:t>Expensify,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400" w:type="dxa"/>
            <w:vAlign w:val="bottom"/>
          </w:tcPr>
          <w:p>
            <w:pPr>
              <w:spacing w:after="0"/>
              <w:rPr>
                <w:sz w:val="24"/>
                <w:szCs w:val="24"/>
                <w:color w:val="auto"/>
              </w:rPr>
            </w:pPr>
          </w:p>
        </w:tc>
        <w:tc>
          <w:tcPr>
            <w:tcW w:w="294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001-41043</w:t>
            </w:r>
          </w:p>
        </w:tc>
      </w:tr>
      <w:tr>
        <w:trPr>
          <w:trHeight w:val="258"/>
        </w:trPr>
        <w:tc>
          <w:tcPr>
            <w:tcW w:w="3000" w:type="dxa"/>
            <w:vAlign w:val="bottom"/>
          </w:tcPr>
          <w:p>
            <w:pPr>
              <w:spacing w:after="0"/>
              <w:rPr>
                <w:sz w:val="22"/>
                <w:szCs w:val="22"/>
                <w:color w:val="auto"/>
              </w:rPr>
            </w:pPr>
          </w:p>
        </w:tc>
        <w:tc>
          <w:tcPr>
            <w:tcW w:w="4400" w:type="dxa"/>
            <w:vAlign w:val="bottom"/>
          </w:tcPr>
          <w:p>
            <w:pPr>
              <w:spacing w:after="0"/>
              <w:rPr>
                <w:sz w:val="22"/>
                <w:szCs w:val="22"/>
                <w:color w:val="auto"/>
              </w:rPr>
            </w:pPr>
          </w:p>
        </w:tc>
        <w:tc>
          <w:tcPr>
            <w:tcW w:w="294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88 Kearny St</w:t>
            </w:r>
          </w:p>
        </w:tc>
      </w:tr>
      <w:tr>
        <w:trPr>
          <w:trHeight w:val="243"/>
        </w:trPr>
        <w:tc>
          <w:tcPr>
            <w:tcW w:w="3000" w:type="dxa"/>
            <w:vAlign w:val="bottom"/>
          </w:tcPr>
          <w:p>
            <w:pPr>
              <w:spacing w:after="0"/>
              <w:rPr>
                <w:sz w:val="21"/>
                <w:szCs w:val="21"/>
                <w:color w:val="auto"/>
              </w:rPr>
            </w:pPr>
          </w:p>
        </w:tc>
        <w:tc>
          <w:tcPr>
            <w:tcW w:w="4400" w:type="dxa"/>
            <w:vAlign w:val="bottom"/>
          </w:tcPr>
          <w:p>
            <w:pPr>
              <w:spacing w:after="0"/>
              <w:rPr>
                <w:sz w:val="21"/>
                <w:szCs w:val="21"/>
                <w:color w:val="auto"/>
              </w:rPr>
            </w:pPr>
          </w:p>
        </w:tc>
        <w:tc>
          <w:tcPr>
            <w:tcW w:w="2940" w:type="dxa"/>
            <w:vAlign w:val="bottom"/>
          </w:tcPr>
          <w:p>
            <w:pPr>
              <w:ind w:left="1640"/>
              <w:spacing w:after="0" w:line="243" w:lineRule="exact"/>
              <w:rPr>
                <w:sz w:val="20"/>
                <w:szCs w:val="20"/>
                <w:color w:val="auto"/>
              </w:rPr>
            </w:pPr>
            <w:r>
              <w:rPr>
                <w:rFonts w:ascii="Times New Roman" w:cs="Times New Roman" w:eastAsia="Times New Roman" w:hAnsi="Times New Roman"/>
                <w:sz w:val="22"/>
                <w:szCs w:val="22"/>
                <w:color w:val="auto"/>
              </w:rPr>
              <w:t>Ste 1600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400" w:type="dxa"/>
            <w:vAlign w:val="bottom"/>
          </w:tcPr>
          <w:p>
            <w:pPr>
              <w:spacing w:after="0"/>
              <w:rPr>
                <w:sz w:val="21"/>
                <w:szCs w:val="21"/>
                <w:color w:val="auto"/>
              </w:rPr>
            </w:pPr>
          </w:p>
        </w:tc>
        <w:tc>
          <w:tcPr>
            <w:tcW w:w="2940" w:type="dxa"/>
            <w:vAlign w:val="bottom"/>
          </w:tcPr>
          <w:p>
            <w:pPr>
              <w:ind w:left="1640"/>
              <w:spacing w:after="0" w:line="243" w:lineRule="exact"/>
              <w:rPr>
                <w:sz w:val="20"/>
                <w:szCs w:val="20"/>
                <w:color w:val="auto"/>
              </w:rPr>
            </w:pPr>
            <w:r>
              <w:rPr>
                <w:rFonts w:ascii="Times New Roman" w:cs="Times New Roman" w:eastAsia="Times New Roman" w:hAnsi="Times New Roman"/>
                <w:sz w:val="22"/>
                <w:szCs w:val="22"/>
                <w:color w:val="auto"/>
              </w:rPr>
              <w:t>San Francisco</w:t>
            </w:r>
          </w:p>
        </w:tc>
      </w:tr>
      <w:tr>
        <w:trPr>
          <w:trHeight w:val="243"/>
        </w:trPr>
        <w:tc>
          <w:tcPr>
            <w:tcW w:w="3000" w:type="dxa"/>
            <w:vAlign w:val="bottom"/>
          </w:tcPr>
          <w:p>
            <w:pPr>
              <w:spacing w:after="0"/>
              <w:rPr>
                <w:sz w:val="21"/>
                <w:szCs w:val="21"/>
                <w:color w:val="auto"/>
              </w:rPr>
            </w:pPr>
          </w:p>
        </w:tc>
        <w:tc>
          <w:tcPr>
            <w:tcW w:w="4400" w:type="dxa"/>
            <w:vAlign w:val="bottom"/>
          </w:tcPr>
          <w:p>
            <w:pPr>
              <w:spacing w:after="0"/>
              <w:rPr>
                <w:sz w:val="21"/>
                <w:szCs w:val="21"/>
                <w:color w:val="auto"/>
              </w:rPr>
            </w:pPr>
          </w:p>
        </w:tc>
        <w:tc>
          <w:tcPr>
            <w:tcW w:w="2940" w:type="dxa"/>
            <w:vAlign w:val="bottom"/>
          </w:tcPr>
          <w:p>
            <w:pPr>
              <w:ind w:left="1640"/>
              <w:spacing w:after="0" w:line="243" w:lineRule="exact"/>
              <w:rPr>
                <w:sz w:val="20"/>
                <w:szCs w:val="20"/>
                <w:color w:val="auto"/>
              </w:rPr>
            </w:pPr>
            <w:r>
              <w:rPr>
                <w:rFonts w:ascii="Times New Roman" w:cs="Times New Roman" w:eastAsia="Times New Roman" w:hAnsi="Times New Roman"/>
                <w:sz w:val="22"/>
                <w:szCs w:val="22"/>
                <w:color w:val="auto"/>
                <w:w w:val="96"/>
              </w:rPr>
              <w:t>CALIFORNIA</w:t>
            </w:r>
          </w:p>
        </w:tc>
      </w:tr>
      <w:tr>
        <w:trPr>
          <w:trHeight w:val="282"/>
        </w:trPr>
        <w:tc>
          <w:tcPr>
            <w:tcW w:w="300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294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94108</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400" w:type="dxa"/>
            <w:vAlign w:val="bottom"/>
          </w:tcPr>
          <w:p>
            <w:pPr>
              <w:spacing w:after="0"/>
              <w:rPr>
                <w:sz w:val="24"/>
                <w:szCs w:val="24"/>
                <w:color w:val="auto"/>
              </w:rPr>
            </w:pPr>
          </w:p>
        </w:tc>
        <w:tc>
          <w:tcPr>
            <w:tcW w:w="294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971-365-3939</w:t>
            </w:r>
          </w:p>
        </w:tc>
      </w:tr>
      <w:tr>
        <w:trPr>
          <w:trHeight w:val="297"/>
        </w:trPr>
        <w:tc>
          <w:tcPr>
            <w:tcW w:w="74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294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Daniel Vidal</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90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8984</w:t>
            </w:r>
          </w:p>
        </w:tc>
        <w:tc>
          <w:tcPr>
            <w:tcW w:w="1140" w:type="dxa"/>
            <w:vAlign w:val="bottom"/>
          </w:tcPr>
          <w:p>
            <w:pPr>
              <w:jc w:val="right"/>
              <w:ind w:right="292"/>
              <w:spacing w:after="0" w:line="243" w:lineRule="exact"/>
              <w:rPr>
                <w:sz w:val="20"/>
                <w:szCs w:val="20"/>
                <w:color w:val="auto"/>
              </w:rPr>
            </w:pPr>
            <w:r>
              <w:rPr>
                <w:rFonts w:ascii="Times New Roman" w:cs="Times New Roman" w:eastAsia="Times New Roman" w:hAnsi="Times New Roman"/>
                <w:sz w:val="22"/>
                <w:szCs w:val="22"/>
                <w:color w:val="auto"/>
              </w:rPr>
              <w:t>6827.84</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rPr>
                <w:sz w:val="20"/>
                <w:szCs w:val="20"/>
                <w:color w:val="auto"/>
              </w:rPr>
            </w:pPr>
            <w:r>
              <w:rPr>
                <w:rFonts w:ascii="Times New Roman" w:cs="Times New Roman" w:eastAsia="Times New Roman" w:hAnsi="Times New Roman"/>
                <w:sz w:val="22"/>
                <w:szCs w:val="22"/>
                <w:b w:val="1"/>
                <w:bCs w:val="1"/>
                <w:color w:val="auto"/>
                <w:w w:val="97"/>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1200" w:type="dxa"/>
            <w:vAlign w:val="bottom"/>
            <w:vMerge w:val="continue"/>
          </w:tcPr>
          <w:p>
            <w:pPr>
              <w:spacing w:after="0"/>
              <w:rPr>
                <w:sz w:val="19"/>
                <w:szCs w:val="19"/>
                <w:color w:val="auto"/>
              </w:rPr>
            </w:pPr>
          </w:p>
        </w:tc>
        <w:tc>
          <w:tcPr>
            <w:tcW w:w="1280" w:type="dxa"/>
            <w:vAlign w:val="bottom"/>
            <w:vMerge w:val="continue"/>
          </w:tcPr>
          <w:p>
            <w:pPr>
              <w:spacing w:after="0"/>
              <w:rPr>
                <w:sz w:val="19"/>
                <w:szCs w:val="19"/>
                <w:color w:val="auto"/>
              </w:rPr>
            </w:pPr>
          </w:p>
        </w:tc>
        <w:tc>
          <w:tcPr>
            <w:tcW w:w="1120" w:type="dxa"/>
            <w:vAlign w:val="bottom"/>
          </w:tcPr>
          <w:p>
            <w:pPr>
              <w:ind w:left="220"/>
              <w:spacing w:after="0" w:line="221"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44"/>
        </w:trPr>
        <w:tc>
          <w:tcPr>
            <w:tcW w:w="1200" w:type="dxa"/>
            <w:vAlign w:val="bottom"/>
          </w:tcPr>
          <w:p>
            <w:pPr>
              <w:jc w:val="center"/>
              <w:spacing w:after="0" w:line="144" w:lineRule="exact"/>
              <w:rPr>
                <w:sz w:val="20"/>
                <w:szCs w:val="20"/>
                <w:color w:val="auto"/>
              </w:rPr>
            </w:pPr>
            <w:r>
              <w:rPr>
                <w:rFonts w:ascii="Times New Roman" w:cs="Times New Roman" w:eastAsia="Times New Roman" w:hAnsi="Times New Roman"/>
                <w:sz w:val="16"/>
                <w:szCs w:val="16"/>
                <w:b w:val="1"/>
                <w:bCs w:val="1"/>
                <w:color w:val="auto"/>
              </w:rPr>
              <w:t>Other Units</w:t>
            </w:r>
          </w:p>
        </w:tc>
        <w:tc>
          <w:tcPr>
            <w:tcW w:w="1280" w:type="dxa"/>
            <w:vAlign w:val="bottom"/>
          </w:tcPr>
          <w:p>
            <w:pPr>
              <w:ind w:left="100"/>
              <w:spacing w:after="0" w:line="144" w:lineRule="exact"/>
              <w:rPr>
                <w:sz w:val="20"/>
                <w:szCs w:val="20"/>
                <w:color w:val="auto"/>
              </w:rPr>
            </w:pPr>
            <w:r>
              <w:rPr>
                <w:rFonts w:ascii="Times New Roman" w:cs="Times New Roman" w:eastAsia="Times New Roman" w:hAnsi="Times New Roman"/>
                <w:sz w:val="16"/>
                <w:szCs w:val="16"/>
                <w:b w:val="1"/>
                <w:bCs w:val="1"/>
                <w:color w:val="auto"/>
              </w:rPr>
              <w:t>Date of Sale</w:t>
            </w: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7"/>
              <w:spacing w:after="0"/>
              <w:rPr>
                <w:sz w:val="20"/>
                <w:szCs w:val="20"/>
                <w:color w:val="auto"/>
              </w:rPr>
            </w:pPr>
            <w:r>
              <w:rPr>
                <w:rFonts w:ascii="Times New Roman" w:cs="Times New Roman" w:eastAsia="Times New Roman" w:hAnsi="Times New Roman"/>
                <w:sz w:val="22"/>
                <w:szCs w:val="22"/>
                <w:color w:val="auto"/>
                <w:w w:val="95"/>
              </w:rPr>
              <w:t>80888459</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03/17/2026</w:t>
            </w:r>
          </w:p>
        </w:tc>
        <w:tc>
          <w:tcPr>
            <w:tcW w:w="1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36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4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right"/>
              <w:ind w:right="32"/>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820" w:type="dxa"/>
            <w:vAlign w:val="bottom"/>
            <w:gridSpan w:val="2"/>
            <w:vMerge w:val="restart"/>
          </w:tcPr>
          <w:p>
            <w:pPr>
              <w:ind w:left="240"/>
              <w:spacing w:after="0"/>
              <w:rPr>
                <w:sz w:val="20"/>
                <w:szCs w:val="20"/>
                <w:color w:val="auto"/>
              </w:rPr>
            </w:pPr>
            <w:r>
              <w:rPr>
                <w:rFonts w:ascii="Times New Roman" w:cs="Times New Roman" w:eastAsia="Times New Roman" w:hAnsi="Times New Roman"/>
                <w:sz w:val="22"/>
                <w:szCs w:val="22"/>
                <w:color w:val="auto"/>
              </w:rPr>
              <w:t>03/15/2026 SPMP Purchase</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Expensify, Inc.</w:t>
            </w: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w w:val="99"/>
              </w:rPr>
              <w:t>6158</w:t>
            </w:r>
          </w:p>
        </w:tc>
        <w:tc>
          <w:tcPr>
            <w:tcW w:w="248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03/15/2026 Compensation</w:t>
            </w:r>
          </w:p>
        </w:tc>
        <w:tc>
          <w:tcPr>
            <w:tcW w:w="0" w:type="dxa"/>
            <w:vAlign w:val="bottom"/>
          </w:tcPr>
          <w:p>
            <w:pPr>
              <w:spacing w:after="0"/>
              <w:rPr>
                <w:sz w:val="1"/>
                <w:szCs w:val="1"/>
                <w:color w:val="auto"/>
              </w:rPr>
            </w:pPr>
          </w:p>
        </w:tc>
      </w:tr>
      <w:tr>
        <w:trPr>
          <w:trHeight w:val="16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820" w:type="dxa"/>
            <w:vAlign w:val="bottom"/>
            <w:gridSpan w:val="2"/>
            <w:vMerge w:val="continue"/>
          </w:tcPr>
          <w:p>
            <w:pPr>
              <w:spacing w:after="0"/>
              <w:rPr>
                <w:sz w:val="13"/>
                <w:szCs w:val="13"/>
                <w:color w:val="auto"/>
              </w:rPr>
            </w:pPr>
          </w:p>
        </w:tc>
        <w:tc>
          <w:tcPr>
            <w:tcW w:w="1560" w:type="dxa"/>
            <w:vAlign w:val="bottom"/>
            <w:vMerge w:val="continue"/>
          </w:tcPr>
          <w:p>
            <w:pPr>
              <w:spacing w:after="0"/>
              <w:rPr>
                <w:sz w:val="13"/>
                <w:szCs w:val="13"/>
                <w:color w:val="auto"/>
              </w:rPr>
            </w:pPr>
          </w:p>
        </w:tc>
        <w:tc>
          <w:tcPr>
            <w:tcW w:w="6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24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20" w:type="dxa"/>
            <w:vAlign w:val="bottom"/>
            <w:vMerge w:val="continue"/>
          </w:tcPr>
          <w:p>
            <w:pPr>
              <w:spacing w:after="0"/>
              <w:rPr>
                <w:sz w:val="10"/>
                <w:szCs w:val="10"/>
                <w:color w:val="auto"/>
              </w:rPr>
            </w:pPr>
          </w:p>
        </w:tc>
        <w:tc>
          <w:tcPr>
            <w:tcW w:w="13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820" w:type="dxa"/>
            <w:vAlign w:val="bottom"/>
            <w:gridSpan w:val="2"/>
            <w:vMerge w:val="restart"/>
          </w:tcPr>
          <w:p>
            <w:pPr>
              <w:ind w:left="240"/>
              <w:spacing w:after="0"/>
              <w:rPr>
                <w:sz w:val="20"/>
                <w:szCs w:val="20"/>
                <w:color w:val="auto"/>
              </w:rPr>
            </w:pPr>
            <w:r>
              <w:rPr>
                <w:rFonts w:ascii="Times New Roman" w:cs="Times New Roman" w:eastAsia="Times New Roman" w:hAnsi="Times New Roman"/>
                <w:sz w:val="22"/>
                <w:szCs w:val="22"/>
                <w:color w:val="auto"/>
              </w:rPr>
              <w:t>03/15/2026 RSU Vesting</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Expensify, Inc.</w:t>
            </w:r>
          </w:p>
        </w:tc>
        <w:tc>
          <w:tcPr>
            <w:tcW w:w="6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2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w w:val="99"/>
              </w:rPr>
              <w:t>2826</w:t>
            </w:r>
          </w:p>
        </w:tc>
        <w:tc>
          <w:tcPr>
            <w:tcW w:w="248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03/15/2026 Compensation</w:t>
            </w:r>
          </w:p>
        </w:tc>
        <w:tc>
          <w:tcPr>
            <w:tcW w:w="0" w:type="dxa"/>
            <w:vAlign w:val="bottom"/>
          </w:tcPr>
          <w:p>
            <w:pPr>
              <w:spacing w:after="0"/>
              <w:rPr>
                <w:sz w:val="1"/>
                <w:szCs w:val="1"/>
                <w:color w:val="auto"/>
              </w:rPr>
            </w:pPr>
          </w:p>
        </w:tc>
      </w:tr>
      <w:tr>
        <w:trPr>
          <w:trHeight w:val="16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820" w:type="dxa"/>
            <w:vAlign w:val="bottom"/>
            <w:gridSpan w:val="2"/>
            <w:vMerge w:val="continue"/>
          </w:tcPr>
          <w:p>
            <w:pPr>
              <w:spacing w:after="0"/>
              <w:rPr>
                <w:sz w:val="13"/>
                <w:szCs w:val="13"/>
                <w:color w:val="auto"/>
              </w:rPr>
            </w:pPr>
          </w:p>
        </w:tc>
        <w:tc>
          <w:tcPr>
            <w:tcW w:w="1560" w:type="dxa"/>
            <w:vAlign w:val="bottom"/>
            <w:vMerge w:val="continue"/>
          </w:tcPr>
          <w:p>
            <w:pPr>
              <w:spacing w:after="0"/>
              <w:rPr>
                <w:sz w:val="13"/>
                <w:szCs w:val="13"/>
                <w:color w:val="auto"/>
              </w:rPr>
            </w:pPr>
          </w:p>
        </w:tc>
        <w:tc>
          <w:tcPr>
            <w:tcW w:w="6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24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20" w:type="dxa"/>
            <w:vAlign w:val="bottom"/>
            <w:vMerge w:val="continue"/>
          </w:tcPr>
          <w:p>
            <w:pPr>
              <w:spacing w:after="0"/>
              <w:rPr>
                <w:sz w:val="10"/>
                <w:szCs w:val="10"/>
                <w:color w:val="auto"/>
              </w:rPr>
            </w:pPr>
          </w:p>
        </w:tc>
        <w:tc>
          <w:tcPr>
            <w:tcW w:w="13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Daniel Vidal</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88 Kearny St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12/30/2025 2468</w:t>
            </w:r>
          </w:p>
        </w:tc>
        <w:tc>
          <w:tcPr>
            <w:tcW w:w="158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rPr>
              <w:t>3751.36</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Ste 1600</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340" w:type="dxa"/>
            <w:vAlign w:val="bottom"/>
            <w:vMerge w:val="continue"/>
          </w:tcPr>
          <w:p>
            <w:pPr>
              <w:spacing w:after="0"/>
              <w:rPr>
                <w:sz w:val="9"/>
                <w:szCs w:val="9"/>
                <w:color w:val="auto"/>
              </w:rPr>
            </w:pPr>
          </w:p>
        </w:tc>
        <w:tc>
          <w:tcPr>
            <w:tcW w:w="3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tabs>
          <w:tab w:leader="none" w:pos="1400" w:val="left"/>
          <w:tab w:leader="none" w:pos="1880" w:val="left"/>
        </w:tabs>
        <w:rPr>
          <w:sz w:val="20"/>
          <w:szCs w:val="20"/>
          <w:color w:val="auto"/>
        </w:rPr>
      </w:pPr>
      <w:r>
        <w:rPr>
          <w:rFonts w:ascii="Times New Roman" w:cs="Times New Roman" w:eastAsia="Times New Roman" w:hAnsi="Times New Roman"/>
          <w:sz w:val="22"/>
          <w:szCs w:val="22"/>
          <w:color w:val="auto"/>
        </w:rPr>
        <w:t>San Francisco</w:t>
        <w:tab/>
        <w:t>CA</w:t>
      </w:r>
      <w:r>
        <w:rPr>
          <w:sz w:val="20"/>
          <w:szCs w:val="20"/>
          <w:color w:val="auto"/>
        </w:rPr>
        <w:tab/>
      </w:r>
      <w:r>
        <w:rPr>
          <w:rFonts w:ascii="Times New Roman" w:cs="Times New Roman" w:eastAsia="Times New Roman" w:hAnsi="Times New Roman"/>
          <w:sz w:val="21"/>
          <w:szCs w:val="21"/>
          <w:color w:val="auto"/>
        </w:rPr>
        <w:t>94108</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20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8"/>
              </w:rPr>
              <w:t>Note for 3(e): As of February 23, 2026, as stated in Issuer's quarterly report on Form 10-K for the fiscal year ending</w:t>
            </w:r>
          </w:p>
        </w:tc>
        <w:tc>
          <w:tcPr>
            <w:tcW w:w="0" w:type="dxa"/>
            <w:vAlign w:val="bottom"/>
          </w:tcPr>
          <w:p>
            <w:pPr>
              <w:spacing w:after="0"/>
              <w:rPr>
                <w:sz w:val="1"/>
                <w:szCs w:val="1"/>
                <w:color w:val="auto"/>
              </w:rPr>
            </w:pPr>
          </w:p>
        </w:tc>
      </w:tr>
      <w:tr>
        <w:trPr>
          <w:trHeight w:val="161"/>
        </w:trPr>
        <w:tc>
          <w:tcPr>
            <w:tcW w:w="960" w:type="dxa"/>
            <w:vAlign w:val="bottom"/>
            <w:vMerge w:val="continue"/>
          </w:tcPr>
          <w:p>
            <w:pPr>
              <w:spacing w:after="0"/>
              <w:rPr>
                <w:sz w:val="13"/>
                <w:szCs w:val="13"/>
                <w:color w:val="auto"/>
              </w:rPr>
            </w:pPr>
          </w:p>
        </w:tc>
        <w:tc>
          <w:tcPr>
            <w:tcW w:w="102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December 31, 2025.</w:t>
            </w:r>
          </w:p>
        </w:tc>
        <w:tc>
          <w:tcPr>
            <w:tcW w:w="0" w:type="dxa"/>
            <w:vAlign w:val="bottom"/>
          </w:tcPr>
          <w:p>
            <w:pPr>
              <w:spacing w:after="0"/>
              <w:rPr>
                <w:sz w:val="1"/>
                <w:szCs w:val="1"/>
                <w:color w:val="auto"/>
              </w:rPr>
            </w:pPr>
          </w:p>
        </w:tc>
      </w:tr>
      <w:tr>
        <w:trPr>
          <w:trHeight w:val="121"/>
        </w:trPr>
        <w:tc>
          <w:tcPr>
            <w:tcW w:w="960" w:type="dxa"/>
            <w:vAlign w:val="bottom"/>
          </w:tcPr>
          <w:p>
            <w:pPr>
              <w:spacing w:after="0"/>
              <w:rPr>
                <w:sz w:val="10"/>
                <w:szCs w:val="10"/>
                <w:color w:val="auto"/>
              </w:rPr>
            </w:pPr>
          </w:p>
        </w:tc>
        <w:tc>
          <w:tcPr>
            <w:tcW w:w="10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6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2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03/18/2026</w:t>
            </w:r>
          </w:p>
        </w:tc>
        <w:tc>
          <w:tcPr>
            <w:tcW w:w="0" w:type="dxa"/>
            <w:vAlign w:val="bottom"/>
          </w:tcPr>
          <w:p>
            <w:pPr>
              <w:spacing w:after="0"/>
              <w:rPr>
                <w:sz w:val="1"/>
                <w:szCs w:val="1"/>
                <w:color w:val="auto"/>
              </w:rPr>
            </w:pPr>
          </w:p>
        </w:tc>
      </w:tr>
      <w:tr>
        <w:trPr>
          <w:trHeight w:val="161"/>
        </w:trPr>
        <w:tc>
          <w:tcPr>
            <w:tcW w:w="9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60" w:type="dxa"/>
            <w:vAlign w:val="bottom"/>
            <w:vMerge w:val="continue"/>
          </w:tcPr>
          <w:p>
            <w:pPr>
              <w:spacing w:after="0"/>
              <w:rPr>
                <w:sz w:val="10"/>
                <w:szCs w:val="10"/>
                <w:color w:val="auto"/>
              </w:rPr>
            </w:pPr>
          </w:p>
        </w:tc>
        <w:tc>
          <w:tcPr>
            <w:tcW w:w="10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116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140" w:val="left"/>
        </w:tabs>
        <w:rPr>
          <w:sz w:val="20"/>
          <w:szCs w:val="20"/>
          <w:color w:val="auto"/>
        </w:rPr>
      </w:pPr>
      <w:r>
        <w:rPr>
          <w:rFonts w:ascii="Times New Roman" w:cs="Times New Roman" w:eastAsia="Times New Roman" w:hAnsi="Times New Roman"/>
          <w:sz w:val="22"/>
          <w:szCs w:val="22"/>
          <w:color w:val="auto"/>
        </w:rPr>
        <w:t>Signature</w:t>
        <w:tab/>
        <w:t>/s/ Cole Eason as attorney-in-fact</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p>
      <w:pPr>
        <w:sectPr>
          <w:pgSz w:w="11900" w:h="16838" w:orient="portrait"/>
          <w:cols w:equalWidth="0" w:num="1">
            <w:col w:w="11240"/>
          </w:cols>
          <w:pgMar w:left="320" w:top="98"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144</w:t>
      </w:r>
    </w:p>
    <w:p>
      <w:pPr>
        <w:spacing w:after="0" w:line="194"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With respect to holdings of and transactions in securities issued by Expensify,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the undersigned hereby constitutes and appoints Ryan Schaffer, Chief Financial Officer of the Company, and Cole Eason, Secretary of the Company, each in their respective capacities as such, and each of their respective successors in such offices, and each of them, as the undersigned’s true and lawful attorneys-in-fact and agents, with full power of substitution and resubstitution, for the undersigned and in the undersigned’s name, place and stead, in any and all capacities, to:</w:t>
      </w:r>
    </w:p>
    <w:p>
      <w:pPr>
        <w:spacing w:after="0" w:line="204" w:lineRule="exact"/>
        <w:rPr>
          <w:sz w:val="20"/>
          <w:szCs w:val="20"/>
          <w:color w:val="auto"/>
        </w:rPr>
      </w:pPr>
    </w:p>
    <w:p>
      <w:pPr>
        <w:ind w:left="660" w:hanging="328"/>
        <w:spacing w:after="0" w:line="271"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for and on behalf of the undersigned an electronic Notice of Proposed Sale of Securities Pursuant to Rule 144 (</w:t>
      </w:r>
      <w:r>
        <w:rPr>
          <w:rFonts w:ascii="Times New Roman" w:cs="Times New Roman" w:eastAsia="Times New Roman" w:hAnsi="Times New Roman"/>
          <w:sz w:val="18"/>
          <w:szCs w:val="18"/>
          <w:b w:val="1"/>
          <w:bCs w:val="1"/>
          <w:i w:val="1"/>
          <w:iCs w:val="1"/>
          <w:color w:val="auto"/>
        </w:rPr>
        <w:t>“Form 144”</w:t>
      </w:r>
      <w:r>
        <w:rPr>
          <w:rFonts w:ascii="Times New Roman" w:cs="Times New Roman" w:eastAsia="Times New Roman" w:hAnsi="Times New Roman"/>
          <w:sz w:val="18"/>
          <w:szCs w:val="18"/>
          <w:color w:val="auto"/>
        </w:rPr>
        <w:t>) relating to such sales, in accordance with the requirements of Rule 144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and</w:t>
      </w:r>
    </w:p>
    <w:p>
      <w:pPr>
        <w:spacing w:after="0" w:line="184"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and perform any and all acts for and on behalf of the undersigned which may be necessary or desirable to complete and execute any such Form 144 complete and execute any amendment or amendments thereto, and to timely file the Form 144, and any amendment thereto, with the United States Securities and Exchange Commission and any stock exchange or similar authority.</w:t>
      </w:r>
    </w:p>
    <w:p>
      <w:pPr>
        <w:spacing w:after="0" w:line="20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21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undersigned acknowledges that the foregoing attorneys-in-fact, in serving in such capacity at the request of the undersigned, are not assuming, nor is the Company assuming, any of the undersigned’s responsibilities to comply with the requirements of Rule 144 under the Securities Act.</w:t>
      </w:r>
    </w:p>
    <w:p>
      <w:pPr>
        <w:spacing w:after="0" w:line="18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This Power of Attorney shall remain in full force and effect until the undersigned is no longer required to file Form 144 with respect to the undersigned’s transactions in securities issued by the Company, unless earlier revoked by the undersigned in a signed writing delivered to the foregoing attorneys-in-fact.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has caused this Power of Attorney to be executed as of this 28th day of November, 2023.</w:t>
      </w:r>
    </w:p>
    <w:p>
      <w:pPr>
        <w:spacing w:after="0" w:line="200" w:lineRule="exact"/>
        <w:rPr>
          <w:sz w:val="20"/>
          <w:szCs w:val="20"/>
          <w:color w:val="auto"/>
        </w:rPr>
      </w:pPr>
    </w:p>
    <w:p>
      <w:pPr>
        <w:spacing w:after="0" w:line="336"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/s/ Daniel Vidal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17145</wp:posOffset>
            </wp:positionV>
            <wp:extent cx="28289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16"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Daniel Vidal</w:t>
      </w:r>
    </w:p>
    <w:sectPr>
      <w:pgSz w:w="11900" w:h="16838" w:orient="portrait"/>
      <w:cols w:equalWidth="0" w:num="1">
        <w:col w:w="11240"/>
      </w:cols>
      <w:pgMar w:left="320" w:top="14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2026-03-18T17:38:08Z</dcterms:created>
  <dcterms:modified xsi:type="dcterms:W3CDTF">2026-03-18T17:38:08Z</dcterms:modified>
</cp:coreProperties>
</file>