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2374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23748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Barrett David Michael</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EXPENSIFY,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88 KEARNY ST, STE 1600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Expensify,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EXFY</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4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04/01/2026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45"/>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46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80" w:type="dxa"/>
        <w:tblCellMar>
          <w:top w:w="0" w:type="dxa"/>
          <w:left w:w="0" w:type="dxa"/>
          <w:bottom w:w="0" w:type="dxa"/>
          <w:right w:w="0" w:type="dxa"/>
        </w:tblCellMar>
      </w:tblPr>
      <w:tr>
        <w:trPr>
          <w:trHeight w:val="47"/>
        </w:trPr>
        <w:tc>
          <w:tcPr>
            <w:tcW w:w="40" w:type="dxa"/>
            <w:vAlign w:val="bottom"/>
          </w:tcPr>
          <w:p>
            <w:pPr>
              <w:spacing w:after="0"/>
              <w:rPr>
                <w:sz w:val="4"/>
                <w:szCs w:val="4"/>
                <w:color w:val="auto"/>
              </w:rPr>
            </w:pPr>
          </w:p>
        </w:tc>
        <w:tc>
          <w:tcPr>
            <w:tcW w:w="364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3680" w:type="dxa"/>
            <w:vAlign w:val="bottom"/>
            <w:tcBorders>
              <w:top w:val="single" w:sz="8" w:color="2C2C2C"/>
              <w:bottom w:val="single" w:sz="8" w:color="2C2C2C"/>
            </w:tcBorders>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440" w:type="dxa"/>
            <w:vAlign w:val="bottom"/>
            <w:tcBorders>
              <w:top w:val="single" w:sz="8" w:color="2C2C2C"/>
              <w:bottom w:val="single" w:sz="8" w:color="2C2C2C"/>
            </w:tcBorders>
            <w:vMerge w:val="restart"/>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640" w:type="dxa"/>
            <w:vAlign w:val="bottom"/>
            <w:shd w:val="clear" w:color="auto" w:fill="EEEE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80" w:type="dxa"/>
            <w:vAlign w:val="bottom"/>
            <w:vMerge w:val="continue"/>
          </w:tcPr>
          <w:p>
            <w:pPr>
              <w:spacing w:after="0" w:line="20" w:lineRule="exact"/>
              <w:rPr>
                <w:sz w:val="1"/>
                <w:szCs w:val="1"/>
                <w:color w:val="auto"/>
              </w:rPr>
            </w:pPr>
          </w:p>
        </w:tc>
        <w:tc>
          <w:tcPr>
            <w:tcW w:w="34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368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80" w:type="dxa"/>
            <w:vAlign w:val="bottom"/>
          </w:tcPr>
          <w:p>
            <w:pPr>
              <w:spacing w:after="0"/>
              <w:rPr>
                <w:sz w:val="11"/>
                <w:szCs w:val="11"/>
                <w:color w:val="auto"/>
              </w:rPr>
            </w:pPr>
          </w:p>
        </w:tc>
        <w:tc>
          <w:tcPr>
            <w:tcW w:w="3680" w:type="dxa"/>
            <w:vAlign w:val="bottom"/>
            <w:vMerge w:val="continue"/>
          </w:tcPr>
          <w:p>
            <w:pPr>
              <w:spacing w:after="0"/>
              <w:rPr>
                <w:sz w:val="11"/>
                <w:szCs w:val="11"/>
                <w:color w:val="auto"/>
              </w:rPr>
            </w:pPr>
          </w:p>
        </w:tc>
        <w:tc>
          <w:tcPr>
            <w:tcW w:w="3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368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3440" w:type="dxa"/>
            <w:vAlign w:val="bottom"/>
            <w:vMerge w:val="restart"/>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30"/>
        </w:trPr>
        <w:tc>
          <w:tcPr>
            <w:tcW w:w="40" w:type="dxa"/>
            <w:vAlign w:val="bottom"/>
          </w:tcPr>
          <w:p>
            <w:pPr>
              <w:spacing w:after="0"/>
              <w:rPr>
                <w:sz w:val="2"/>
                <w:szCs w:val="2"/>
                <w:color w:val="auto"/>
              </w:rPr>
            </w:pPr>
          </w:p>
        </w:tc>
        <w:tc>
          <w:tcPr>
            <w:tcW w:w="36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80" w:type="dxa"/>
            <w:vAlign w:val="bottom"/>
          </w:tcPr>
          <w:p>
            <w:pPr>
              <w:spacing w:after="0"/>
              <w:rPr>
                <w:sz w:val="2"/>
                <w:szCs w:val="2"/>
                <w:color w:val="auto"/>
              </w:rPr>
            </w:pPr>
          </w:p>
        </w:tc>
        <w:tc>
          <w:tcPr>
            <w:tcW w:w="3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 w:lineRule="exact"/>
        <w:rPr>
          <w:sz w:val="24"/>
          <w:szCs w:val="24"/>
          <w:color w:val="auto"/>
        </w:rPr>
      </w:pPr>
    </w:p>
    <w:tbl>
      <w:tblPr>
        <w:tblLayout w:type="fixed"/>
        <w:tblInd w:w="120" w:type="dxa"/>
        <w:tblCellMar>
          <w:top w:w="0" w:type="dxa"/>
          <w:left w:w="0" w:type="dxa"/>
          <w:bottom w:w="0" w:type="dxa"/>
          <w:right w:w="0" w:type="dxa"/>
        </w:tblCellMar>
      </w:tblPr>
      <w:tr>
        <w:trPr>
          <w:trHeight w:val="193"/>
        </w:trPr>
        <w:tc>
          <w:tcPr>
            <w:tcW w:w="110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SAN</w:t>
            </w:r>
          </w:p>
        </w:tc>
        <w:tc>
          <w:tcPr>
            <w:tcW w:w="94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94108</w:t>
            </w:r>
          </w:p>
        </w:tc>
        <w:tc>
          <w:tcPr>
            <w:tcW w:w="6820" w:type="dxa"/>
            <w:vAlign w:val="bottom"/>
            <w:vMerge w:val="restart"/>
          </w:tcPr>
          <w:p>
            <w:pPr>
              <w:ind w:left="45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95"/>
        </w:trPr>
        <w:tc>
          <w:tcPr>
            <w:tcW w:w="11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940" w:type="dxa"/>
            <w:vAlign w:val="bottom"/>
            <w:vMerge w:val="continue"/>
          </w:tcPr>
          <w:p>
            <w:pPr>
              <w:spacing w:after="0"/>
              <w:rPr>
                <w:sz w:val="8"/>
                <w:szCs w:val="8"/>
                <w:color w:val="auto"/>
              </w:rPr>
            </w:pPr>
          </w:p>
        </w:tc>
        <w:tc>
          <w:tcPr>
            <w:tcW w:w="1600" w:type="dxa"/>
            <w:vAlign w:val="bottom"/>
            <w:vMerge w:val="continue"/>
          </w:tcPr>
          <w:p>
            <w:pPr>
              <w:spacing w:after="0"/>
              <w:rPr>
                <w:sz w:val="8"/>
                <w:szCs w:val="8"/>
                <w:color w:val="auto"/>
              </w:rPr>
            </w:pPr>
          </w:p>
        </w:tc>
        <w:tc>
          <w:tcPr>
            <w:tcW w:w="68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7"/>
        </w:trPr>
        <w:tc>
          <w:tcPr>
            <w:tcW w:w="1100" w:type="dxa"/>
            <w:vAlign w:val="bottom"/>
            <w:vMerge w:val="continue"/>
          </w:tcPr>
          <w:p>
            <w:pPr>
              <w:spacing w:after="0"/>
              <w:rPr>
                <w:sz w:val="12"/>
                <w:szCs w:val="12"/>
                <w:color w:val="auto"/>
              </w:rPr>
            </w:pPr>
          </w:p>
        </w:tc>
        <w:tc>
          <w:tcPr>
            <w:tcW w:w="9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6820" w:type="dxa"/>
            <w:vAlign w:val="bottom"/>
          </w:tcPr>
          <w:p>
            <w:pPr>
              <w:ind w:left="4500"/>
              <w:spacing w:after="0" w:line="147"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39"/>
        </w:trPr>
        <w:tc>
          <w:tcPr>
            <w:tcW w:w="1100" w:type="dxa"/>
            <w:vAlign w:val="bottom"/>
            <w:tcBorders>
              <w:bottom w:val="single" w:sz="8" w:color="9A9A9A"/>
            </w:tcBorders>
          </w:tcPr>
          <w:p>
            <w:pPr>
              <w:spacing w:after="0"/>
              <w:rPr>
                <w:sz w:val="12"/>
                <w:szCs w:val="12"/>
                <w:color w:val="auto"/>
              </w:rPr>
            </w:pPr>
          </w:p>
        </w:tc>
        <w:tc>
          <w:tcPr>
            <w:tcW w:w="9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c>
          <w:tcPr>
            <w:tcW w:w="6820" w:type="dxa"/>
            <w:vAlign w:val="bottom"/>
          </w:tcPr>
          <w:p>
            <w:pPr>
              <w:ind w:left="4500"/>
              <w:spacing w:after="0" w:line="113" w:lineRule="exact"/>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6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70"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2"/>
                <w:szCs w:val="12"/>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gridSpan w:val="2"/>
            <w:vMerge w:val="restart"/>
          </w:tcPr>
          <w:p>
            <w:pPr>
              <w:ind w:left="660"/>
              <w:spacing w:after="0"/>
              <w:rPr>
                <w:sz w:val="20"/>
                <w:szCs w:val="20"/>
                <w:color w:val="auto"/>
              </w:rPr>
            </w:pPr>
            <w:r>
              <w:rPr>
                <w:rFonts w:ascii="Times New Roman" w:cs="Times New Roman" w:eastAsia="Times New Roman" w:hAnsi="Times New Roman"/>
                <w:sz w:val="17"/>
                <w:szCs w:val="17"/>
                <w:color w:val="0000FF"/>
              </w:rPr>
              <w:t>04/01/2026</w:t>
            </w:r>
          </w:p>
        </w:tc>
        <w:tc>
          <w:tcPr>
            <w:tcW w:w="4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80" w:type="dxa"/>
            <w:vAlign w:val="bottom"/>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30,000</w:t>
            </w:r>
          </w:p>
        </w:tc>
        <w:tc>
          <w:tcPr>
            <w:tcW w:w="42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Pr>
          <w:p>
            <w:pPr>
              <w:spacing w:after="0"/>
              <w:rPr>
                <w:sz w:val="21"/>
                <w:szCs w:val="21"/>
                <w:color w:val="auto"/>
              </w:rPr>
            </w:pPr>
          </w:p>
        </w:tc>
        <w:tc>
          <w:tcPr>
            <w:tcW w:w="560" w:type="dxa"/>
            <w:vAlign w:val="bottom"/>
            <w:gridSpan w:val="3"/>
            <w:vMerge w:val="restart"/>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0.85</w:t>
            </w:r>
          </w:p>
        </w:tc>
        <w:tc>
          <w:tcPr>
            <w:tcW w:w="12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7"/>
                <w:szCs w:val="17"/>
                <w:color w:val="0000FF"/>
              </w:rPr>
              <w:t>1,198,480</w:t>
            </w:r>
          </w:p>
        </w:tc>
        <w:tc>
          <w:tcPr>
            <w:tcW w:w="94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640" w:type="dxa"/>
            <w:vAlign w:val="bottom"/>
            <w:gridSpan w:val="3"/>
            <w:vMerge w:val="continue"/>
          </w:tcPr>
          <w:p>
            <w:pPr>
              <w:spacing w:after="0"/>
              <w:rPr>
                <w:sz w:val="10"/>
                <w:szCs w:val="10"/>
                <w:color w:val="auto"/>
              </w:rPr>
            </w:pPr>
          </w:p>
        </w:tc>
        <w:tc>
          <w:tcPr>
            <w:tcW w:w="1580" w:type="dxa"/>
            <w:vAlign w:val="bottom"/>
            <w:gridSpan w:val="2"/>
            <w:vMerge w:val="continue"/>
          </w:tcPr>
          <w:p>
            <w:pPr>
              <w:spacing w:after="0"/>
              <w:rPr>
                <w:sz w:val="10"/>
                <w:szCs w:val="10"/>
                <w:color w:val="auto"/>
              </w:rPr>
            </w:pPr>
          </w:p>
        </w:tc>
        <w:tc>
          <w:tcPr>
            <w:tcW w:w="4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2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gridSpan w:val="3"/>
            <w:vMerge w:val="continue"/>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note</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2640" w:type="dxa"/>
            <w:vAlign w:val="bottom"/>
            <w:tcBorders>
              <w:top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tcBorders>
              <w:top w:val="single" w:sz="8" w:color="2C2C2C"/>
            </w:tcBorders>
          </w:tcPr>
          <w:p>
            <w:pPr>
              <w:spacing w:after="0"/>
              <w:rPr>
                <w:sz w:val="23"/>
                <w:szCs w:val="23"/>
                <w:color w:val="auto"/>
              </w:rPr>
            </w:pPr>
          </w:p>
        </w:tc>
        <w:tc>
          <w:tcPr>
            <w:tcW w:w="460" w:type="dxa"/>
            <w:vAlign w:val="bottom"/>
            <w:tcBorders>
              <w:top w:val="single" w:sz="8" w:color="2C2C2C"/>
            </w:tcBorders>
          </w:tcPr>
          <w:p>
            <w:pPr>
              <w:spacing w:after="0"/>
              <w:rPr>
                <w:sz w:val="23"/>
                <w:szCs w:val="23"/>
                <w:color w:val="auto"/>
              </w:rPr>
            </w:pPr>
          </w:p>
        </w:tc>
        <w:tc>
          <w:tcPr>
            <w:tcW w:w="420" w:type="dxa"/>
            <w:vAlign w:val="bottom"/>
            <w:tcBorders>
              <w:top w:val="single" w:sz="8" w:color="2C2C2C"/>
            </w:tcBorders>
          </w:tcPr>
          <w:p>
            <w:pPr>
              <w:spacing w:after="0"/>
              <w:rPr>
                <w:sz w:val="23"/>
                <w:szCs w:val="23"/>
                <w:color w:val="auto"/>
              </w:rPr>
            </w:pPr>
          </w:p>
        </w:tc>
        <w:tc>
          <w:tcPr>
            <w:tcW w:w="740" w:type="dxa"/>
            <w:vAlign w:val="bottom"/>
            <w:tcBorders>
              <w:top w:val="single" w:sz="8" w:color="2C2C2C"/>
            </w:tcBorders>
          </w:tcPr>
          <w:p>
            <w:pPr>
              <w:spacing w:after="0"/>
              <w:rPr>
                <w:sz w:val="23"/>
                <w:szCs w:val="23"/>
                <w:color w:val="auto"/>
              </w:rPr>
            </w:pPr>
          </w:p>
        </w:tc>
        <w:tc>
          <w:tcPr>
            <w:tcW w:w="780" w:type="dxa"/>
            <w:vAlign w:val="bottom"/>
            <w:tcBorders>
              <w:top w:val="single" w:sz="8" w:color="2C2C2C"/>
            </w:tcBorders>
          </w:tcPr>
          <w:p>
            <w:pPr>
              <w:spacing w:after="0"/>
              <w:rPr>
                <w:sz w:val="23"/>
                <w:szCs w:val="23"/>
                <w:color w:val="auto"/>
              </w:rPr>
            </w:pPr>
          </w:p>
        </w:tc>
        <w:tc>
          <w:tcPr>
            <w:tcW w:w="720" w:type="dxa"/>
            <w:vAlign w:val="bottom"/>
            <w:tcBorders>
              <w:top w:val="single" w:sz="8" w:color="2C2C2C"/>
            </w:tcBorders>
          </w:tcPr>
          <w:p>
            <w:pPr>
              <w:spacing w:after="0"/>
              <w:rPr>
                <w:sz w:val="23"/>
                <w:szCs w:val="23"/>
                <w:color w:val="auto"/>
              </w:rPr>
            </w:pPr>
          </w:p>
        </w:tc>
        <w:tc>
          <w:tcPr>
            <w:tcW w:w="420" w:type="dxa"/>
            <w:vAlign w:val="bottom"/>
            <w:tcBorders>
              <w:top w:val="single" w:sz="8" w:color="2C2C2C"/>
            </w:tcBorders>
          </w:tcPr>
          <w:p>
            <w:pPr>
              <w:spacing w:after="0"/>
              <w:rPr>
                <w:sz w:val="23"/>
                <w:szCs w:val="23"/>
                <w:color w:val="auto"/>
              </w:rPr>
            </w:pPr>
          </w:p>
        </w:tc>
        <w:tc>
          <w:tcPr>
            <w:tcW w:w="240" w:type="dxa"/>
            <w:vAlign w:val="bottom"/>
            <w:tcBorders>
              <w:top w:val="single" w:sz="8" w:color="2C2C2C"/>
            </w:tcBorders>
          </w:tcPr>
          <w:p>
            <w:pPr>
              <w:spacing w:after="0"/>
              <w:rPr>
                <w:sz w:val="23"/>
                <w:szCs w:val="23"/>
                <w:color w:val="auto"/>
              </w:rPr>
            </w:pPr>
          </w:p>
        </w:tc>
        <w:tc>
          <w:tcPr>
            <w:tcW w:w="300" w:type="dxa"/>
            <w:vAlign w:val="bottom"/>
            <w:tcBorders>
              <w:top w:val="single" w:sz="8" w:color="2C2C2C"/>
            </w:tcBorders>
          </w:tcPr>
          <w:p>
            <w:pPr>
              <w:spacing w:after="0"/>
              <w:rPr>
                <w:sz w:val="23"/>
                <w:szCs w:val="23"/>
                <w:color w:val="auto"/>
              </w:rPr>
            </w:pPr>
          </w:p>
        </w:tc>
        <w:tc>
          <w:tcPr>
            <w:tcW w:w="80" w:type="dxa"/>
            <w:vAlign w:val="bottom"/>
            <w:tcBorders>
              <w:top w:val="single" w:sz="8" w:color="2C2C2C"/>
            </w:tcBorders>
          </w:tcPr>
          <w:p>
            <w:pPr>
              <w:spacing w:after="0"/>
              <w:rPr>
                <w:sz w:val="23"/>
                <w:szCs w:val="23"/>
                <w:color w:val="auto"/>
              </w:rPr>
            </w:pPr>
          </w:p>
        </w:tc>
        <w:tc>
          <w:tcPr>
            <w:tcW w:w="180" w:type="dxa"/>
            <w:vAlign w:val="bottom"/>
            <w:tcBorders>
              <w:top w:val="single" w:sz="8" w:color="2C2C2C"/>
            </w:tcBorders>
          </w:tcPr>
          <w:p>
            <w:pPr>
              <w:spacing w:after="0"/>
              <w:rPr>
                <w:sz w:val="23"/>
                <w:szCs w:val="23"/>
                <w:color w:val="auto"/>
              </w:rPr>
            </w:pPr>
          </w:p>
        </w:tc>
        <w:tc>
          <w:tcPr>
            <w:tcW w:w="1200" w:type="dxa"/>
            <w:vAlign w:val="bottom"/>
            <w:tcBorders>
              <w:top w:val="single" w:sz="8" w:color="2C2C2C"/>
            </w:tcBorders>
            <w:gridSpan w:val="2"/>
          </w:tcPr>
          <w:p>
            <w:pPr>
              <w:jc w:val="right"/>
              <w:ind w:right="280"/>
              <w:spacing w:after="0"/>
              <w:rPr>
                <w:sz w:val="20"/>
                <w:szCs w:val="20"/>
                <w:color w:val="auto"/>
              </w:rPr>
            </w:pPr>
            <w:r>
              <w:rPr>
                <w:rFonts w:ascii="Times New Roman" w:cs="Times New Roman" w:eastAsia="Times New Roman" w:hAnsi="Times New Roman"/>
                <w:sz w:val="17"/>
                <w:szCs w:val="17"/>
                <w:color w:val="0000FF"/>
              </w:rPr>
              <w:t>212,567</w:t>
            </w:r>
          </w:p>
        </w:tc>
        <w:tc>
          <w:tcPr>
            <w:tcW w:w="940" w:type="dxa"/>
            <w:vAlign w:val="bottom"/>
            <w:tcBorders>
              <w:top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top w:val="single" w:sz="8" w:color="2C2C2C"/>
            </w:tcBorders>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10"/>
          </w:tcPr>
          <w:p>
            <w:pPr>
              <w:spacing w:after="0"/>
              <w:rPr>
                <w:sz w:val="8"/>
                <w:szCs w:val="8"/>
                <w:color w:val="auto"/>
              </w:rPr>
            </w:pPr>
          </w:p>
        </w:tc>
        <w:tc>
          <w:tcPr>
            <w:tcW w:w="1460" w:type="dxa"/>
            <w:vAlign w:val="bottom"/>
            <w:tcBorders>
              <w:bottom w:val="single" w:sz="8" w:color="2C2C2C"/>
            </w:tcBorders>
            <w:gridSpan w:val="4"/>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transactions reported on this Form 4 were effected pursuant to a Rule 10b5-1 trading plan adopted by the reporting person on March 31, 2025.</w:t>
      </w:r>
    </w:p>
    <w:p>
      <w:pPr>
        <w:spacing w:after="0" w:line="50" w:lineRule="exact"/>
        <w:rPr>
          <w:rFonts w:ascii="Times New Roman" w:cs="Times New Roman" w:eastAsia="Times New Roman" w:hAnsi="Times New Roman"/>
          <w:sz w:val="13"/>
          <w:szCs w:val="13"/>
          <w:color w:val="008000"/>
        </w:rPr>
      </w:pPr>
    </w:p>
    <w:p>
      <w:pPr>
        <w:ind w:left="40" w:right="5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By Barrett Trust LLC, a manager-managed limited liability company. The investment and voting decisions of Barrett Trust LLC are made by its manager, the Reporting Person, and its controlling member is the Barrett Family Trust, for which the Reporting Person serves as trustee.</w:t>
      </w:r>
    </w:p>
    <w:p>
      <w:pPr>
        <w:sectPr>
          <w:pgSz w:w="11900" w:h="16838" w:orient="portrait"/>
          <w:cols w:equalWidth="0" w:num="1">
            <w:col w:w="11080"/>
          </w:cols>
          <w:pgMar w:left="460" w:top="219" w:right="359" w:bottom="1440" w:gutter="0" w:footer="0" w:header="0"/>
          <w:type w:val="continuous"/>
        </w:sectPr>
      </w:pP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Ryan Schaffer, as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3239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23975" cy="8255"/>
                    </a:xfrm>
                    <a:prstGeom prst="rect">
                      <a:avLst/>
                    </a:prstGeom>
                    <a:noFill/>
                  </pic:spPr>
                </pic:pic>
              </a:graphicData>
            </a:graphic>
          </wp:anchor>
        </w:drawing>
      </w:r>
    </w:p>
    <w:p>
      <w:pPr>
        <w:spacing w:after="0" w:line="11"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870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87020" cy="8255"/>
                    </a:xfrm>
                    <a:prstGeom prst="rect">
                      <a:avLst/>
                    </a:prstGeom>
                    <a:noFill/>
                  </pic:spPr>
                </pic:pic>
              </a:graphicData>
            </a:graphic>
          </wp:anchor>
        </w:drawing>
      </w:r>
    </w:p>
    <w:p>
      <w:pPr>
        <w:spacing w:after="0" w:line="40" w:lineRule="exact"/>
        <w:rPr>
          <w:sz w:val="24"/>
          <w:szCs w:val="24"/>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49720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159"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4"/>
          <w:szCs w:val="24"/>
          <w:color w:val="auto"/>
        </w:rPr>
      </w:pPr>
    </w:p>
    <w:p>
      <w:pPr>
        <w:sectPr>
          <w:pgSz w:w="11900" w:h="16838" w:orient="portrait"/>
          <w:cols w:equalWidth="0" w:num="2">
            <w:col w:w="8680" w:space="100"/>
            <w:col w:w="2300"/>
          </w:cols>
          <w:pgMar w:left="460" w:top="219"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892682" TargetMode="External"/><Relationship Id="rId14" Type="http://schemas.openxmlformats.org/officeDocument/2006/relationships/hyperlink" Target="http://www.sec.gov/cgi-bin/browse-edgar?action=getcompany&amp;CIK=000147684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2026-06-11T17:16:09Z</dcterms:created>
  <dcterms:modified xsi:type="dcterms:W3CDTF">2026-06-11T17:16:09Z</dcterms:modified>
</cp:coreProperties>
</file>