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Martirano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00" w:type="dxa"/>
            <w:vAlign w:val="bottom"/>
            <w:tcBorders>
              <w:top w:val="single" w:sz="8" w:color="0000EE"/>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Expensify,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[EXFY]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1980" w:type="dxa"/>
            <w:vAlign w:val="bottom"/>
            <w:gridSpan w:val="2"/>
          </w:tcPr>
          <w:p>
            <w:pPr>
              <w:ind w:left="40"/>
              <w:spacing w:after="0"/>
              <w:rPr>
                <w:sz w:val="20"/>
                <w:szCs w:val="20"/>
                <w:color w:val="auto"/>
              </w:rPr>
            </w:pPr>
            <w:r>
              <w:rPr>
                <w:rFonts w:ascii="Arial" w:cs="Arial" w:eastAsia="Arial" w:hAnsi="Arial"/>
                <w:sz w:val="20"/>
                <w:szCs w:val="20"/>
                <w:color w:val="0000FF"/>
              </w:rPr>
              <w:t>15 HUMBOLDT AVE.</w:t>
            </w:r>
          </w:p>
        </w:tc>
        <w:tc>
          <w:tcPr>
            <w:tcW w:w="11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9"/>
        </w:trPr>
        <w:tc>
          <w:tcPr>
            <w:tcW w:w="1980" w:type="dxa"/>
            <w:vAlign w:val="bottom"/>
            <w:gridSpan w:val="2"/>
          </w:tcPr>
          <w:p>
            <w:pPr>
              <w:ind w:left="40"/>
              <w:spacing w:after="0"/>
              <w:rPr>
                <w:sz w:val="20"/>
                <w:szCs w:val="20"/>
                <w:color w:val="auto"/>
              </w:rPr>
            </w:pPr>
            <w:r>
              <w:rPr>
                <w:rFonts w:ascii="Arial" w:cs="Arial" w:eastAsia="Arial" w:hAnsi="Arial"/>
                <w:sz w:val="20"/>
                <w:szCs w:val="20"/>
                <w:color w:val="0000FF"/>
              </w:rPr>
              <w:t>PROVIDENCE RI</w:t>
            </w:r>
          </w:p>
        </w:tc>
        <w:tc>
          <w:tcPr>
            <w:tcW w:w="1120" w:type="dxa"/>
            <w:vAlign w:val="bottom"/>
          </w:tcPr>
          <w:p>
            <w:pPr>
              <w:jc w:val="right"/>
              <w:ind w:right="337"/>
              <w:spacing w:after="0"/>
              <w:rPr>
                <w:sz w:val="20"/>
                <w:szCs w:val="20"/>
                <w:color w:val="auto"/>
              </w:rPr>
            </w:pPr>
            <w:r>
              <w:rPr>
                <w:rFonts w:ascii="Arial" w:cs="Arial" w:eastAsia="Arial" w:hAnsi="Arial"/>
                <w:sz w:val="20"/>
                <w:szCs w:val="20"/>
                <w:color w:val="0000FF"/>
              </w:rPr>
              <w:t>02906</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4"/>
              <w:spacing w:after="0"/>
              <w:rPr>
                <w:sz w:val="20"/>
                <w:szCs w:val="20"/>
                <w:color w:val="auto"/>
              </w:rPr>
            </w:pPr>
            <w:r>
              <w:rPr>
                <w:rFonts w:ascii="Arial" w:cs="Arial" w:eastAsia="Arial" w:hAnsi="Arial"/>
                <w:sz w:val="20"/>
                <w:szCs w:val="20"/>
                <w:color w:val="0000FF"/>
                <w:w w:val="87"/>
              </w:rPr>
              <w:t>5,400</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4"/>
              <w:spacing w:after="0"/>
              <w:rPr>
                <w:sz w:val="20"/>
                <w:szCs w:val="20"/>
                <w:color w:val="auto"/>
              </w:rPr>
            </w:pPr>
            <w:r>
              <w:rPr>
                <w:rFonts w:ascii="Arial" w:cs="Arial" w:eastAsia="Arial" w:hAnsi="Arial"/>
                <w:sz w:val="20"/>
                <w:szCs w:val="20"/>
                <w:color w:val="0000FF"/>
                <w:w w:val="87"/>
              </w:rPr>
              <w:t>1,190</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4"/>
              <w:spacing w:after="0"/>
              <w:rPr>
                <w:sz w:val="20"/>
                <w:szCs w:val="20"/>
                <w:color w:val="auto"/>
              </w:rPr>
            </w:pPr>
            <w:r>
              <w:rPr>
                <w:rFonts w:ascii="Arial" w:cs="Arial" w:eastAsia="Arial" w:hAnsi="Arial"/>
                <w:sz w:val="20"/>
                <w:szCs w:val="20"/>
                <w:color w:val="0000FF"/>
                <w:w w:val="84"/>
              </w:rPr>
              <w:t>15,290</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8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7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72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720" w:type="dxa"/>
            <w:vAlign w:val="bottom"/>
          </w:tcPr>
          <w:p>
            <w:pPr>
              <w:ind w:left="7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2"/>
              <w:spacing w:after="0"/>
              <w:rPr>
                <w:sz w:val="20"/>
                <w:szCs w:val="20"/>
                <w:color w:val="auto"/>
              </w:rPr>
            </w:pPr>
            <w:r>
              <w:rPr>
                <w:rFonts w:ascii="Arial" w:cs="Arial" w:eastAsia="Arial" w:hAnsi="Arial"/>
                <w:sz w:val="20"/>
                <w:szCs w:val="20"/>
                <w:color w:val="0000FF"/>
                <w:w w:val="84"/>
              </w:rPr>
              <w:t>203,950</w:t>
            </w:r>
            <w:r>
              <w:rPr>
                <w:rFonts w:ascii="Arial" w:cs="Arial" w:eastAsia="Arial" w:hAnsi="Arial"/>
                <w:sz w:val="25"/>
                <w:szCs w:val="25"/>
                <w:color w:val="008000"/>
                <w:w w:val="84"/>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
              <w:spacing w:after="0"/>
              <w:rPr>
                <w:sz w:val="20"/>
                <w:szCs w:val="20"/>
                <w:color w:val="auto"/>
              </w:rPr>
            </w:pPr>
            <w:r>
              <w:rPr>
                <w:rFonts w:ascii="Arial" w:cs="Arial" w:eastAsia="Arial" w:hAnsi="Arial"/>
                <w:sz w:val="20"/>
                <w:szCs w:val="20"/>
                <w:color w:val="0000FF"/>
                <w:w w:val="84"/>
              </w:rPr>
              <w:t>2,781,080</w:t>
            </w:r>
            <w:r>
              <w:rPr>
                <w:rFonts w:ascii="Arial" w:cs="Arial" w:eastAsia="Arial" w:hAnsi="Arial"/>
                <w:sz w:val="25"/>
                <w:szCs w:val="25"/>
                <w:color w:val="008000"/>
                <w:w w:val="84"/>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
              <w:spacing w:after="0"/>
              <w:rPr>
                <w:sz w:val="20"/>
                <w:szCs w:val="20"/>
                <w:color w:val="auto"/>
              </w:rPr>
            </w:pPr>
            <w:r>
              <w:rPr>
                <w:rFonts w:ascii="Arial" w:cs="Arial" w:eastAsia="Arial" w:hAnsi="Arial"/>
                <w:sz w:val="20"/>
                <w:szCs w:val="20"/>
                <w:color w:val="0000FF"/>
                <w:w w:val="84"/>
              </w:rPr>
              <w:t>1,019,740</w:t>
            </w:r>
            <w:r>
              <w:rPr>
                <w:rFonts w:ascii="Arial" w:cs="Arial" w:eastAsia="Arial" w:hAnsi="Arial"/>
                <w:sz w:val="25"/>
                <w:szCs w:val="25"/>
                <w:color w:val="008000"/>
                <w:w w:val="84"/>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w w:val="98"/>
              </w:rPr>
              <w:t>Series B-1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2"/>
              <w:spacing w:after="0"/>
              <w:rPr>
                <w:sz w:val="20"/>
                <w:szCs w:val="20"/>
                <w:color w:val="auto"/>
              </w:rPr>
            </w:pPr>
            <w:r>
              <w:rPr>
                <w:rFonts w:ascii="Arial" w:cs="Arial" w:eastAsia="Arial" w:hAnsi="Arial"/>
                <w:sz w:val="20"/>
                <w:szCs w:val="20"/>
                <w:color w:val="0000FF"/>
                <w:w w:val="84"/>
              </w:rPr>
              <w:t>144,240</w:t>
            </w:r>
            <w:r>
              <w:rPr>
                <w:rFonts w:ascii="Arial" w:cs="Arial" w:eastAsia="Arial" w:hAnsi="Arial"/>
                <w:sz w:val="25"/>
                <w:szCs w:val="25"/>
                <w:color w:val="008000"/>
                <w:w w:val="84"/>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(7)</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w w:val="98"/>
              </w:rPr>
              <w:t>Series B-1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2"/>
              <w:spacing w:after="0"/>
              <w:rPr>
                <w:sz w:val="20"/>
                <w:szCs w:val="20"/>
                <w:color w:val="auto"/>
              </w:rPr>
            </w:pPr>
            <w:r>
              <w:rPr>
                <w:rFonts w:ascii="Arial" w:cs="Arial" w:eastAsia="Arial" w:hAnsi="Arial"/>
                <w:sz w:val="20"/>
                <w:szCs w:val="20"/>
                <w:color w:val="0000FF"/>
                <w:w w:val="82"/>
              </w:rPr>
              <w:t>5,930</w:t>
            </w:r>
            <w:r>
              <w:rPr>
                <w:rFonts w:ascii="Arial" w:cs="Arial" w:eastAsia="Arial" w:hAnsi="Arial"/>
                <w:sz w:val="25"/>
                <w:szCs w:val="25"/>
                <w:color w:val="008000"/>
                <w:w w:val="82"/>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w w:val="98"/>
              </w:rPr>
              <w:t>Series B-1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
              <w:spacing w:after="0"/>
              <w:rPr>
                <w:sz w:val="20"/>
                <w:szCs w:val="20"/>
                <w:color w:val="auto"/>
              </w:rPr>
            </w:pPr>
            <w:r>
              <w:rPr>
                <w:rFonts w:ascii="Arial" w:cs="Arial" w:eastAsia="Arial" w:hAnsi="Arial"/>
                <w:sz w:val="20"/>
                <w:szCs w:val="20"/>
                <w:color w:val="0000FF"/>
                <w:w w:val="83"/>
              </w:rPr>
              <w:t>80,750</w:t>
            </w:r>
            <w:r>
              <w:rPr>
                <w:rFonts w:ascii="Arial" w:cs="Arial" w:eastAsia="Arial" w:hAnsi="Arial"/>
                <w:sz w:val="25"/>
                <w:szCs w:val="25"/>
                <w:color w:val="008000"/>
                <w:w w:val="83"/>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w w:val="98"/>
              </w:rPr>
              <w:t>Series B-1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2"/>
              <w:spacing w:after="0"/>
              <w:rPr>
                <w:sz w:val="20"/>
                <w:szCs w:val="20"/>
                <w:color w:val="auto"/>
              </w:rPr>
            </w:pPr>
            <w:r>
              <w:rPr>
                <w:rFonts w:ascii="Arial" w:cs="Arial" w:eastAsia="Arial" w:hAnsi="Arial"/>
                <w:sz w:val="20"/>
                <w:szCs w:val="20"/>
                <w:color w:val="0000FF"/>
                <w:w w:val="84"/>
              </w:rPr>
              <w:t>310,390</w:t>
            </w:r>
            <w:r>
              <w:rPr>
                <w:rFonts w:ascii="Arial" w:cs="Arial" w:eastAsia="Arial" w:hAnsi="Arial"/>
                <w:sz w:val="25"/>
                <w:szCs w:val="25"/>
                <w:color w:val="008000"/>
                <w:w w:val="84"/>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w w:val="98"/>
              </w:rPr>
              <w:t>Series B-1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3,990,620</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w w:val="98"/>
              </w:rPr>
              <w:t>Series B-1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
              <w:spacing w:after="0"/>
              <w:rPr>
                <w:sz w:val="20"/>
                <w:szCs w:val="20"/>
                <w:color w:val="auto"/>
              </w:rPr>
            </w:pPr>
            <w:r>
              <w:rPr>
                <w:rFonts w:ascii="Arial" w:cs="Arial" w:eastAsia="Arial" w:hAnsi="Arial"/>
                <w:sz w:val="20"/>
                <w:szCs w:val="20"/>
                <w:color w:val="0000FF"/>
                <w:w w:val="83"/>
              </w:rPr>
              <w:t>29,620</w:t>
            </w:r>
            <w:r>
              <w:rPr>
                <w:rFonts w:ascii="Arial" w:cs="Arial" w:eastAsia="Arial" w:hAnsi="Arial"/>
                <w:sz w:val="25"/>
                <w:szCs w:val="25"/>
                <w:color w:val="008000"/>
                <w:w w:val="83"/>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88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
              <w:spacing w:after="0"/>
              <w:rPr>
                <w:sz w:val="20"/>
                <w:szCs w:val="20"/>
                <w:color w:val="auto"/>
              </w:rPr>
            </w:pPr>
            <w:r>
              <w:rPr>
                <w:rFonts w:ascii="Arial" w:cs="Arial" w:eastAsia="Arial" w:hAnsi="Arial"/>
                <w:sz w:val="20"/>
                <w:szCs w:val="20"/>
                <w:color w:val="0000FF"/>
                <w:w w:val="83"/>
              </w:rPr>
              <w:t>14,910</w:t>
            </w:r>
            <w:r>
              <w:rPr>
                <w:rFonts w:ascii="Arial" w:cs="Arial" w:eastAsia="Arial" w:hAnsi="Arial"/>
                <w:sz w:val="25"/>
                <w:szCs w:val="25"/>
                <w:color w:val="008000"/>
                <w:w w:val="83"/>
                <w:vertAlign w:val="superscript"/>
              </w:rPr>
              <w:t>(4)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9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78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2823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282384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8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7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72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720" w:type="dxa"/>
            <w:vAlign w:val="bottom"/>
          </w:tcPr>
          <w:p>
            <w:pPr>
              <w:ind w:left="7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8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6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82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220" w:type="dxa"/>
            <w:vAlign w:val="bottom"/>
            <w:vMerge w:val="restart"/>
          </w:tcPr>
          <w:p>
            <w:pPr>
              <w:jc w:val="center"/>
              <w:ind w:right="22"/>
              <w:spacing w:after="0"/>
              <w:rPr>
                <w:sz w:val="20"/>
                <w:szCs w:val="20"/>
                <w:color w:val="auto"/>
              </w:rPr>
            </w:pPr>
            <w:r>
              <w:rPr>
                <w:rFonts w:ascii="Arial" w:cs="Arial" w:eastAsia="Arial" w:hAnsi="Arial"/>
                <w:sz w:val="20"/>
                <w:szCs w:val="20"/>
                <w:color w:val="0000FF"/>
                <w:w w:val="84"/>
              </w:rPr>
              <w:t>203,400</w:t>
            </w:r>
            <w:r>
              <w:rPr>
                <w:rFonts w:ascii="Arial" w:cs="Arial" w:eastAsia="Arial" w:hAnsi="Arial"/>
                <w:sz w:val="25"/>
                <w:szCs w:val="25"/>
                <w:color w:val="008000"/>
                <w:w w:val="84"/>
                <w:vertAlign w:val="superscript"/>
              </w:rPr>
              <w:t>(4)</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2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8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6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82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220" w:type="dxa"/>
            <w:vAlign w:val="bottom"/>
            <w:vMerge w:val="restart"/>
          </w:tcPr>
          <w:p>
            <w:pPr>
              <w:jc w:val="center"/>
              <w:ind w:right="2"/>
              <w:spacing w:after="0"/>
              <w:rPr>
                <w:sz w:val="20"/>
                <w:szCs w:val="20"/>
                <w:color w:val="auto"/>
              </w:rPr>
            </w:pPr>
            <w:r>
              <w:rPr>
                <w:rFonts w:ascii="Arial" w:cs="Arial" w:eastAsia="Arial" w:hAnsi="Arial"/>
                <w:sz w:val="20"/>
                <w:szCs w:val="20"/>
                <w:color w:val="0000FF"/>
                <w:w w:val="83"/>
              </w:rPr>
              <w:t>22,060</w:t>
            </w:r>
            <w:r>
              <w:rPr>
                <w:rFonts w:ascii="Arial" w:cs="Arial" w:eastAsia="Arial" w:hAnsi="Arial"/>
                <w:sz w:val="25"/>
                <w:szCs w:val="25"/>
                <w:color w:val="008000"/>
                <w:w w:val="83"/>
                <w:vertAlign w:val="superscript"/>
              </w:rPr>
              <w:t>(4)</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2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8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6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82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220" w:type="dxa"/>
            <w:vAlign w:val="bottom"/>
            <w:vMerge w:val="restart"/>
          </w:tcPr>
          <w:p>
            <w:pPr>
              <w:jc w:val="center"/>
              <w:ind w:right="22"/>
              <w:spacing w:after="0"/>
              <w:rPr>
                <w:sz w:val="20"/>
                <w:szCs w:val="20"/>
                <w:color w:val="auto"/>
              </w:rPr>
            </w:pPr>
            <w:r>
              <w:rPr>
                <w:rFonts w:ascii="Arial" w:cs="Arial" w:eastAsia="Arial" w:hAnsi="Arial"/>
                <w:sz w:val="20"/>
                <w:szCs w:val="20"/>
                <w:color w:val="0000FF"/>
                <w:w w:val="84"/>
              </w:rPr>
              <w:t>283,600</w:t>
            </w:r>
            <w:r>
              <w:rPr>
                <w:rFonts w:ascii="Arial" w:cs="Arial" w:eastAsia="Arial" w:hAnsi="Arial"/>
                <w:sz w:val="25"/>
                <w:szCs w:val="25"/>
                <w:color w:val="008000"/>
                <w:w w:val="84"/>
                <w:vertAlign w:val="superscript"/>
              </w:rPr>
              <w:t>(4)</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2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8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60" w:type="dxa"/>
            <w:vAlign w:val="bottom"/>
            <w:vMerge w:val="restart"/>
          </w:tcPr>
          <w:p>
            <w:pPr>
              <w:jc w:val="right"/>
              <w:ind w:right="337"/>
              <w:spacing w:after="0"/>
              <w:rPr>
                <w:sz w:val="20"/>
                <w:szCs w:val="20"/>
                <w:color w:val="auto"/>
              </w:rPr>
            </w:pPr>
            <w:r>
              <w:rPr>
                <w:rFonts w:ascii="Arial" w:cs="Arial" w:eastAsia="Arial" w:hAnsi="Arial"/>
                <w:sz w:val="13"/>
                <w:szCs w:val="13"/>
                <w:color w:val="008000"/>
              </w:rPr>
              <w:t>(4)</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8000"/>
              </w:rPr>
              <w:t>(4)</w:t>
            </w:r>
          </w:p>
        </w:tc>
        <w:tc>
          <w:tcPr>
            <w:tcW w:w="182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220" w:type="dxa"/>
            <w:vAlign w:val="bottom"/>
            <w:vMerge w:val="restart"/>
          </w:tcPr>
          <w:p>
            <w:pPr>
              <w:jc w:val="center"/>
              <w:ind w:right="2"/>
              <w:spacing w:after="0"/>
              <w:rPr>
                <w:sz w:val="20"/>
                <w:szCs w:val="20"/>
                <w:color w:val="auto"/>
              </w:rPr>
            </w:pPr>
            <w:r>
              <w:rPr>
                <w:rFonts w:ascii="Arial" w:cs="Arial" w:eastAsia="Arial" w:hAnsi="Arial"/>
                <w:sz w:val="20"/>
                <w:szCs w:val="20"/>
                <w:color w:val="0000FF"/>
                <w:w w:val="83"/>
              </w:rPr>
              <w:t>74,560</w:t>
            </w:r>
            <w:r>
              <w:rPr>
                <w:rFonts w:ascii="Arial" w:cs="Arial" w:eastAsia="Arial" w:hAnsi="Arial"/>
                <w:sz w:val="25"/>
                <w:szCs w:val="25"/>
                <w:color w:val="008000"/>
                <w:w w:val="83"/>
                <w:vertAlign w:val="superscript"/>
              </w:rPr>
              <w:t>(4)</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(4)</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80" w:type="dxa"/>
            <w:vAlign w:val="bottom"/>
            <w:vMerge w:val="restart"/>
          </w:tcPr>
          <w:p>
            <w:pPr>
              <w:ind w:left="240"/>
              <w:spacing w:after="0"/>
              <w:rPr>
                <w:sz w:val="20"/>
                <w:szCs w:val="20"/>
                <w:color w:val="auto"/>
              </w:rPr>
            </w:pPr>
            <w:r>
              <w:rPr>
                <w:rFonts w:ascii="Arial" w:cs="Arial" w:eastAsia="Arial" w:hAnsi="Arial"/>
                <w:sz w:val="20"/>
                <w:szCs w:val="20"/>
                <w:color w:val="0000FF"/>
              </w:rPr>
              <w:t>See note</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1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2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By PJC-DV II LLC ("DV II"). David Martirano is the Manager of DV II and in such capacity may be deemed to beneficially own such securities.</w:t>
      </w:r>
    </w:p>
    <w:p>
      <w:pPr>
        <w:spacing w:after="0" w:line="52" w:lineRule="exact"/>
        <w:rPr>
          <w:rFonts w:ascii="Arial" w:cs="Arial" w:eastAsia="Arial" w:hAnsi="Arial"/>
          <w:sz w:val="15"/>
          <w:szCs w:val="15"/>
          <w:color w:val="008000"/>
        </w:rPr>
      </w:pPr>
    </w:p>
    <w:p>
      <w:pPr>
        <w:ind w:left="20" w:right="44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By Point Judith Venture Fund III, L.P. ("Fund III"). Point Judith Capital Partners III LLC ("Partners III") is the general partner of Fund III. Mr. Martirano is the manager of Partners III, and in such capacity may be deemed to beneficially own such securities.</w:t>
      </w:r>
    </w:p>
    <w:p>
      <w:pPr>
        <w:spacing w:after="0" w:line="26" w:lineRule="exact"/>
        <w:rPr>
          <w:rFonts w:ascii="Arial" w:cs="Arial" w:eastAsia="Arial" w:hAnsi="Arial"/>
          <w:sz w:val="15"/>
          <w:szCs w:val="15"/>
          <w:color w:val="008000"/>
        </w:rPr>
      </w:pPr>
    </w:p>
    <w:p>
      <w:pPr>
        <w:ind w:left="20" w:right="5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By Point Judith Venture Fund III (QP), L.P. ("Fund III (QP)"). Partners III is the general partner of Fund III (QP). Mr. Martirano is the manager of Partners III and in such capacity may be deemed to beneficially own such securities.</w:t>
      </w:r>
    </w:p>
    <w:p>
      <w:pPr>
        <w:spacing w:after="0" w:line="26" w:lineRule="exact"/>
        <w:rPr>
          <w:rFonts w:ascii="Arial" w:cs="Arial" w:eastAsia="Arial" w:hAnsi="Arial"/>
          <w:sz w:val="15"/>
          <w:szCs w:val="15"/>
          <w:color w:val="008000"/>
        </w:rPr>
      </w:pPr>
    </w:p>
    <w:p>
      <w:pPr>
        <w:jc w:val="both"/>
        <w:ind w:left="20" w:right="10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Convertible Preferred Stock was initially convertible on a one-for-one basis into the Issuer's Class A Common Stock at any time at the holder's election and has no expiration date. The number of underlying shares of common stock reported in Column 3 gives effect to a 10-for-1 forward stock split effective as of October 27, 2021, pursuant to which each share of Convertible Preferred Stock became convertible into 10 shares of Class A Common Stock. The Convertible Preferred Stock will convert automatically upon closing of the Issuer's initial public offering.</w:t>
      </w:r>
    </w:p>
    <w:p>
      <w:pPr>
        <w:spacing w:after="0" w:line="36" w:lineRule="exact"/>
        <w:rPr>
          <w:rFonts w:ascii="Arial" w:cs="Arial" w:eastAsia="Arial" w:hAnsi="Arial"/>
          <w:sz w:val="15"/>
          <w:szCs w:val="15"/>
          <w:color w:val="008000"/>
        </w:rPr>
      </w:pPr>
    </w:p>
    <w:p>
      <w:pPr>
        <w:ind w:left="20" w:right="56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By PJC-DV LLC ("DV"). DMM SPV Management LLC ("DMM") is the manager of DV. Mr. Martirano is the manager of DMM and in such capacity may be deemed to beneficially own such securities.</w:t>
      </w:r>
    </w:p>
    <w:p>
      <w:pPr>
        <w:spacing w:after="0" w:line="26" w:lineRule="exact"/>
        <w:rPr>
          <w:rFonts w:ascii="Arial" w:cs="Arial" w:eastAsia="Arial" w:hAnsi="Arial"/>
          <w:sz w:val="15"/>
          <w:szCs w:val="15"/>
          <w:color w:val="008000"/>
        </w:rPr>
      </w:pPr>
    </w:p>
    <w:p>
      <w:pPr>
        <w:ind w:left="20" w:right="44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By Point Judith Venture Fund IV, L.P. ("Fund IV"). Point Judith Capital Partners IV LLC ("Partners IV") is the general partner of Fund IV. Mr. Martirano is the manager of Partners IV, and in such capacity may be deemed to beneficially own such securities.</w:t>
      </w:r>
    </w:p>
    <w:p>
      <w:pPr>
        <w:spacing w:after="0" w:line="26"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By MKC Holdings Group LLC ("MKC"). Mr. Martirano is the manager of MKC and in such capacity may be deemed to beneficially own such securities.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0"/>
              </w:rPr>
              <w:t>/s/ David Martirano</w:t>
            </w:r>
          </w:p>
        </w:tc>
        <w:tc>
          <w:tcPr>
            <w:tcW w:w="6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11/09/2021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22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6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9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92188" TargetMode="External"/><Relationship Id="rId11"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2021-11-09T17:47:08Z</dcterms:created>
  <dcterms:modified xsi:type="dcterms:W3CDTF">2021-11-09T17:47:08Z</dcterms:modified>
</cp:coreProperties>
</file>