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4,699</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65,098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4,699</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20.11</w:t>
            </w:r>
            <w:r>
              <w:rPr>
                <w:rFonts w:ascii="Times New Roman" w:cs="Times New Roman" w:eastAsia="Times New Roman" w:hAnsi="Times New Roman"/>
                <w:sz w:val="21"/>
                <w:szCs w:val="21"/>
                <w:color w:val="008000"/>
                <w:w w:val="99"/>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60,399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4,699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0.97</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07/08/2022</w:t>
            </w:r>
          </w:p>
        </w:tc>
        <w:tc>
          <w:tcPr>
            <w:tcW w:w="1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4,699</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04/11/2029</w:t>
            </w: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w w:val="99"/>
              </w:rPr>
              <w:t>365,181</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8, 2022.</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$20.00 to $20.25,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remaining portion of the stock option that originally vested in 72 equal monthly installments beginning on May 12, 2019.</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07/12/2022</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2022-07-12T16:37:55Z</dcterms:created>
  <dcterms:modified xsi:type="dcterms:W3CDTF">2022-07-12T16:37:55Z</dcterms:modified>
</cp:coreProperties>
</file>