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857885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UNITED STATES</w:t>
      </w:r>
    </w:p>
    <w:p>
      <w:pPr>
        <w:spacing w:after="0" w:line="54"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SECURITIES AND EXCHANGE COMMISSION</w:t>
      </w:r>
    </w:p>
    <w:p>
      <w:pPr>
        <w:spacing w:after="0" w:line="19" w:lineRule="exact"/>
        <w:rPr>
          <w:sz w:val="24"/>
          <w:szCs w:val="24"/>
          <w:color w:val="auto"/>
        </w:rPr>
      </w:pPr>
    </w:p>
    <w:p>
      <w:pPr>
        <w:ind w:left="420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245110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SCHEDULE 14A</w:t>
      </w:r>
    </w:p>
    <w:p>
      <w:pPr>
        <w:spacing w:after="0" w:line="82" w:lineRule="exact"/>
        <w:rPr>
          <w:sz w:val="24"/>
          <w:szCs w:val="24"/>
          <w:color w:val="auto"/>
        </w:rPr>
      </w:pPr>
    </w:p>
    <w:p>
      <w:pPr>
        <w:jc w:val="center"/>
        <w:ind w:left="2120" w:right="900"/>
        <w:spacing w:after="0" w:line="269" w:lineRule="auto"/>
        <w:rPr>
          <w:sz w:val="20"/>
          <w:szCs w:val="20"/>
          <w:color w:val="auto"/>
        </w:rPr>
      </w:pPr>
      <w:r>
        <w:rPr>
          <w:rFonts w:ascii="Arial" w:cs="Arial" w:eastAsia="Arial" w:hAnsi="Arial"/>
          <w:sz w:val="25"/>
          <w:szCs w:val="25"/>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201295</wp:posOffset>
            </wp:positionV>
            <wp:extent cx="2023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ind w:left="3600"/>
        <w:spacing w:after="0"/>
        <w:rPr>
          <w:sz w:val="20"/>
          <w:szCs w:val="20"/>
          <w:color w:val="auto"/>
        </w:rPr>
      </w:pPr>
      <w:r>
        <w:rPr>
          <w:rFonts w:ascii="Arial" w:cs="Arial" w:eastAsia="Arial" w:hAnsi="Arial"/>
          <w:sz w:val="50"/>
          <w:szCs w:val="50"/>
          <w:b w:val="1"/>
          <w:bCs w:val="1"/>
          <w:color w:val="auto"/>
        </w:rPr>
        <w:t>EXPENSIFY, INC.</w:t>
      </w:r>
    </w:p>
    <w:p>
      <w:pPr>
        <w:spacing w:after="0" w:line="184"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(Name of the Registrant as Specified In Its Charter)</w:t>
      </w:r>
    </w:p>
    <w:p>
      <w:pPr>
        <w:spacing w:after="0" w:line="200" w:lineRule="exact"/>
        <w:rPr>
          <w:sz w:val="24"/>
          <w:szCs w:val="24"/>
          <w:color w:val="auto"/>
        </w:rPr>
      </w:pPr>
    </w:p>
    <w:p>
      <w:pPr>
        <w:spacing w:after="0" w:line="201"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2599690</wp:posOffset>
            </wp:positionH>
            <wp:positionV relativeFrom="page">
              <wp:posOffset>106045</wp:posOffset>
            </wp:positionV>
            <wp:extent cx="181737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2862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April 28,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cordially invite you to attend our 2023 Annual Meeting of Stockholders, to be held on Wednesday, June 21, 2023 at 9:00 a.m. (Pacific Time). The annual meeting will be a completely “virtual” meeting, conducted via live audio webcast, and you will not be able to attend the meeting in person. We believe the environmentally friendly virtual meeting format will provide expanded access, improved communication and cost savings for us and our stockholders. You will be able to attend the annual meeting, as well as vote and submit your questions during the live webcast of the meeting, by visiting www.virtualshareholdermeeting.com/EXFY2023 and entering the company number and control number included on your proxy card or in the instructions that accompany your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Whether or not you plan to attend the virtual annual meeting, your vote is very important and we encourage you to vote promptly. You may vote in advance by either marking, signing and returning the enclosed proxy card or using telephone or internet voting. For specific instructions on voting, please refer to the instructions on your enclosed proxy card if you received paper copies of the proxy materials, or on the Notice of Internet Availability of Proxy Materials. If you are a record holder and attend the virtual annual meeting, you will have the right to revoke your proxy and vote your shares virtually at the meeting. If you hold your shares through an account with a brokerage firm, bank, broker-dealer or other nominee, please follow the instructions you receive from them.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1259840"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98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David Barrett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Founder, CEO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Expensify,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401 SW 5th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OR 92704</w:t>
      </w:r>
    </w:p>
    <w:p>
      <w:pPr>
        <w:spacing w:after="0" w:line="126" w:lineRule="exact"/>
        <w:rPr>
          <w:sz w:val="20"/>
          <w:szCs w:val="20"/>
          <w:color w:val="auto"/>
        </w:rPr>
      </w:pPr>
    </w:p>
    <w:p>
      <w:pPr>
        <w:spacing w:after="0"/>
        <w:rPr>
          <w:sz w:val="20"/>
          <w:szCs w:val="20"/>
          <w:color w:val="auto"/>
        </w:rPr>
      </w:pPr>
      <w:r>
        <w:rPr>
          <w:rFonts w:ascii="Arial" w:cs="Arial" w:eastAsia="Arial" w:hAnsi="Arial"/>
          <w:sz w:val="28"/>
          <w:szCs w:val="28"/>
          <w:color w:val="auto"/>
        </w:rPr>
        <w:t>NOTICE OF ANNUAL MEETING OF STOCKHOLDERS</w:t>
      </w:r>
    </w:p>
    <w:p>
      <w:pPr>
        <w:sectPr>
          <w:pgSz w:w="11900" w:h="16838" w:orient="portrait"/>
          <w:cols w:equalWidth="0" w:num="1">
            <w:col w:w="11220"/>
          </w:cols>
          <w:pgMar w:left="320" w:top="121" w:right="359" w:bottom="1440" w:gutter="0" w:footer="0" w:header="0"/>
        </w:sect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Who Can Vote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Wednesday, June 21, 2023 at 9:00 a.m. PDT</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Virtually at www.virtualshareholdermeeting.com/EXFY2023</w:t>
      </w:r>
    </w:p>
    <w:p>
      <w:pPr>
        <w:spacing w:after="0" w:line="121" w:lineRule="exact"/>
        <w:rPr>
          <w:sz w:val="20"/>
          <w:szCs w:val="20"/>
          <w:color w:val="auto"/>
        </w:rPr>
      </w:pPr>
    </w:p>
    <w:p>
      <w:pPr>
        <w:ind w:left="326" w:right="260" w:hanging="326"/>
        <w:spacing w:after="0" w:line="224"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the eight director nominees named in this Proxy Statement to serve on our Board of Directors until the 2024 Annual Meeting of Stockholders and until their respective successors shall have been duly elected and qualified. The Executive Committee of the Board of Directors (the “Executive Committee”) on behalf of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each nominee.</w:t>
      </w:r>
    </w:p>
    <w:p>
      <w:pPr>
        <w:spacing w:after="0" w:line="208" w:lineRule="exact"/>
        <w:rPr>
          <w:rFonts w:ascii="Arial" w:cs="Arial" w:eastAsia="Arial" w:hAnsi="Arial"/>
          <w:sz w:val="18"/>
          <w:szCs w:val="18"/>
          <w:color w:val="auto"/>
        </w:rPr>
      </w:pPr>
    </w:p>
    <w:p>
      <w:pPr>
        <w:ind w:left="326" w:right="100" w:hanging="326"/>
        <w:spacing w:after="0" w:line="236" w:lineRule="auto"/>
        <w:tabs>
          <w:tab w:leader="none" w:pos="341"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ended December 31, 2023. The Executive Committee on behalf of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85" w:lineRule="exact"/>
        <w:rPr>
          <w:rFonts w:ascii="Arial" w:cs="Arial" w:eastAsia="Arial" w:hAnsi="Arial"/>
          <w:sz w:val="18"/>
          <w:szCs w:val="18"/>
          <w:color w:val="auto"/>
        </w:rPr>
      </w:pPr>
    </w:p>
    <w:p>
      <w:pPr>
        <w:ind w:left="326" w:right="40" w:hanging="326"/>
        <w:spacing w:after="0" w:line="225"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the frequency of future advisory votes on the compensation of our named executive officers. The Executive Committee on behalf of the Board of Directors recommends a vote for “</w:t>
      </w:r>
      <w:r>
        <w:rPr>
          <w:rFonts w:ascii="Arial" w:cs="Arial" w:eastAsia="Arial" w:hAnsi="Arial"/>
          <w:sz w:val="18"/>
          <w:szCs w:val="18"/>
          <w:b w:val="1"/>
          <w:bCs w:val="1"/>
          <w:color w:val="auto"/>
        </w:rPr>
        <w:t>ONE</w:t>
      </w:r>
      <w:r>
        <w:rPr>
          <w:rFonts w:ascii="Arial" w:cs="Arial" w:eastAsia="Arial" w:hAnsi="Arial"/>
          <w:sz w:val="18"/>
          <w:szCs w:val="18"/>
          <w:color w:val="auto"/>
        </w:rPr>
        <w:t xml:space="preserve"> </w:t>
      </w:r>
      <w:r>
        <w:rPr>
          <w:rFonts w:ascii="Arial" w:cs="Arial" w:eastAsia="Arial" w:hAnsi="Arial"/>
          <w:sz w:val="18"/>
          <w:szCs w:val="18"/>
          <w:b w:val="1"/>
          <w:bCs w:val="1"/>
          <w:color w:val="auto"/>
        </w:rPr>
        <w:t>YEAR</w:t>
      </w:r>
      <w:r>
        <w:rPr>
          <w:rFonts w:ascii="Arial" w:cs="Arial" w:eastAsia="Arial" w:hAnsi="Arial"/>
          <w:sz w:val="18"/>
          <w:szCs w:val="18"/>
          <w:color w:val="auto"/>
        </w:rPr>
        <w:t>” for the frequency of future advisory votes on the compensation of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303" w:lineRule="exact"/>
        <w:rPr>
          <w:rFonts w:ascii="Arial" w:cs="Arial" w:eastAsia="Arial" w:hAnsi="Arial"/>
          <w:sz w:val="18"/>
          <w:szCs w:val="18"/>
          <w:color w:val="auto"/>
        </w:rPr>
      </w:pPr>
    </w:p>
    <w:p>
      <w:pPr>
        <w:ind w:left="326" w:hanging="326"/>
        <w:spacing w:after="0" w:line="239" w:lineRule="auto"/>
        <w:tabs>
          <w:tab w:leader="none" w:pos="327"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Transaction of any other business which may properly come before the 2023 Annual Meeting of Stockholders (the “Annual Meeting”) or any adjournment, continuation or postponement of the Annual Meeting. In addition to the business to be transacted as described above, management will speak on our developments over the past year and respond to questions of general interest to stockholders.</w:t>
      </w:r>
    </w:p>
    <w:p>
      <w:pPr>
        <w:spacing w:after="0" w:line="207" w:lineRule="exact"/>
        <w:rPr>
          <w:sz w:val="20"/>
          <w:szCs w:val="20"/>
          <w:color w:val="auto"/>
        </w:rPr>
      </w:pPr>
    </w:p>
    <w:p>
      <w:pPr>
        <w:ind w:left="6" w:right="100"/>
        <w:spacing w:after="0" w:line="248" w:lineRule="auto"/>
        <w:rPr>
          <w:sz w:val="20"/>
          <w:szCs w:val="20"/>
          <w:color w:val="auto"/>
        </w:rPr>
      </w:pPr>
      <w:r>
        <w:rPr>
          <w:rFonts w:ascii="Arial" w:cs="Arial" w:eastAsia="Arial" w:hAnsi="Arial"/>
          <w:sz w:val="18"/>
          <w:szCs w:val="18"/>
          <w:color w:val="auto"/>
        </w:rPr>
        <w:t>Only stockholders of record as of the close of business on April 24, 2023 will be entitled to notice of, and to vote at the Annual Meeting.</w:t>
      </w:r>
    </w:p>
    <w:p>
      <w:pPr>
        <w:spacing w:after="0" w:line="1" w:lineRule="exact"/>
        <w:rPr>
          <w:sz w:val="20"/>
          <w:szCs w:val="20"/>
          <w:color w:val="auto"/>
        </w:rPr>
      </w:pPr>
    </w:p>
    <w:p>
      <w:pPr>
        <w:sectPr>
          <w:pgSz w:w="11900" w:h="16838" w:orient="portrait"/>
          <w:cols w:equalWidth="0" w:num="2">
            <w:col w:w="2114" w:space="720"/>
            <w:col w:w="8386"/>
          </w:cols>
          <w:pgMar w:left="320" w:top="121" w:right="359" w:bottom="1440" w:gutter="0" w:footer="0" w:header="0"/>
          <w:type w:val="continuous"/>
        </w:sectPr>
      </w:pPr>
    </w:p>
    <w:p>
      <w:pPr>
        <w:ind w:left="20"/>
        <w:spacing w:after="0" w:line="229" w:lineRule="auto"/>
        <w:rPr>
          <w:sz w:val="20"/>
          <w:szCs w:val="20"/>
          <w:color w:val="auto"/>
        </w:rPr>
      </w:pPr>
      <w:r>
        <w:rPr>
          <w:rFonts w:ascii="Arial" w:cs="Arial" w:eastAsia="Arial" w:hAnsi="Arial"/>
          <w:sz w:val="18"/>
          <w:szCs w:val="18"/>
          <w:color w:val="auto"/>
        </w:rPr>
        <w:t>As permitted by the rules of the Securities and Exchange Commission, we have elected to furnish our proxy materials to stockholders by</w:t>
      </w:r>
    </w:p>
    <w:p>
      <w:pPr>
        <w:ind w:left="20"/>
        <w:spacing w:after="0" w:line="234" w:lineRule="auto"/>
        <w:rPr>
          <w:sz w:val="20"/>
          <w:szCs w:val="20"/>
          <w:color w:val="auto"/>
        </w:rPr>
      </w:pPr>
      <w:r>
        <w:rPr>
          <w:rFonts w:ascii="Arial" w:cs="Arial" w:eastAsia="Arial" w:hAnsi="Arial"/>
          <w:sz w:val="17"/>
          <w:szCs w:val="17"/>
          <w:color w:val="auto"/>
        </w:rPr>
        <w:t>providing access to the proxy materials on the internet. Accordingly, we are sending our stockholders a Notice of Internet Availability of Proxy Materials (the “Notice”) rather than a paper set of the proxy materials, unless a stockholder has previously requested printed materials. The Notice includes instructions on how to access our proxy materials over the internet, as well as how to request the materials in paper form.</w:t>
      </w:r>
    </w:p>
    <w:p>
      <w:pPr>
        <w:ind w:left="20"/>
        <w:spacing w:after="0" w:line="229" w:lineRule="auto"/>
        <w:rPr>
          <w:sz w:val="20"/>
          <w:szCs w:val="20"/>
          <w:color w:val="auto"/>
        </w:rPr>
      </w:pPr>
      <w:r>
        <w:rPr>
          <w:rFonts w:ascii="Arial" w:cs="Arial" w:eastAsia="Arial" w:hAnsi="Arial"/>
          <w:sz w:val="18"/>
          <w:szCs w:val="18"/>
          <w:b w:val="1"/>
          <w:bCs w:val="1"/>
          <w:color w:val="auto"/>
        </w:rPr>
        <w:t>Your vote is important. We encourage you to vote by proxy in advance of the meeting, whether or not you plan to attend the virtual</w:t>
      </w:r>
    </w:p>
    <w:p>
      <w:pPr>
        <w:ind w:left="20" w:right="340"/>
        <w:spacing w:after="0" w:line="234" w:lineRule="auto"/>
        <w:rPr>
          <w:sz w:val="20"/>
          <w:szCs w:val="20"/>
          <w:color w:val="auto"/>
        </w:rPr>
      </w:pPr>
      <w:r>
        <w:rPr>
          <w:rFonts w:ascii="Arial" w:cs="Arial" w:eastAsia="Arial" w:hAnsi="Arial"/>
          <w:sz w:val="18"/>
          <w:szCs w:val="18"/>
          <w:b w:val="1"/>
          <w:bCs w:val="1"/>
          <w:color w:val="auto"/>
        </w:rPr>
        <w:t>meeting. The Notice includes instructions on how to vote, including by internet or telephone. If you hold your shares through a brokerage firm, bank, broker-dealer or other nominee, please follow the instructions you receive from them.</w:t>
      </w:r>
    </w:p>
    <w:p>
      <w:pPr>
        <w:spacing w:after="0" w:line="1" w:lineRule="exact"/>
        <w:rPr>
          <w:sz w:val="20"/>
          <w:szCs w:val="20"/>
          <w:color w:val="auto"/>
        </w:rPr>
      </w:pPr>
    </w:p>
    <w:p>
      <w:pPr>
        <w:jc w:val="center"/>
        <w:ind w:left="20"/>
        <w:spacing w:after="0" w:line="24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21, 2023</w:t>
      </w:r>
    </w:p>
    <w:p>
      <w:pPr>
        <w:ind w:left="20"/>
        <w:spacing w:after="0" w:line="221" w:lineRule="auto"/>
        <w:rPr>
          <w:sz w:val="20"/>
          <w:szCs w:val="20"/>
          <w:color w:val="auto"/>
        </w:rPr>
      </w:pPr>
      <w:r>
        <w:rPr>
          <w:rFonts w:ascii="Arial" w:cs="Arial" w:eastAsia="Arial" w:hAnsi="Arial"/>
          <w:sz w:val="18"/>
          <w:szCs w:val="18"/>
          <w:color w:val="auto"/>
        </w:rPr>
        <w:t>This notice of the Annual Meeting, the Proxy Statement and the form of proxy are being distributed and made available on or about April 28,</w:t>
      </w:r>
    </w:p>
    <w:p>
      <w:pPr>
        <w:ind w:left="20" w:right="140"/>
        <w:spacing w:after="0" w:line="229" w:lineRule="auto"/>
        <w:rPr>
          <w:sz w:val="20"/>
          <w:szCs w:val="20"/>
          <w:color w:val="auto"/>
        </w:rPr>
      </w:pPr>
      <w:r>
        <w:rPr>
          <w:rFonts w:ascii="Arial" w:cs="Arial" w:eastAsia="Arial" w:hAnsi="Arial"/>
          <w:sz w:val="18"/>
          <w:szCs w:val="18"/>
          <w:color w:val="auto"/>
        </w:rPr>
        <w:t>2023. The Proxy Statement and our Annual Report on Form 10-K for the year ended December 31, 2022 are also available on our website, ir.expensify.com, as well as www.proxyvote.com.</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12065</wp:posOffset>
            </wp:positionV>
            <wp:extent cx="128587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Cole Eason</w:t>
      </w:r>
    </w:p>
    <w:p>
      <w:pPr>
        <w:spacing w:after="0" w:line="3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April 28, 2023</w:t>
      </w:r>
      <w:r>
        <w:rPr>
          <w:sz w:val="20"/>
          <w:szCs w:val="20"/>
          <w:color w:val="auto"/>
        </w:rPr>
        <w:tab/>
      </w:r>
      <w:r>
        <w:rPr>
          <w:rFonts w:ascii="Arial" w:cs="Arial" w:eastAsia="Arial" w:hAnsi="Arial"/>
          <w:sz w:val="17"/>
          <w:szCs w:val="17"/>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600" w:type="dxa"/>
            <w:vAlign w:val="bottom"/>
            <w:gridSpan w:val="3"/>
            <w:vMerge w:val="restart"/>
          </w:tcPr>
          <w:p>
            <w:pPr>
              <w:spacing w:after="0"/>
              <w:rPr>
                <w:sz w:val="20"/>
                <w:szCs w:val="20"/>
                <w:color w:val="auto"/>
              </w:rPr>
            </w:pPr>
            <w:r>
              <w:rPr>
                <w:rFonts w:ascii="Arial" w:cs="Arial" w:eastAsia="Arial" w:hAnsi="Arial"/>
                <w:sz w:val="18"/>
                <w:szCs w:val="18"/>
                <w:color w:val="0000FF"/>
                <w:w w:val="99"/>
              </w:rPr>
              <w:t>General Information</w:t>
            </w:r>
          </w:p>
        </w:tc>
        <w:tc>
          <w:tcPr>
            <w:tcW w:w="8020" w:type="dxa"/>
            <w:vAlign w:val="bottom"/>
            <w:gridSpan w:val="14"/>
            <w:vMerge w:val="restart"/>
          </w:tcPr>
          <w:p>
            <w:pPr>
              <w:spacing w:after="0"/>
              <w:rPr>
                <w:sz w:val="20"/>
                <w:szCs w:val="20"/>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8020" w:type="dxa"/>
            <w:vAlign w:val="bottom"/>
            <w:gridSpan w:val="14"/>
            <w:vMerge w:val="continue"/>
          </w:tcPr>
          <w:p>
            <w:pPr>
              <w:spacing w:after="0"/>
              <w:rPr>
                <w:sz w:val="15"/>
                <w:szCs w:val="15"/>
                <w:color w:val="auto"/>
              </w:rPr>
            </w:pPr>
          </w:p>
        </w:tc>
        <w:tc>
          <w:tcPr>
            <w:tcW w:w="860" w:type="dxa"/>
            <w:vAlign w:val="bottom"/>
            <w:gridSpan w:val="2"/>
          </w:tcPr>
          <w:p>
            <w:pPr>
              <w:jc w:val="center"/>
              <w:ind w:left="670"/>
              <w:spacing w:after="0" w:line="182" w:lineRule="exact"/>
              <w:rPr>
                <w:sz w:val="20"/>
                <w:szCs w:val="20"/>
                <w:color w:val="auto"/>
              </w:rPr>
            </w:pPr>
            <w:r>
              <w:rPr>
                <w:rFonts w:ascii="Arial" w:cs="Arial" w:eastAsia="Arial" w:hAnsi="Arial"/>
                <w:sz w:val="18"/>
                <w:szCs w:val="18"/>
                <w:color w:val="0000FF"/>
                <w:w w:val="99"/>
              </w:rPr>
              <w:t>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7"/>
          </w:tcPr>
          <w:p>
            <w:pPr>
              <w:spacing w:after="0"/>
              <w:rPr>
                <w:sz w:val="20"/>
                <w:szCs w:val="20"/>
                <w:color w:val="auto"/>
              </w:rPr>
            </w:pPr>
            <w:r>
              <w:rPr>
                <w:rFonts w:ascii="Arial" w:cs="Arial" w:eastAsia="Arial" w:hAnsi="Arial"/>
                <w:sz w:val="18"/>
                <w:szCs w:val="18"/>
                <w:color w:val="0000FF"/>
                <w:w w:val="99"/>
              </w:rPr>
              <w:t>Proposal 1: Election of Directors</w:t>
            </w:r>
          </w:p>
        </w:tc>
        <w:tc>
          <w:tcPr>
            <w:tcW w:w="7040" w:type="dxa"/>
            <w:vAlign w:val="bottom"/>
            <w:gridSpan w:val="10"/>
          </w:tcPr>
          <w:p>
            <w:pPr>
              <w:spacing w:after="0"/>
              <w:rPr>
                <w:sz w:val="18"/>
                <w:szCs w:val="18"/>
                <w:color w:val="auto"/>
              </w:rPr>
            </w:pPr>
          </w:p>
        </w:tc>
        <w:tc>
          <w:tcPr>
            <w:tcW w:w="860" w:type="dxa"/>
            <w:vAlign w:val="bottom"/>
            <w:gridSpan w:val="2"/>
          </w:tcPr>
          <w:p>
            <w:pPr>
              <w:jc w:val="center"/>
              <w:ind w:left="670"/>
              <w:spacing w:after="0"/>
              <w:rPr>
                <w:sz w:val="20"/>
                <w:szCs w:val="20"/>
                <w:color w:val="auto"/>
              </w:rPr>
            </w:pPr>
            <w:r>
              <w:rPr>
                <w:rFonts w:ascii="Arial" w:cs="Arial" w:eastAsia="Arial" w:hAnsi="Arial"/>
                <w:sz w:val="18"/>
                <w:szCs w:val="18"/>
                <w:color w:val="0000FF"/>
                <w:w w:val="99"/>
              </w:rPr>
              <w:t>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gridSpan w:val="4"/>
          </w:tcPr>
          <w:p>
            <w:pPr>
              <w:spacing w:after="0"/>
              <w:rPr>
                <w:sz w:val="20"/>
                <w:szCs w:val="20"/>
                <w:color w:val="auto"/>
              </w:rPr>
            </w:pPr>
            <w:r>
              <w:rPr>
                <w:rFonts w:ascii="Arial" w:cs="Arial" w:eastAsia="Arial" w:hAnsi="Arial"/>
                <w:sz w:val="18"/>
                <w:szCs w:val="18"/>
                <w:color w:val="0000FF"/>
                <w:w w:val="96"/>
              </w:rPr>
              <w:t>Corporate Governance</w:t>
            </w:r>
          </w:p>
        </w:tc>
        <w:tc>
          <w:tcPr>
            <w:tcW w:w="780" w:type="dxa"/>
            <w:vAlign w:val="bottom"/>
            <w:gridSpan w:val="3"/>
          </w:tcPr>
          <w:p>
            <w:pPr>
              <w:spacing w:after="0"/>
              <w:rPr>
                <w:sz w:val="18"/>
                <w:szCs w:val="18"/>
                <w:color w:val="auto"/>
              </w:rPr>
            </w:pPr>
          </w:p>
        </w:tc>
        <w:tc>
          <w:tcPr>
            <w:tcW w:w="7040" w:type="dxa"/>
            <w:vAlign w:val="bottom"/>
            <w:gridSpan w:val="10"/>
          </w:tcPr>
          <w:p>
            <w:pPr>
              <w:spacing w:after="0"/>
              <w:rPr>
                <w:sz w:val="18"/>
                <w:szCs w:val="18"/>
                <w:color w:val="auto"/>
              </w:rPr>
            </w:pPr>
          </w:p>
        </w:tc>
        <w:tc>
          <w:tcPr>
            <w:tcW w:w="860" w:type="dxa"/>
            <w:vAlign w:val="bottom"/>
            <w:gridSpan w:val="2"/>
          </w:tcPr>
          <w:p>
            <w:pPr>
              <w:jc w:val="center"/>
              <w:ind w:left="670"/>
              <w:spacing w:after="0"/>
              <w:rPr>
                <w:sz w:val="20"/>
                <w:szCs w:val="20"/>
                <w:color w:val="auto"/>
              </w:rPr>
            </w:pPr>
            <w:r>
              <w:rPr>
                <w:rFonts w:ascii="Arial" w:cs="Arial" w:eastAsia="Arial" w:hAnsi="Arial"/>
                <w:sz w:val="18"/>
                <w:szCs w:val="18"/>
                <w:color w:val="0000FF"/>
                <w:w w:val="99"/>
              </w:rPr>
              <w:t>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11"/>
          </w:tcPr>
          <w:p>
            <w:pPr>
              <w:spacing w:after="0"/>
              <w:rPr>
                <w:sz w:val="20"/>
                <w:szCs w:val="20"/>
                <w:color w:val="auto"/>
              </w:rPr>
            </w:pPr>
            <w:r>
              <w:rPr>
                <w:rFonts w:ascii="Arial" w:cs="Arial" w:eastAsia="Arial" w:hAnsi="Arial"/>
                <w:sz w:val="18"/>
                <w:szCs w:val="18"/>
                <w:color w:val="0000FF"/>
                <w:w w:val="99"/>
              </w:rPr>
              <w:t>Environmental, Social, and Governance</w:t>
            </w:r>
          </w:p>
        </w:tc>
        <w:tc>
          <w:tcPr>
            <w:tcW w:w="6440" w:type="dxa"/>
            <w:vAlign w:val="bottom"/>
            <w:gridSpan w:val="6"/>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16"/>
          </w:tcPr>
          <w:p>
            <w:pPr>
              <w:spacing w:after="0"/>
              <w:rPr>
                <w:sz w:val="20"/>
                <w:szCs w:val="20"/>
                <w:color w:val="auto"/>
              </w:rPr>
            </w:pPr>
            <w:r>
              <w:rPr>
                <w:rFonts w:ascii="Arial" w:cs="Arial" w:eastAsia="Arial" w:hAnsi="Arial"/>
                <w:sz w:val="18"/>
                <w:szCs w:val="18"/>
                <w:color w:val="0000FF"/>
                <w:w w:val="99"/>
              </w:rPr>
              <w:t>Proposal 2: Ratification of Appointment of Independent Registered Public Accounting Firm</w:t>
            </w:r>
          </w:p>
        </w:tc>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16"/>
          </w:tcPr>
          <w:p>
            <w:pPr>
              <w:spacing w:after="0"/>
              <w:rPr>
                <w:sz w:val="20"/>
                <w:szCs w:val="20"/>
                <w:color w:val="auto"/>
              </w:rPr>
            </w:pPr>
            <w:r>
              <w:rPr>
                <w:rFonts w:ascii="Arial" w:cs="Arial" w:eastAsia="Arial" w:hAnsi="Arial"/>
                <w:sz w:val="18"/>
                <w:szCs w:val="18"/>
                <w:color w:val="0000FF"/>
              </w:rPr>
              <w:t>Audit Committee Report</w:t>
            </w:r>
          </w:p>
        </w:tc>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Proposal 3: Frequency on Future Advisory Votes on Executive Compensation</w:t>
            </w:r>
          </w:p>
        </w:tc>
        <w:tc>
          <w:tcPr>
            <w:tcW w:w="1600" w:type="dxa"/>
            <w:vAlign w:val="bottom"/>
            <w:gridSpan w:val="3"/>
          </w:tcPr>
          <w:p>
            <w:pPr>
              <w:jc w:val="center"/>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gridSpan w:val="15"/>
          </w:tcPr>
          <w:p>
            <w:pPr>
              <w:spacing w:after="0"/>
              <w:rPr>
                <w:sz w:val="20"/>
                <w:szCs w:val="20"/>
                <w:color w:val="auto"/>
              </w:rPr>
            </w:pPr>
            <w:r>
              <w:rPr>
                <w:rFonts w:ascii="Arial" w:cs="Arial" w:eastAsia="Arial" w:hAnsi="Arial"/>
                <w:sz w:val="18"/>
                <w:szCs w:val="18"/>
                <w:color w:val="0000FF"/>
              </w:rPr>
              <w:t>Director Compensation</w:t>
            </w:r>
          </w:p>
        </w:tc>
        <w:tc>
          <w:tcPr>
            <w:tcW w:w="34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gridSpan w:val="6"/>
          </w:tcPr>
          <w:p>
            <w:pPr>
              <w:spacing w:after="0"/>
              <w:rPr>
                <w:sz w:val="20"/>
                <w:szCs w:val="20"/>
                <w:color w:val="auto"/>
              </w:rPr>
            </w:pPr>
            <w:r>
              <w:rPr>
                <w:rFonts w:ascii="Arial" w:cs="Arial" w:eastAsia="Arial" w:hAnsi="Arial"/>
                <w:sz w:val="18"/>
                <w:szCs w:val="18"/>
                <w:color w:val="0000FF"/>
                <w:w w:val="99"/>
              </w:rPr>
              <w:t>Executive Compensation</w:t>
            </w:r>
          </w:p>
        </w:tc>
        <w:tc>
          <w:tcPr>
            <w:tcW w:w="762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00" w:type="dxa"/>
            <w:vAlign w:val="bottom"/>
            <w:gridSpan w:val="16"/>
          </w:tcPr>
          <w:p>
            <w:pPr>
              <w:ind w:left="20"/>
              <w:spacing w:after="0"/>
              <w:rPr>
                <w:sz w:val="20"/>
                <w:szCs w:val="20"/>
                <w:color w:val="auto"/>
              </w:rPr>
            </w:pPr>
            <w:r>
              <w:rPr>
                <w:rFonts w:ascii="Arial" w:cs="Arial" w:eastAsia="Arial" w:hAnsi="Arial"/>
                <w:sz w:val="18"/>
                <w:szCs w:val="18"/>
                <w:color w:val="0000FF"/>
              </w:rPr>
              <w:t>Compensation Discussion and Analysis</w:t>
            </w:r>
          </w:p>
        </w:tc>
        <w:tc>
          <w:tcPr>
            <w:tcW w:w="1600" w:type="dxa"/>
            <w:vAlign w:val="bottom"/>
            <w:gridSpan w:val="3"/>
          </w:tcPr>
          <w:p>
            <w:pPr>
              <w:jc w:val="center"/>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8"/>
          </w:tcPr>
          <w:p>
            <w:pPr>
              <w:ind w:left="20"/>
              <w:spacing w:after="0"/>
              <w:rPr>
                <w:sz w:val="20"/>
                <w:szCs w:val="20"/>
                <w:color w:val="auto"/>
              </w:rPr>
            </w:pPr>
            <w:r>
              <w:rPr>
                <w:rFonts w:ascii="Arial" w:cs="Arial" w:eastAsia="Arial" w:hAnsi="Arial"/>
                <w:sz w:val="18"/>
                <w:szCs w:val="18"/>
                <w:color w:val="0000FF"/>
                <w:w w:val="98"/>
              </w:rPr>
              <w:t>Compensation Committee Report</w:t>
            </w:r>
          </w:p>
        </w:tc>
        <w:tc>
          <w:tcPr>
            <w:tcW w:w="480" w:type="dxa"/>
            <w:vAlign w:val="bottom"/>
            <w:gridSpan w:val="3"/>
          </w:tcPr>
          <w:p>
            <w:pPr>
              <w:spacing w:after="0"/>
              <w:rPr>
                <w:sz w:val="18"/>
                <w:szCs w:val="18"/>
                <w:color w:val="auto"/>
              </w:rPr>
            </w:pPr>
          </w:p>
        </w:tc>
        <w:tc>
          <w:tcPr>
            <w:tcW w:w="6140" w:type="dxa"/>
            <w:vAlign w:val="bottom"/>
            <w:gridSpan w:val="5"/>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8"/>
          </w:tcPr>
          <w:p>
            <w:pPr>
              <w:ind w:left="20"/>
              <w:spacing w:after="0"/>
              <w:rPr>
                <w:sz w:val="20"/>
                <w:szCs w:val="20"/>
                <w:color w:val="auto"/>
              </w:rPr>
            </w:pPr>
            <w:r>
              <w:rPr>
                <w:rFonts w:ascii="Arial" w:cs="Arial" w:eastAsia="Arial" w:hAnsi="Arial"/>
                <w:sz w:val="18"/>
                <w:szCs w:val="18"/>
                <w:color w:val="0000FF"/>
              </w:rPr>
              <w:t>Pay vs Performance</w:t>
            </w:r>
          </w:p>
        </w:tc>
        <w:tc>
          <w:tcPr>
            <w:tcW w:w="6620" w:type="dxa"/>
            <w:vAlign w:val="bottom"/>
            <w:gridSpan w:val="8"/>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10"/>
          </w:tcPr>
          <w:p>
            <w:pPr>
              <w:spacing w:after="0"/>
              <w:rPr>
                <w:sz w:val="20"/>
                <w:szCs w:val="20"/>
                <w:color w:val="auto"/>
              </w:rPr>
            </w:pPr>
            <w:r>
              <w:rPr>
                <w:rFonts w:ascii="Arial" w:cs="Arial" w:eastAsia="Arial" w:hAnsi="Arial"/>
                <w:sz w:val="18"/>
                <w:szCs w:val="18"/>
                <w:color w:val="0000FF"/>
                <w:w w:val="99"/>
              </w:rPr>
              <w:t>Equity Compensation Plan Information</w:t>
            </w:r>
          </w:p>
        </w:tc>
        <w:tc>
          <w:tcPr>
            <w:tcW w:w="6540" w:type="dxa"/>
            <w:vAlign w:val="bottom"/>
            <w:gridSpan w:val="7"/>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Stock Ownership of Certain Beneficial Owners and Management</w:t>
            </w:r>
          </w:p>
        </w:tc>
        <w:tc>
          <w:tcPr>
            <w:tcW w:w="160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13"/>
          </w:tcPr>
          <w:p>
            <w:pPr>
              <w:spacing w:after="0"/>
              <w:rPr>
                <w:sz w:val="20"/>
                <w:szCs w:val="20"/>
                <w:color w:val="auto"/>
              </w:rPr>
            </w:pPr>
            <w:r>
              <w:rPr>
                <w:rFonts w:ascii="Arial" w:cs="Arial" w:eastAsia="Arial" w:hAnsi="Arial"/>
                <w:sz w:val="18"/>
                <w:szCs w:val="18"/>
                <w:color w:val="0000FF"/>
                <w:w w:val="99"/>
              </w:rPr>
              <w:t>Certain Relationships and Related Party Transactions</w:t>
            </w:r>
          </w:p>
        </w:tc>
        <w:tc>
          <w:tcPr>
            <w:tcW w:w="860" w:type="dxa"/>
            <w:vAlign w:val="bottom"/>
          </w:tcPr>
          <w:p>
            <w:pPr>
              <w:spacing w:after="0"/>
              <w:rPr>
                <w:sz w:val="18"/>
                <w:szCs w:val="18"/>
                <w:color w:val="auto"/>
              </w:rPr>
            </w:pPr>
          </w:p>
        </w:tc>
        <w:tc>
          <w:tcPr>
            <w:tcW w:w="44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gridSpan w:val="13"/>
          </w:tcPr>
          <w:p>
            <w:pPr>
              <w:spacing w:after="0"/>
              <w:rPr>
                <w:sz w:val="20"/>
                <w:szCs w:val="20"/>
                <w:color w:val="auto"/>
              </w:rPr>
            </w:pPr>
            <w:r>
              <w:rPr>
                <w:rFonts w:ascii="Arial" w:cs="Arial" w:eastAsia="Arial" w:hAnsi="Arial"/>
                <w:sz w:val="18"/>
                <w:szCs w:val="18"/>
                <w:color w:val="0000FF"/>
              </w:rPr>
              <w:t>Stockholder Proposals</w:t>
            </w:r>
          </w:p>
        </w:tc>
        <w:tc>
          <w:tcPr>
            <w:tcW w:w="5340" w:type="dxa"/>
            <w:vAlign w:val="bottom"/>
            <w:gridSpan w:val="4"/>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Delinquent Section 16(a) Reports</w:t>
            </w:r>
          </w:p>
        </w:tc>
        <w:tc>
          <w:tcPr>
            <w:tcW w:w="1600" w:type="dxa"/>
            <w:vAlign w:val="bottom"/>
            <w:gridSpan w:val="3"/>
          </w:tcPr>
          <w:p>
            <w:pPr>
              <w:jc w:val="center"/>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8"/>
          </w:tcPr>
          <w:p>
            <w:pPr>
              <w:spacing w:after="0"/>
              <w:rPr>
                <w:sz w:val="20"/>
                <w:szCs w:val="20"/>
                <w:color w:val="auto"/>
              </w:rPr>
            </w:pPr>
            <w:r>
              <w:rPr>
                <w:rFonts w:ascii="Arial" w:cs="Arial" w:eastAsia="Arial" w:hAnsi="Arial"/>
                <w:sz w:val="18"/>
                <w:szCs w:val="18"/>
                <w:color w:val="0000FF"/>
              </w:rPr>
              <w:t>Other Matters</w:t>
            </w:r>
          </w:p>
        </w:tc>
        <w:tc>
          <w:tcPr>
            <w:tcW w:w="6960" w:type="dxa"/>
            <w:vAlign w:val="bottom"/>
            <w:gridSpan w:val="9"/>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center"/>
              <w:ind w:right="700"/>
              <w:spacing w:after="0"/>
              <w:rPr>
                <w:sz w:val="20"/>
                <w:szCs w:val="20"/>
                <w:color w:val="auto"/>
              </w:rPr>
            </w:pPr>
            <w:r>
              <w:rPr>
                <w:rFonts w:ascii="Arial" w:cs="Arial" w:eastAsia="Arial" w:hAnsi="Arial"/>
                <w:sz w:val="17"/>
                <w:szCs w:val="17"/>
                <w:color w:val="0000FF"/>
                <w:w w:val="73"/>
              </w:rPr>
              <w:t>42</w:t>
            </w:r>
          </w:p>
        </w:tc>
        <w:tc>
          <w:tcPr>
            <w:tcW w:w="0" w:type="dxa"/>
            <w:vAlign w:val="bottom"/>
          </w:tcPr>
          <w:p>
            <w:pPr>
              <w:spacing w:after="0"/>
              <w:rPr>
                <w:sz w:val="1"/>
                <w:szCs w:val="1"/>
                <w:color w:val="auto"/>
              </w:rPr>
            </w:pPr>
          </w:p>
        </w:tc>
      </w:tr>
      <w:tr>
        <w:trPr>
          <w:trHeight w:val="1661"/>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 the 2023 Annual Meeting of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color w:val="auto"/>
        </w:rPr>
        <w:t>General Information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of Directors” or the “Board”) of Expensify, Inc., a Delaware corporation, for use at the 2023 Annual Meeting of Stockholders (the “Annual Meeting”). The Annual Meeting will take place virtually at www.virtualshareholdermeeting.com/EXFY2023 on Wednesday, June 21, 2023 at 9:00 a.m. (Pacific Time). You will not be able to attend in person. This Proxy Statement, form of proxy and other related materials are first being mailed to stockholders on or about April 28, 2023. References in this Proxy Statement to “we,” “us,” “our” or the “Company” refer to Expensify, Inc. and its consolidated subsidiaries. When we refer to the Company’s fiscal year, we mean the annual period ended on December 31. This Proxy Statement covers our 2022 fiscal year, which was from January 1, 2022 through December 31, 2022 (“fiscal 2022”). Certain information contained in this Proxy Statement is incorporated by reference into Part III of our Annual Report on Form 10-K for the fiscal year ended December 31, 2022, as filed by the Company with the U.S. Securities and Exchange Commission (the “SEC”) on March 8, 2023 (the “Annual Report”).</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References to the “IPO” refer to the initial public offering of our Class A common stock in November 2021. We use the term “LT Holders” herein to refer to our current and former employees and service providers who hold shares of our LT10 common stock and/or our LT50 common stock through a voting trust (the “Voting Trust”) governed by a trust agreement, dated November 9, 2021, by and among the Company, each LT Holder and the trustees named therein (the “Voting Trust Agreement”). All outstanding shares of our LT10 common stock and LT50 common stock are held directly by the Voting Trust.</w:t>
      </w:r>
    </w:p>
    <w:p>
      <w:pPr>
        <w:spacing w:after="0" w:line="112" w:lineRule="exact"/>
        <w:rPr>
          <w:sz w:val="20"/>
          <w:szCs w:val="20"/>
          <w:color w:val="auto"/>
        </w:rPr>
      </w:pPr>
    </w:p>
    <w:p>
      <w:pPr>
        <w:ind w:right="1980"/>
        <w:spacing w:after="0" w:line="414" w:lineRule="auto"/>
        <w:rPr>
          <w:sz w:val="20"/>
          <w:szCs w:val="20"/>
          <w:color w:val="auto"/>
        </w:rPr>
      </w:pPr>
      <w:r>
        <w:rPr>
          <w:rFonts w:ascii="Arial" w:cs="Arial" w:eastAsia="Arial" w:hAnsi="Arial"/>
          <w:sz w:val="18"/>
          <w:szCs w:val="18"/>
          <w:color w:val="auto"/>
        </w:rPr>
        <w:t xml:space="preserve">Below are answers to common questions stockholders may have about the Proxy Materials and the Annual Meeting. </w:t>
      </w:r>
      <w:r>
        <w:rPr>
          <w:rFonts w:ascii="Arial" w:cs="Arial" w:eastAsia="Arial" w:hAnsi="Arial"/>
          <w:sz w:val="18"/>
          <w:szCs w:val="18"/>
          <w:b w:val="1"/>
          <w:bCs w:val="1"/>
          <w:i w:val="1"/>
          <w:iCs w:val="1"/>
          <w:color w:val="auto"/>
        </w:rPr>
        <w:t>What are the Proxy Materials?</w:t>
      </w:r>
    </w:p>
    <w:p>
      <w:pPr>
        <w:spacing w:after="0" w:line="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“Proxy Materials” are a reference to the Proxy Statement and our Annual Report. If you request printed versions of the Proxy Materials, and you are entitled to vote at the Annual Meeting, you will also receive a proxy card.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Notice of Internet Availability of Proxy Materials instead of a full set of materials?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rules adopted by the SEC, we are electing to furnish the Proxy Materials to our stockholders by providing access to the Proxy Materials on the internet, rather than mailing printed copies. If you received a Notice of Internet Availability of Proxy Materials (the “Notice”) by mail, you will not receive printed copies of the Proxy Materials unless you request them. Instead, the Notice will instruct you how to access and review the Proxy Materials on the internet. If you would like printed copies of the Proxy Materials, please follow the instructions in the Notice.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are you holding a virtual Annual Meeting?</w:t>
      </w:r>
    </w:p>
    <w:p>
      <w:pPr>
        <w:spacing w:after="0" w:line="15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believe holding our Annual Meeting via live webcast is an environmentally friendly way to provide expanded access, improved communication and cost savings for us and our stockholders. The virtual meeting provides the same rights to participate as an in-person meeting. Stockholders will not be permitted to physically attend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participate in the Annual Meeting?</w:t>
      </w:r>
    </w:p>
    <w:p>
      <w:pPr>
        <w:spacing w:after="0" w:line="1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Persons with evidence of stock ownership as of the Record Date (as defined below), including both stockholders of record and stockholders whose shares are held in street name (as described below), can participate in the Annual Meeting by visiting www.virtualshareholdermeeting.com/EXFY2023. You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need the 16-digit control number included on your Notice, on your proxy card or on the instructions that accompany your Proxy Materials. If you do not have a control number, please contact your brokerage firm, bank, broker-dealer or other nominee as soon as possible so that you can be provided with one. You may also submit pertinent questions in advance of the Annual Meeting by visiting www.proxyvote.com and entering your control number. Questions pertinent to meeting matters will be answered during the Annual Meeting, subject to time limitations. We will endeavor to answer as many questions submitted by stockholders as time permits. We reserve the right to edit profanity or other inappropriate language and to exclude questions regarding topics that are not pertinent to meeting matters or company business. If we receive substantially similar questions, we may group questions together and provide a single response to avoid repetition. Additional information regarding stockholder questions and participation, rules governing the conduct of the Annual Meeting, procedures and technical support can be viewed 15 minutes prior to the meeting at www.virtualshareholdermeeting.com/EXFY2023. If you encounter any difficulties while accessing the virtual meeting during the check-in or meeting time, you should call the technical assistance phone number that will be posted on the virtual stockholder meeting log in page, which will be made available 15 minutes prior to the start time of the meeting. We encourage you to access the meeting prior to the meeting start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may vote at the meeting?</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Holders of our Class A common stock, LT10 common stock and LT50 common stock as of the close of business on April 24, 2023 (the “Record Date”) may attend and vote at the Annual Meeting. Pursuant to the Voting Trust Agreement, each LT Holder has agreed that the trustees of the Voting Trust (the “Trustees”), currently David Barrett, Ryan Schaffer and Jason Mills, have full authority to vote his or her shares on all matters in the Trustees’ sole and absolute discretion. On February 13, 2023, Ryan Schaffer submitted his resignation as one of the three trustees of the Voting Trust, effective as of May 14, 2023 or, if earlier, the date on which certain applicable state regulatory approvals have been received. Mr. Garrett Knight will succeed Mr. Schaffer as trustee upon the effectiveness of Mr. Schaffer’s resignation. Accordingly, at the time of the Annual Meeting, it is expected that David Barrett, Garrett Knight and Jason Mills will have full authority to vote each LT Holder’s shares on all matters in the Trustee’s sole and absolute discretion. </w:t>
      </w:r>
      <w:r>
        <w:rPr>
          <w:rFonts w:ascii="Arial" w:cs="Arial" w:eastAsia="Arial" w:hAnsi="Arial"/>
          <w:sz w:val="18"/>
          <w:szCs w:val="18"/>
          <w:b w:val="1"/>
          <w:bCs w:val="1"/>
          <w:u w:val="single" w:color="auto"/>
          <w:color w:val="auto"/>
        </w:rPr>
        <w:t>Because all outstanding shares of LT10 common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stock and LT50 common stock are held by the Voting Trust and voted by the Trustees of the Voting Trust, individual LT Holders will not receive proxy cards and are not eligible to cast votes at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14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Pursuant to the Voting Trust Agreement, each LT Holder has agreed that the Trustees of the Voting Trust have full authority to vote his or her shares on all matters in the Trustees’ sole and absolute discretion at the Annual Meeting.</w:t>
      </w:r>
    </w:p>
    <w:p>
      <w:pPr>
        <w:spacing w:after="0" w:line="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u w:val="single" w:color="auto"/>
          <w:color w:val="auto"/>
        </w:rPr>
        <w:t>Because all outstanding shares of LT10 common stock and LT50 common stock are held by the Voting Trust and voted by the Trustees, individual LT Holders will not receive proxy cards and are not eligible to cast votes at the 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items will be voted on at the Annual Meeting and how does the Board of Directors recommend that I vote?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proposals to be voted on at the Annual Meeting:</w:t>
      </w:r>
    </w:p>
    <w:p>
      <w:pPr>
        <w:spacing w:after="0" w:line="144" w:lineRule="exact"/>
        <w:rPr>
          <w:sz w:val="20"/>
          <w:szCs w:val="20"/>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eight directors to our Board of Directors;</w:t>
      </w:r>
    </w:p>
    <w:p>
      <w:pPr>
        <w:spacing w:after="0" w:line="157" w:lineRule="exact"/>
        <w:rPr>
          <w:rFonts w:ascii="Arial" w:cs="Arial" w:eastAsia="Arial" w:hAnsi="Arial"/>
          <w:sz w:val="18"/>
          <w:szCs w:val="18"/>
          <w:color w:val="auto"/>
        </w:rPr>
      </w:pPr>
    </w:p>
    <w:p>
      <w:pPr>
        <w:ind w:left="660" w:right="40" w:hanging="328"/>
        <w:spacing w:after="0" w:line="287"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(“EY”) as our independent registered public accounting firm for the fiscal year ending December 31,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to vote, on an advisory basis, on the frequency of future advisory votes on the compensation of our named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Committee of the Board of Directors (the “Executive Committee”) on behalf of our Board of Directors recommends a vote</w:t>
      </w:r>
    </w:p>
    <w:p>
      <w:pPr>
        <w:spacing w:after="0" w:line="2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nominee as a director for Proposal 1, “</w:t>
      </w:r>
      <w:r>
        <w:rPr>
          <w:rFonts w:ascii="Arial" w:cs="Arial" w:eastAsia="Arial" w:hAnsi="Arial"/>
          <w:sz w:val="18"/>
          <w:szCs w:val="18"/>
          <w:b w:val="1"/>
          <w:bCs w:val="1"/>
          <w:color w:val="auto"/>
        </w:rPr>
        <w:t>FOR</w:t>
      </w:r>
      <w:r>
        <w:rPr>
          <w:rFonts w:ascii="Arial" w:cs="Arial" w:eastAsia="Arial" w:hAnsi="Arial"/>
          <w:sz w:val="18"/>
          <w:szCs w:val="18"/>
          <w:color w:val="auto"/>
        </w:rPr>
        <w:t>” Proposal 2 and for “</w:t>
      </w:r>
      <w:r>
        <w:rPr>
          <w:rFonts w:ascii="Arial" w:cs="Arial" w:eastAsia="Arial" w:hAnsi="Arial"/>
          <w:sz w:val="18"/>
          <w:szCs w:val="18"/>
          <w:b w:val="1"/>
          <w:bCs w:val="1"/>
          <w:color w:val="auto"/>
        </w:rPr>
        <w:t>ONE YEAR</w:t>
      </w:r>
      <w:r>
        <w:rPr>
          <w:rFonts w:ascii="Arial" w:cs="Arial" w:eastAsia="Arial" w:hAnsi="Arial"/>
          <w:sz w:val="18"/>
          <w:szCs w:val="18"/>
          <w:color w:val="auto"/>
        </w:rPr>
        <w:t>” for Proposal 3. Our amended and restated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Executive Committee on behalf of our Board of Directors will have discretion to vote the shares subject to such proxies on those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for each proposal?</w:t>
      </w:r>
    </w:p>
    <w:p>
      <w:pPr>
        <w:spacing w:after="0" w:line="15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For Proposal 1, each director must be elected by a plurality of the votes cast. This means that the eight nominees receiving the largest number of “for” votes will be elected as directors. We do not have cumulative voting.</w:t>
      </w:r>
    </w:p>
    <w:p>
      <w:pPr>
        <w:spacing w:after="0" w:line="72"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For Proposal 2, the ratification of the appointment of our independent registered public accounting firm for the fiscal year ending December 31, 2023, will be determined by the affirmative vote of the holders of a majority in voting power of the votes cast.</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Proposal 3, the advisory vote on the frequency of future advisory votes on the compensation of our named executive officers, if no frequency option receives the affirmative vote of the holders of a majority in voting power of the votes cast, the Board and Compensation Committee of the Board will consider the option that receives the most votes as the option selected by stockholders.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Expensify’s multi-class ownership structure and Voting Trust impact the outcome of the Annual Meeting?</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At the close of business on the Record Date, we had outstanding and entitled to vote 68,507,268 shares of Class A common stock, 7,335,456 shares of LT10 common stock and 6,975,375 shares of LT50 common stock. All outstanding shares of our LT10 common stock and LT50 common stock are held directly by the Voting Trust, and pursuant to the Voting Trust Agreement, each LT Holder has agreed that the Trustees of the Voting Trust have full authority to vote his or her shares on all matters at the Annual Meeting in the Trustees’ sole and absolute discretion. As a result, the Trustees of the Voting Trust will be entitled to an aggregate of 422,123,310 votes on all matters to be voted upon at the Annual Meeting, representing approximately 86.0% of the total voting power of our outstanding common stock.</w:t>
      </w:r>
    </w:p>
    <w:p>
      <w:pPr>
        <w:spacing w:after="0" w:line="11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expect the Voting Trust to vote FOR each of the nominees for director. As of the Record Date, the Voting Trust held sufficient shares of our common stock to ensure the election of such nominees at the Annual Meeting. We also expect the Voting Trust to vote FOR the ratification of our independent registered public accounting firm for the fiscal year ending December 31, 2023 and for ONE YEAR on the frequency of future advisory votes on the compensation of our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an abstention and how will votes withheld and abstentions be treated?</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two other proposals to be voted on at the Annual Meeting, represents a stockholder’s affirmative choice to decline to vote on a proposal. Votes withheld and abstentions are counted as present and entitled to vote for purposes of determining a quorum. Votes withheld have no effect on the election of directors and abstentions are not counted as votes cast and as such will have no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ratification of the appointment of EY or the approval of the frequency of future advisory votes on the compensation of our named executive officers.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w:t>
      </w:r>
    </w:p>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EY as our independent registered public accounting firm, without instructions from the beneficial owner of those shares, and therefore we do not expect any broker non-votes on this proposal. On the other hand, absent instructions from the beneficial owner of such shares, a broker is not entitled to vote shares held for a beneficial owner on non-routine matters, such as the election of directors and the approval of the frequency of future advisory votes on the compensation of our named executive officers, and as such, broker non-votes will have no effect on those proposals. Broker non-votes count for purposes of determining whether a quorum is present.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stockholder of record and a beneficial owner of shares held in street name?</w:t>
      </w:r>
    </w:p>
    <w:p>
      <w:pPr>
        <w:spacing w:after="0" w:line="14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Computershare Trust Company, N.A.,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a stockholder of record. Each LT Holder is not a stockholder of record by virtue of shares he or she beneficially holds through the Voting Trust.</w:t>
      </w:r>
    </w:p>
    <w:p>
      <w:pPr>
        <w:spacing w:after="0" w:line="10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then you are a beneficial owner of shares held in “street name.” The organization holding your account is considered the stockholder of record for purposes of voting at the Annual Meeting. As a beneficial owner, you have the right to direct the organization holding your account on how to vote the shares you hold in your account.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stockholders of record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ways for stockholders of record to vote:</w:t>
      </w:r>
    </w:p>
    <w:p>
      <w:pPr>
        <w:spacing w:after="0" w:line="158"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 Advance</w:t>
      </w:r>
    </w:p>
    <w:p>
      <w:pPr>
        <w:spacing w:after="0" w:line="157" w:lineRule="exact"/>
        <w:rPr>
          <w:rFonts w:ascii="Arial" w:cs="Arial" w:eastAsia="Arial" w:hAnsi="Arial"/>
          <w:sz w:val="18"/>
          <w:szCs w:val="18"/>
          <w:color w:val="auto"/>
        </w:rPr>
      </w:pPr>
    </w:p>
    <w:p>
      <w:pPr>
        <w:ind w:left="1300" w:right="160" w:hanging="400"/>
        <w:spacing w:after="0" w:line="268" w:lineRule="auto"/>
        <w:tabs>
          <w:tab w:leader="none" w:pos="1309"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Via the internet: </w:t>
      </w:r>
      <w:r>
        <w:rPr>
          <w:rFonts w:ascii="Arial" w:cs="Arial" w:eastAsia="Arial" w:hAnsi="Arial"/>
          <w:sz w:val="18"/>
          <w:szCs w:val="18"/>
          <w:color w:val="auto"/>
        </w:rPr>
        <w:t>You may vote via the internet until 11:59 p.m. (Eastern Time) on the day before the Annual Meeting by</w:t>
      </w:r>
      <w:r>
        <w:rPr>
          <w:rFonts w:ascii="Arial" w:cs="Arial" w:eastAsia="Arial" w:hAnsi="Arial"/>
          <w:sz w:val="18"/>
          <w:szCs w:val="18"/>
          <w:b w:val="1"/>
          <w:bCs w:val="1"/>
          <w:color w:val="auto"/>
        </w:rPr>
        <w:t xml:space="preserve"> </w:t>
      </w:r>
      <w:r>
        <w:rPr>
          <w:rFonts w:ascii="Arial" w:cs="Arial" w:eastAsia="Arial" w:hAnsi="Arial"/>
          <w:sz w:val="18"/>
          <w:szCs w:val="18"/>
          <w:color w:val="auto"/>
        </w:rPr>
        <w:t>visiting www.proxyvote.com and entering the unique control number for your shares located on your Notice or proxy card. If you submit a proxy over the internet, you do not need to return a written proxy card or voting instructions by mail.</w:t>
      </w:r>
    </w:p>
    <w:p>
      <w:pPr>
        <w:spacing w:after="0" w:line="89" w:lineRule="exact"/>
        <w:rPr>
          <w:rFonts w:ascii="Arial" w:cs="Arial" w:eastAsia="Arial" w:hAnsi="Arial"/>
          <w:sz w:val="18"/>
          <w:szCs w:val="18"/>
          <w:color w:val="auto"/>
        </w:rPr>
      </w:pPr>
    </w:p>
    <w:p>
      <w:pPr>
        <w:ind w:left="1300" w:hanging="444"/>
        <w:spacing w:after="0" w:line="268" w:lineRule="auto"/>
        <w:tabs>
          <w:tab w:leader="none" w:pos="1306"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by phone until 11:59 p.m. (Eastern Time) on the day before the Annual Meeting by calling (800)</w:t>
      </w:r>
      <w:r>
        <w:rPr>
          <w:rFonts w:ascii="Arial" w:cs="Arial" w:eastAsia="Arial" w:hAnsi="Arial"/>
          <w:sz w:val="18"/>
          <w:szCs w:val="18"/>
          <w:b w:val="1"/>
          <w:bCs w:val="1"/>
          <w:color w:val="auto"/>
        </w:rPr>
        <w:t xml:space="preserve"> </w:t>
      </w:r>
      <w:r>
        <w:rPr>
          <w:rFonts w:ascii="Arial" w:cs="Arial" w:eastAsia="Arial" w:hAnsi="Arial"/>
          <w:sz w:val="18"/>
          <w:szCs w:val="18"/>
          <w:color w:val="auto"/>
        </w:rPr>
        <w:t>690-6903. You will need the control number from your Notice or proxy card. If you submit a proxy by telephone, you do not need to return a written proxy card or voting instructions by mail.</w:t>
      </w:r>
    </w:p>
    <w:p>
      <w:pPr>
        <w:spacing w:after="0" w:line="103" w:lineRule="exact"/>
        <w:rPr>
          <w:rFonts w:ascii="Arial" w:cs="Arial" w:eastAsia="Arial" w:hAnsi="Arial"/>
          <w:sz w:val="18"/>
          <w:szCs w:val="18"/>
          <w:color w:val="auto"/>
        </w:rPr>
      </w:pPr>
    </w:p>
    <w:p>
      <w:pPr>
        <w:ind w:left="1300" w:right="120" w:hanging="488"/>
        <w:spacing w:after="0" w:line="268" w:lineRule="auto"/>
        <w:tabs>
          <w:tab w:leader="none" w:pos="1302"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requested that the Proxy Materials be mailed to you, you will receive a proxy card with your Proxy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vote by filling out and signing the proxy card and returning it in the envelope provided. The proxy card must be received by 8:00 p.m. (Eastern Time) on the day before the Annual Meeting.</w:t>
      </w:r>
    </w:p>
    <w:p>
      <w:pPr>
        <w:spacing w:after="0" w:line="103" w:lineRule="exact"/>
        <w:rPr>
          <w:rFonts w:ascii="Arial" w:cs="Arial" w:eastAsia="Arial" w:hAnsi="Arial"/>
          <w:sz w:val="18"/>
          <w:szCs w:val="18"/>
          <w:color w:val="auto"/>
        </w:rPr>
      </w:pPr>
    </w:p>
    <w:p>
      <w:pPr>
        <w:ind w:left="660" w:right="32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During the Meeting: </w:t>
      </w:r>
      <w:r>
        <w:rPr>
          <w:rFonts w:ascii="Arial" w:cs="Arial" w:eastAsia="Arial" w:hAnsi="Arial"/>
          <w:sz w:val="18"/>
          <w:szCs w:val="18"/>
          <w:color w:val="auto"/>
        </w:rPr>
        <w:t>You may also vote your shares during the live webcast of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www.virtualshareholdermeeting.com/EXFY2023 and entering the company number and control number from your Notice or proxy card. Any previous votes that you submitted by mail, telephone or internet will be superseded.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beneficial owners of shares held in street name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their instructions. You may also elect to participate in the Annual Meeting via live webcast, through which you may vote online during the Annual Meeting prior to the closing of the polls, and any previous votes that you submitted will be superseded.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submitting a proxy?</w:t>
      </w:r>
    </w:p>
    <w:p>
      <w:pPr>
        <w:spacing w:after="0" w:line="153"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Stockholders of record may revoke their proxy before the Annual Meeting (1) by delivering to the Company’s Secretary at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 97204 a written notice stating that a proxy is revoked, (2) by signing and delivering a proxy bearing a later date, (3) by voting again via the internet or by telephone or (4) by attending and voting during the Annual Meeting.</w:t>
      </w:r>
    </w:p>
    <w:p>
      <w:pPr>
        <w:spacing w:after="0" w:line="126" w:lineRule="exact"/>
        <w:rPr>
          <w:sz w:val="20"/>
          <w:szCs w:val="20"/>
          <w:color w:val="auto"/>
        </w:rPr>
      </w:pPr>
    </w:p>
    <w:p>
      <w:pPr>
        <w:ind w:right="500"/>
        <w:spacing w:after="0" w:line="414" w:lineRule="auto"/>
        <w:rPr>
          <w:sz w:val="20"/>
          <w:szCs w:val="20"/>
          <w:color w:val="auto"/>
        </w:rPr>
      </w:pPr>
      <w:r>
        <w:rPr>
          <w:rFonts w:ascii="Arial" w:cs="Arial" w:eastAsia="Arial" w:hAnsi="Arial"/>
          <w:sz w:val="18"/>
          <w:szCs w:val="18"/>
          <w:color w:val="auto"/>
        </w:rPr>
        <w:t xml:space="preserve">Beneficial owners of shares held in street name who wish to change their votes should contact the organization that holds their shares. </w:t>
      </w:r>
      <w:r>
        <w:rPr>
          <w:rFonts w:ascii="Arial" w:cs="Arial" w:eastAsia="Arial" w:hAnsi="Arial"/>
          <w:sz w:val="18"/>
          <w:szCs w:val="18"/>
          <w:b w:val="1"/>
          <w:bCs w:val="1"/>
          <w:i w:val="1"/>
          <w:iCs w:val="1"/>
          <w:color w:val="auto"/>
        </w:rPr>
        <w:t>If I hold shares in street name through a broker, can the broker vote my shares for me?</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Proposals 1 and 3 are not considered “routine” proposals. Proposal 2 is considered a “routine” proposal. If you hold shares in street name and do not vote on Proposals 1 or 3, your shares will be counted as “broker non-votes.” Because Proposal 2 is considered “routine,” brokerage firms, banks, broker-dealers and other nominees have discretionary authority to vote without receiving instructions.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Presence at the Annual Meeting, virtually or by proxy, of the holders of a majority in voting power of the stock issued and outstanding and entitled to vote at the Annual Meeting will constitute a quorum, permitting the Annual Meeting to proceed and business to be conducted. Proxies received but with items marked as abstentions or containing broker non-votes will be included in the calculation of the number of votes considered to be present at the meeting for purposes of determining whether a quorum is present.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solicitation?</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is paying the costs of the solicitation of proxies. Members of our Board and officers and employees may solicit proxies by mail, telephone, fax, email or in person. We will not pay directors, officers or employees any extra amounts for soliciting proxies. We may, upon request, reimburse brokerage firms, banks, broker-dealers or other nominees representing street name holders for their expenses in forwarding Proxy Materials to their customers who are street name holders and obtaining their voting instructions.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15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Representatives of Broadridge Investor Communications Services (“Broadridge”) will tabulate the votes, and a representative of Broadridge will act as inspector of elections.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will file a Current Report on Form 8-K with the SEC including the final voting results from the Annual Meeting within four business days of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share an address with another stockholder. Why did we receive only one set of Proxy Materials?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Some brokerage firms, banks, broker-dealers and other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brokerage firm, bank, broker-dealer or other nominee that holds your shares. If your shares are registered in your own name and you want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receive separate copies of the Proxy Materials in the future, or if you are receiving multiple copies and would like to receive only one copy for your household, please contact our transfer agent by writing to them at Computershare Trust Company, N.A., P.O. Box 505000, Louisville, KY 40233-5000, or by calling 1-(800)-736-3001.</w:t>
      </w:r>
    </w:p>
    <w:p>
      <w:pPr>
        <w:spacing w:after="0" w:line="9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Upon written request, we will promptly deliver a separate copy of the Proxy Materials to any stockholder at a shared address to which a single copy of any of those documents was delivered. To receive a separate copy of the Proxy Materials, you can contact Expensify Investor Relations at investors@expensify.com or by mail at EXFY Investor Relations,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 97204.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should I contact if I have additional questions?</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can contact Expensify Investor Relations at investors@expensify.com if you have additional questions related to the Annual Meeting. Stockholders who hold their shares in street name should contact the organization that holds their shares for additional information related to the Annual Meeting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1: Election of Directors</w:t>
      </w:r>
    </w:p>
    <w:p>
      <w:pPr>
        <w:spacing w:after="0" w:line="3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bylaws provide that our Board of Directors shall consist of such number of directors as shall from time to time be fixed by our Board of Directors. Currently, our Board of Directors is composed of eight members, three of whom have been determined by the Executive Committee on behalf of the Board of Directors to be independent directors as defined under the rules of The Nasdaq Stock Market LLC (“Nasdaq”). We do not have a classified board of directors. At each annual meeting of our stockholders, each of our directors will be elected by our stockholders to serve until the next annual meeting of our stockholders and until his or her successor is duly elected and qualified.</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Annual Meeting, the stockholders will vote on the election of the eight director nominees named in this Proxy Statement. Each of the directors elected at the Annual Meeting will hold office until the 2024 Annual Meeting of Stockholders (the “2024 Annual Meeting”) and until his or her successor has been duly elected and qualified. The Board of Directors has nominated Mr. David Barrett, Ms. Anu Muralidharan, Mr. Ryan Schaffer, Mr. Daniel Vidal, Mr. Jason Mills, Mr. Timothy L. Christen, Ms. Ellen Pao and Ms. Ying (Vivian) Liu for re-election to serve as the directors of the Company. The persons named as proxies in the enclosed proxy card will vote to elect each director nominee named in this Proxy Statement unless a stockholder indicates that his or her shares should be withheld with respect to one or more of such nominees.</w:t>
      </w:r>
    </w:p>
    <w:p>
      <w:pPr>
        <w:spacing w:after="0" w:line="11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We expect the Voting Trust to vote in favor of the eight nominees for directors. Please see “Certain Relationships and Related Party Transactions” below for a description of the Voting Trust Agreement.</w:t>
      </w:r>
    </w:p>
    <w:p>
      <w:pPr>
        <w:spacing w:after="0" w:line="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of Directors to fill the vacancy. All of the nominees are currently serving as directors and we do not expect that any of the nominees will be unavailable or will decline to serve. Each of the nominees for director has agreed to be named in this Proxy Statement and to serve as a director if elected.</w:t>
      </w:r>
    </w:p>
    <w:p>
      <w:pPr>
        <w:spacing w:after="0" w:line="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determining that each director should be nominated for re-election, our Board of Directors considered his or her service, business experience, prior directorships and the qualifications, attributes and skills described in the nominee’s biography set forth below under “Corporate Governance—Executive Officers and Directors.” We believe that our directors provide an appropriate mix of experience and skills relevant to the size and nature of our business.</w:t>
      </w:r>
    </w:p>
    <w:p>
      <w:pPr>
        <w:spacing w:after="0" w:line="149" w:lineRule="exact"/>
        <w:rPr>
          <w:sz w:val="20"/>
          <w:szCs w:val="20"/>
          <w:color w:val="auto"/>
        </w:rPr>
      </w:pPr>
    </w:p>
    <w:p>
      <w:pPr>
        <w:ind w:left="1320" w:right="260"/>
        <w:spacing w:after="0" w:line="234" w:lineRule="auto"/>
        <w:rPr>
          <w:sz w:val="20"/>
          <w:szCs w:val="20"/>
          <w:color w:val="auto"/>
        </w:rPr>
      </w:pPr>
      <w:r>
        <w:rPr>
          <w:rFonts w:ascii="Arial" w:cs="Arial" w:eastAsia="Arial" w:hAnsi="Arial"/>
          <w:sz w:val="17"/>
          <w:szCs w:val="17"/>
          <w:b w:val="1"/>
          <w:bCs w:val="1"/>
          <w:color w:val="auto"/>
        </w:rPr>
        <w:t>Our Executive Committee on behalf of our Board of Directors unanimously recommends that you vote “FOR” the election of each of Mr. Barrett, Mr. Schaffer, Ms. Muralidharan, Mr. Mills, Mr. Vidal, Mr. Christen, Ms. Liu and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-212090</wp:posOffset>
            </wp:positionV>
            <wp:extent cx="25717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b w:val="1"/>
          <w:bCs w:val="1"/>
          <w:color w:val="auto"/>
        </w:rPr>
        <w:t>Pao.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44"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Below is a list of the names and ages, as of April 28, 2023, of our directors and executive officers, and a description of the business experience of each of them. There are no family relationships among any of our executive officers or directors.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Age</w:t>
            </w:r>
          </w:p>
        </w:tc>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18"/>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18"/>
                <w:szCs w:val="18"/>
                <w:color w:val="auto"/>
              </w:rPr>
            </w:pPr>
          </w:p>
        </w:tc>
        <w:tc>
          <w:tcPr>
            <w:tcW w:w="6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Anuradha Muralidharan</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Operating Officer and Director</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Jason Mills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Daniel Vidal</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Timothy Christen</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Ellen Pao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Ying (Vivian) Liu</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0"/>
                <w:szCs w:val="20"/>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David Barrett </w:t>
      </w:r>
      <w:r>
        <w:rPr>
          <w:rFonts w:ascii="Arial" w:cs="Arial" w:eastAsia="Arial" w:hAnsi="Arial"/>
          <w:sz w:val="18"/>
          <w:szCs w:val="18"/>
          <w:color w:val="auto"/>
        </w:rPr>
        <w:t>founded Expensify and has served as our Chief Executive Officer and as a member of our board of directors since 2009.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Expensify, 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Ryan Schaffer </w:t>
      </w:r>
      <w:r>
        <w:rPr>
          <w:rFonts w:ascii="Arial" w:cs="Arial" w:eastAsia="Arial" w:hAnsi="Arial"/>
          <w:sz w:val="18"/>
          <w:szCs w:val="18"/>
          <w:color w:val="auto"/>
        </w:rPr>
        <w:t>has served as our Chief Financial Officer and a member of our board of directors since 2017, and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Anu Muralidharan </w:t>
      </w:r>
      <w:r>
        <w:rPr>
          <w:rFonts w:ascii="Arial" w:cs="Arial" w:eastAsia="Arial" w:hAnsi="Arial"/>
          <w:sz w:val="18"/>
          <w:szCs w:val="18"/>
          <w:color w:val="auto"/>
        </w:rPr>
        <w:t>has served as our Chief Operating Officer since January 2021 and a member of our board of directors since our IPO.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1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Jason Mills </w:t>
      </w:r>
      <w:r>
        <w:rPr>
          <w:rFonts w:ascii="Arial" w:cs="Arial" w:eastAsia="Arial" w:hAnsi="Arial"/>
          <w:sz w:val="18"/>
          <w:szCs w:val="18"/>
          <w:color w:val="auto"/>
        </w:rPr>
        <w:t>has served as a member of our board of directors since our IPO. Mr. Mills has served as our Chief Product Officer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he previously served as our Director of Product and Customers from January 2013 to May 2021. Prior to Expensify, Mr. Mills served as an 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board of directors due to his long history of leadership with our company, his perspective and experience as our Chief Product Officer and his comprehensive knowledge of our business.</w:t>
      </w:r>
    </w:p>
    <w:p>
      <w:pPr>
        <w:spacing w:after="0" w:line="7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Daniel Vidal </w:t>
      </w:r>
      <w:r>
        <w:rPr>
          <w:rFonts w:ascii="Arial" w:cs="Arial" w:eastAsia="Arial" w:hAnsi="Arial"/>
          <w:sz w:val="18"/>
          <w:szCs w:val="18"/>
          <w:color w:val="auto"/>
        </w:rPr>
        <w:t>has served as a member of our board of directors since our IPO. Mr. Vidal has served as our Chief Strategy Officer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Timothy L. Christen </w:t>
      </w:r>
      <w:r>
        <w:rPr>
          <w:rFonts w:ascii="Arial" w:cs="Arial" w:eastAsia="Arial" w:hAnsi="Arial"/>
          <w:sz w:val="17"/>
          <w:szCs w:val="17"/>
          <w:color w:val="auto"/>
        </w:rPr>
        <w:t>has served on our board of directors since the effectiveness of our IPO registration statement. Mr. Christen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boards of various publicly traded companies.</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Ying (Vivian) Liu </w:t>
      </w:r>
      <w:r>
        <w:rPr>
          <w:rFonts w:ascii="Arial" w:cs="Arial" w:eastAsia="Arial" w:hAnsi="Arial"/>
          <w:sz w:val="18"/>
          <w:szCs w:val="18"/>
          <w:color w:val="auto"/>
        </w:rPr>
        <w:t>has served on our board of directors since our IPO. Ms. Liu has served as Chief Operating Officer and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ContextLogic, Inc. (d/b/a Wish), a mobile ecommerce platform since November 2021. Prior to Wish, Ms. Liu served as Chief Financial Officer of Shutterfly, Inc., a retailer and manufacturing platform for personalized products, from April 2020 to November 2021.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Ellen Pao </w:t>
      </w:r>
      <w:r>
        <w:rPr>
          <w:rFonts w:ascii="Arial" w:cs="Arial" w:eastAsia="Arial" w:hAnsi="Arial"/>
          <w:sz w:val="18"/>
          <w:szCs w:val="18"/>
          <w:color w:val="auto"/>
        </w:rPr>
        <w:t>has served on our board of directors since our IPO. Ms. Pao cofounded and has lead Project Include, a nonprofit advocating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diversity, equity and inclusion in technology companies, since December 2015. Ms. Pao has served as Chief Executive Officer and as a board member of Project Include since January 2017. Prior to Project Include, Ms. Pao served as Interim Chief Executive Officer and Executive Vice President of Business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5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Because the Voting Trust controls more than 50% of the voting power of our outstanding common stock, we are considered a “controlled company” within the meaning of the corporate governance standards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Nasdaq. As a “controlled company”, we are permitted to and elect not to comply with certain corporate governance requirements of the Nasdaq, including the requirements that (i) a majority of our Board of Directors consist of independent directors, (ii) we either establish a nominating and corporate governance committee composed entirely of independent directors or ensure that nominees for director are determined or recommended to the Board of Directors by a majority of the independent members of the Board of Directors and (iii) we establish a compensation committee composed entirely of independent directors. For an indeterminate period, we intend to utilize these exemptions. As a result, although the Audit Committee of our Board (the “Audit Committee”) is fully independent as required by Nasdaq listing standards, we do not have a nominating and corporate governance committee, and the members of our Board’s Compensation Committee (the “Compensation Committee”) are not independent directors. Additionally, a majority of our directors are not currently independent and we do not expect in the immediate future that the majority of our directors will be independent. Accordingly, although we may transition to a Board with a majority of independent directors prior to the time we cease to be a “controlled company,” for such period of time our stockholders will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Executive Committee on behalf of our Board of Directors undertook a review of the Board of Directors’ composition, the composition of its committees and the independence of our directors and considered whether any director has a material relationship with us that could compromise that director’s ability to exercise independent judgment in carrying out that director’s responsibilities. Based upon information requested from and provided by each director, our Executive Committee on behalf of our Board of Directors has affirmatively determined that Mr. Christen, Ms. Liu and Ms. Pao are each an “independent director,” as defined under the Securities Exchange Act of 1934, as amended (the “Exchange Act”), and the rules of Nasdaq.</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Executive Committee on behalf of the Board of Directors is responsible for identifying, evaluating and nominating candidates to serve on the Board of Directors and its committees. In evaluating director candidates, the Executive Committee considers the criteria set forth in our Corporate Governance Guidelines, as well as any other factors that they deem to be relevant, including:</w:t>
      </w:r>
    </w:p>
    <w:p>
      <w:pPr>
        <w:spacing w:after="0" w:line="10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executive and directorial experience;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professional and academic experience relevant to the Company’s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strength of the candidate’s leadership skills;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experience in finance and accounting and/or executive compensation practices;</w:t>
      </w:r>
    </w:p>
    <w:p>
      <w:pPr>
        <w:spacing w:after="0" w:line="15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candidate has the time required for preparation, participation, and attendance at meetings of the Board of Directors and committee meetings, if applicable;</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geographic background, gender, age and ethnicity;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experience at the Company, in the case of director candidates intended to sit on the Executive Committee.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Generally, the Executive Committee will consider candidates who have a high level of personal and professional integrity, strong ethics and the ability to make mature business judgments. The Executive Committee and the Board monitor the mix of specific experience, qualifications and skills of its directors in order to assure that the Board, as a whole, has the necessary tools to perform its oversight function effectively in light of the Company’s business and structure. Although the Executive Committee may consider whether nominees assist in achieving a mix of board members that represents a diversity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background and experience, which is not only limited to race, gender or national origin, we have no formal policy regarding board diversity.</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Committee will consider a candidate nominated by a stockholder in a manner consistent with its evaluation of potential nominees. Any recommendation submitted to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and must otherwise comply with the requirements under our amended and restated bylaws for stockholders to recommend director nominees.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Stockholder nominees should be submitted to the Company’s Secretary at the Company’s principal executive offices. All recommendations for director nominations received by the Secretary that satisfy requirements set forth in the SEC rules and in our amended and restated bylaws relating to such nominations will be presented to the Executive Committee for its consideration. Stockholders must also satisfy the notification, timeliness, consent and information requirements set forth in our amended and restated bylaws. These timing requirements are also described in this Proxy Statement under the caption “Stockholder Proposals.”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BOARD OF DIRECTORS AND ATTENDANCE</w:t>
      </w:r>
    </w:p>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fiscal 2022, our Board of Directors held four meetings, our Compensation Committee held four meetings and our Audit Committee held five meetings. During fiscal 2022, each director attended at least 75% of the total number of meetings of the Board of Directors and committees on which the director served. Members of our Board of Directors are encouraged to attend annual meetings of stockholders; however we do not have a formal policy regarding attendance of directors at our annual meetings of stockholders. All of our directors, with the exception of one, attended our 2022 Annual Meeting of Stockholders.</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chair of the Audit Committee, or in his or her absence a director designated by the chair of the Audit Committee, presides over executive sessions of the independent directors, which are held on a regularly scheduled basis, not less than once per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4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Any stockholder or other interested party who would like to communicate with the Board of Directors, the independent directors as a group or any specific member or members of the Board of Directors should send such communications to the attention of our Secretary at Expensify, Inc.,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 97204. Communications should contain instructions specifying for which member or members of the Board of Directors the communication is intended. Such communications generally will be forwarded to the intended recipients. However, our Secretary may, in his sole discretion, decline to forward any communications that are inappropriate.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5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table below provides certain highlights of the composition of our Board members and nominees as of April 28, 2023. Each of the categories listed in the table below has the meaning as it is used in Nasdaq Rule 5605(f).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Size: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ind w:left="260"/>
              <w:spacing w:after="0"/>
              <w:rPr>
                <w:sz w:val="20"/>
                <w:szCs w:val="20"/>
                <w:color w:val="auto"/>
              </w:rPr>
            </w:pPr>
            <w:r>
              <w:rPr>
                <w:rFonts w:ascii="Arial" w:cs="Arial" w:eastAsia="Arial" w:hAnsi="Arial"/>
                <w:sz w:val="18"/>
                <w:szCs w:val="18"/>
                <w:color w:val="auto"/>
              </w:rPr>
              <w:t>Total Number of Directors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color w:val="auto"/>
              </w:rPr>
              <w:t>8</w:t>
            </w:r>
          </w:p>
        </w:tc>
        <w:tc>
          <w:tcPr>
            <w:tcW w:w="2320" w:type="dxa"/>
            <w:vAlign w:val="bottom"/>
          </w:tcPr>
          <w:p>
            <w:pPr>
              <w:spacing w:after="0"/>
              <w:rPr>
                <w:sz w:val="18"/>
                <w:szCs w:val="18"/>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Gender:</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Male</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Female</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Non-Binary</w:t>
            </w:r>
          </w:p>
        </w:tc>
        <w:tc>
          <w:tcPr>
            <w:tcW w:w="23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Gender Undisclosed</w:t>
            </w:r>
          </w:p>
        </w:tc>
      </w:tr>
      <w:tr>
        <w:trPr>
          <w:trHeight w:val="223"/>
        </w:trPr>
        <w:tc>
          <w:tcPr>
            <w:tcW w:w="55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9"/>
        </w:trPr>
        <w:tc>
          <w:tcPr>
            <w:tcW w:w="5580" w:type="dxa"/>
            <w:vAlign w:val="bottom"/>
          </w:tcPr>
          <w:p>
            <w:pPr>
              <w:ind w:left="260"/>
              <w:spacing w:after="0"/>
              <w:rPr>
                <w:sz w:val="20"/>
                <w:szCs w:val="20"/>
                <w:color w:val="auto"/>
              </w:rPr>
            </w:pPr>
            <w:r>
              <w:rPr>
                <w:rFonts w:ascii="Arial" w:cs="Arial" w:eastAsia="Arial" w:hAnsi="Arial"/>
                <w:sz w:val="18"/>
                <w:szCs w:val="18"/>
                <w:color w:val="auto"/>
              </w:rPr>
              <w:t>African American or Black</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Alaskan Native or American Indian</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9"/>
        </w:trPr>
        <w:tc>
          <w:tcPr>
            <w:tcW w:w="5580" w:type="dxa"/>
            <w:vAlign w:val="bottom"/>
          </w:tcPr>
          <w:p>
            <w:pPr>
              <w:ind w:left="260"/>
              <w:spacing w:after="0"/>
              <w:rPr>
                <w:sz w:val="20"/>
                <w:szCs w:val="20"/>
                <w:color w:val="auto"/>
              </w:rPr>
            </w:pPr>
            <w:r>
              <w:rPr>
                <w:rFonts w:ascii="Arial" w:cs="Arial" w:eastAsia="Arial" w:hAnsi="Arial"/>
                <w:sz w:val="18"/>
                <w:szCs w:val="18"/>
                <w:color w:val="auto"/>
              </w:rPr>
              <w:t>Asian</w:t>
            </w:r>
          </w:p>
        </w:tc>
        <w:tc>
          <w:tcPr>
            <w:tcW w:w="8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29"/>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Hispanic or Latinx</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Native Hawaiian or Pacific Islander</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29"/>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Two or More Races or Ethnicities</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29"/>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LGBTQ+</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9"/>
        </w:trPr>
        <w:tc>
          <w:tcPr>
            <w:tcW w:w="5580" w:type="dxa"/>
            <w:vAlign w:val="bottom"/>
          </w:tcPr>
          <w:p>
            <w:pPr>
              <w:ind w:left="260"/>
              <w:spacing w:after="0"/>
              <w:rPr>
                <w:sz w:val="20"/>
                <w:szCs w:val="20"/>
                <w:color w:val="auto"/>
              </w:rPr>
            </w:pPr>
            <w:r>
              <w:rPr>
                <w:rFonts w:ascii="Arial" w:cs="Arial" w:eastAsia="Arial" w:hAnsi="Arial"/>
                <w:sz w:val="18"/>
                <w:szCs w:val="18"/>
                <w:color w:val="auto"/>
              </w:rPr>
              <w:t>Undisclosed</w:t>
            </w: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We established a Compensation Committee in March 2022. As a “controlled company” under Nasdaq’s rules and corporate governance standards, we are not required to have a nominating and corporate governance committee. In addition, from time to time, other committees may be established by the Board of Directors when necessary.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56"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Our amended and restated certificate of incorporation provides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w:t>
      </w:r>
    </w:p>
    <w:p>
      <w:pPr>
        <w:spacing w:after="0" w:line="1" w:lineRule="exact"/>
        <w:rPr>
          <w:sz w:val="20"/>
          <w:szCs w:val="20"/>
          <w:color w:val="auto"/>
        </w:rPr>
      </w:pPr>
    </w:p>
    <w:p>
      <w:pPr>
        <w:ind w:right="20" w:firstLine="8"/>
        <w:spacing w:after="0" w:line="254"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Executive Committee may not delegate any or all of its powers and authority to a subcommittee. Our Executive Committee consists of Messrs. Barrett, Schaffer, Mills and Vidal and Ms. Muralidharan.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57"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5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 Committee consists of Mr. Christen, Ms. Liu and Ms. Pao, with Mr. Christen serving as chair. Rule 10A-3 of the Exchange Act and Nasdaq rules require that our Audit Committee be composed entirely of independent members. Our Executive Committee on behalf of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Nasdaq listing standards. In addition, our Executive Committee on behalf of our Board of Directors has determined that Mr. Christen qualifies as an “audit committee financial expert,” as such term is defined in Item 407(d)(5) of Regulation S-K. Our Audit Committee operates under a written charter which satisfies the applicable listing standards of Nasdaq and which is available on our website at investors.expensify.com.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44" w:lineRule="exact"/>
        <w:rPr>
          <w:sz w:val="20"/>
          <w:szCs w:val="20"/>
          <w:color w:val="auto"/>
        </w:rPr>
      </w:pPr>
    </w:p>
    <w:p>
      <w:pPr>
        <w:ind w:left="660" w:right="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our compensation algorithm used to determine the compensation of all employees, including the Chief Executive Officer and all other executive officers. To the extent the compensation of any executive officer, including the Chief Executive Officer, is addressed outside of the algorithm, the Compensation Committee, excluding the applicable officer, reviews and approves such compensation;</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to our Executive Committee, or, if required, our Board of Directors the compensation of our directors;</w:t>
      </w:r>
    </w:p>
    <w:p>
      <w:pPr>
        <w:spacing w:after="0" w:line="157"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advisors and assessing whether there are any conflicts of interest with any of the Compensation Committee’s compensation consultants or advisors; and</w:t>
      </w:r>
    </w:p>
    <w:p>
      <w:pPr>
        <w:spacing w:after="0" w:line="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Executive Committee, or, if required, our Board of Directors approve, incentive compensation and equity plans.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Committee currently consists of Messrs. Barrett, Schaffer, Mills and Vidal and Ms. Muralidharan with Mr. Barrett serving as chair. Mr. Barrett, Mr. Schaffer and Ms. Muralidharan, each an executive officer, participate in the deliberations of the Compensation Committee in determining executive officer and director compensation, except as otherwise determined by the Compensation Committee. As a controlled company, we rely upon the exemption from the requirement that we have a Compensation Committee composed entirely of independent directors. The Compensation Committee may delegate any or all of its responsibilities to a subcommittee of the committee. In March 2022,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Compensation Committee engaged Semler Brossy Consulting Group LLP (“Semler Brossy”) to serve as its compensation consultant to review and assess the compensation of our executive officers and other officers. Our compensation committee operates under a written charter which satisfies the applicable listing standards of Nasdaq and which is available on our website at ir.expensify.com.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Compensation Committee, including our executive officers Mr. Barrett and Mr. Schaffer, participated in deliberations regarding the algorithm used to determine the compensation of all employees, including all executive officers. To the extent compensation of one of our executive officers was addressed outside of the algorithm, the applicable executive officer did not participate in such deliberations. Except as described below in the section titled “Related Person Transactions,” none of our Board members for fiscal 2022 had or have any relationships with the company during the last completed fiscal year that are required to be disclosed under Item 404 of Regulation S-K. None of our executive officers currently serve, or have served during the last completed fiscal year, on the compensation committee or board of directors of any other entity that has one or more executive officers serving as a member of our Board of Directors or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4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Corporate Governance Guidelines provide our independent directors the flexibility to elect a lead director if the chairperson of the Board of Directors is a member of management or does not otherwise qualify as independent. Our Board of Directors currently does not have a chairperson (or a lead director) and currently believes that our existing leadership structure is effective. Our Board of Directors will continue to periodically review our leadership structure and may make such changes in the future as it deems appropriate.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our material environmental, social and governance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CONDUCT</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adopted a written code of ethics and conduct that applies to our directors, officers and employees, including our principal executive officer, principal financial officer, principal accounting officer or controller, or persons performing similar functions. A copy of the code is available on our investor relations website at ir.expensify.com. In addition, we intend to post on our investor relations website all disclosures that are required by law or the listing standards concerning any amendments to, or waivers from, any provision of the code. The information on or accessed through our website is deemed not to be incorporated in or part of this Proxy Statement or any other document filed with or furnished to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adopted written corporate governance guidelines to assist the Board in the exercise of its responsibilities. A copy of the corporate governance guidelines is available on our investor relations website at ir.expensify.com. The information on or accessed through our website is deemed not to be incorporated in or part of this Proxy Statement or any other document filed with or furnished to the SEC.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Board of Directors has adopted an Insider Trading Policy, which applies to all of our directors, officers and employees. The policy prohibits our directors, officers and employees from engaging in transactions intended to hedge or offset the market value of Expensify stock owned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Environmental, Social, and Governance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ESG PRINCIPLES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can be no sustainable, profitable growth without a market that is fair, inclusive and universal. We believe that defending, improving and expanding this market is a core responsibility of any business that intends to last as long as we do.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may expand disclosures in these areas in the future - consistent with our commitment to developing a long-term sustainable business.</w:t>
      </w:r>
    </w:p>
    <w:p>
      <w:pPr>
        <w:spacing w:after="0" w:line="115" w:lineRule="exact"/>
        <w:rPr>
          <w:sz w:val="20"/>
          <w:szCs w:val="20"/>
          <w:color w:val="auto"/>
        </w:rPr>
      </w:pPr>
    </w:p>
    <w:p>
      <w:pPr>
        <w:ind w:left="660" w:right="2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Managing systemic risks from technology disruptions</w:t>
      </w:r>
      <w:r>
        <w:rPr>
          <w:rFonts w:ascii="Arial" w:cs="Arial" w:eastAsia="Arial" w:hAnsi="Arial"/>
          <w:sz w:val="18"/>
          <w:szCs w:val="18"/>
          <w:color w:val="auto"/>
        </w:rPr>
        <w:t>. Expensify is an always-on, business-critical service, committed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reliability. 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 issues, and conduct pre-scheduled maintenance without service interruptions. From January 1, 2022, to December 31, 2022, our average service uptime was over 99.9%, exceeding our target of three nines.</w:t>
      </w:r>
    </w:p>
    <w:p>
      <w:pPr>
        <w:spacing w:after="0" w:line="10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Ethics and conduct related to financial services products</w:t>
      </w:r>
      <w:r>
        <w:rPr>
          <w:rFonts w:ascii="Arial" w:cs="Arial" w:eastAsia="Arial" w:hAnsi="Arial"/>
          <w:sz w:val="18"/>
          <w:szCs w:val="18"/>
          <w:color w:val="auto"/>
        </w:rPr>
        <w:t>. At Expensify, we prioritize trust, and the safety and security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services products. Maintaining trust with our members is crucial for our brand reputation. We have robust internal controls to facilitate regulatory compliance and protect stockholder and customer value.</w:t>
      </w:r>
    </w:p>
    <w:p>
      <w:pPr>
        <w:spacing w:after="0" w:line="10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Recruiting &amp; managing a global, diverse &amp; skilled workforce</w:t>
      </w:r>
      <w:r>
        <w:rPr>
          <w:rFonts w:ascii="Arial" w:cs="Arial" w:eastAsia="Arial" w:hAnsi="Arial"/>
          <w:sz w:val="18"/>
          <w:szCs w:val="18"/>
          <w:color w:val="auto"/>
        </w:rPr>
        <w:t>. Attracting and retaining a diverse and global workforce,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different 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115"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w:t>
      </w:r>
      <w:r>
        <w:rPr>
          <w:rFonts w:ascii="Arial" w:cs="Arial" w:eastAsia="Arial" w:hAnsi="Arial"/>
          <w:sz w:val="18"/>
          <w:szCs w:val="18"/>
          <w:color w:val="auto"/>
        </w:rPr>
        <w:t>. Customer privacy and maintaining customer trust is fundamental to Expensify’s success. We prioritize strong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privacy practices, 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16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Data security</w:t>
      </w:r>
      <w:r>
        <w:rPr>
          <w:rFonts w:ascii="Arial" w:cs="Arial" w:eastAsia="Arial" w:hAnsi="Arial"/>
          <w:sz w:val="18"/>
          <w:szCs w:val="18"/>
          <w:color w:val="auto"/>
        </w:rPr>
        <w:t>. Data security is essential to maintaining our members' trust, because we process and store sensitive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personally identifiable 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95" w:lineRule="exact"/>
        <w:rPr>
          <w:rFonts w:ascii="Arial" w:cs="Arial" w:eastAsia="Arial" w:hAnsi="Arial"/>
          <w:sz w:val="18"/>
          <w:szCs w:val="18"/>
          <w:color w:val="auto"/>
        </w:rPr>
      </w:pPr>
    </w:p>
    <w:p>
      <w:pPr>
        <w:ind w:left="660" w:hanging="328"/>
        <w:spacing w:after="0" w:line="219" w:lineRule="exact"/>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footprint of hardware infrastructure and emissions</w:t>
      </w:r>
      <w:r>
        <w:rPr>
          <w:rFonts w:ascii="Arial" w:cs="Arial" w:eastAsia="Arial" w:hAnsi="Arial"/>
          <w:sz w:val="18"/>
          <w:szCs w:val="18"/>
          <w:color w:val="auto"/>
        </w:rPr>
        <w:t>. We recognize the environmental impacts of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impacts to our 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In September 2021, we estimated our annual GHG emissions would be 4,736 tCO</w:t>
      </w:r>
      <w:r>
        <w:rPr>
          <w:rFonts w:ascii="MS PGothic" w:cs="MS PGothic" w:eastAsia="MS PGothic" w:hAnsi="MS PGothic"/>
          <w:sz w:val="18"/>
          <w:szCs w:val="18"/>
          <w:color w:val="auto"/>
        </w:rPr>
        <w:t>₂</w:t>
      </w:r>
      <w:r>
        <w:rPr>
          <w:rFonts w:ascii="Arial" w:cs="Arial" w:eastAsia="Arial" w:hAnsi="Arial"/>
          <w:sz w:val="18"/>
          <w:szCs w:val="18"/>
          <w:color w:val="auto"/>
        </w:rPr>
        <w:t>e for the year ended December 31, 2021, and as of September 2021, we successfully offset our projected annual carbon footprint based on that estimate with the goal of being carbon neutral for the year. We are currently in the process of evaluating our annual GHG emissions for the year ended December 31, 2022 and plan to offset our carbon footprint for the year once calculated.</w:t>
      </w:r>
    </w:p>
    <w:p>
      <w:pPr>
        <w:spacing w:after="0" w:line="130"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Climate risks</w:t>
      </w:r>
      <w:r>
        <w:rPr>
          <w:rFonts w:ascii="Arial" w:cs="Arial" w:eastAsia="Arial" w:hAnsi="Arial"/>
          <w:sz w:val="18"/>
          <w:szCs w:val="18"/>
          <w:color w:val="auto"/>
        </w:rPr>
        <w:t>. We recognize the risks posed by climate change to our operations and revenue, including risks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to a low-carbon economy and the physical impacts of climate change. Our efforts to become carbon neutral are one part of our commitment to addressing climate change.</w:t>
      </w:r>
    </w:p>
    <w:p>
      <w:pPr>
        <w:spacing w:after="0" w:line="103" w:lineRule="exact"/>
        <w:rPr>
          <w:rFonts w:ascii="Arial" w:cs="Arial" w:eastAsia="Arial" w:hAnsi="Arial"/>
          <w:sz w:val="18"/>
          <w:szCs w:val="18"/>
          <w:color w:val="auto"/>
        </w:rPr>
      </w:pPr>
    </w:p>
    <w:p>
      <w:pPr>
        <w:jc w:val="both"/>
        <w:ind w:left="660" w:right="4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 to long term thinking</w:t>
      </w:r>
      <w:r>
        <w:rPr>
          <w:rFonts w:ascii="Arial" w:cs="Arial" w:eastAsia="Arial" w:hAnsi="Arial"/>
          <w:sz w:val="18"/>
          <w:szCs w:val="18"/>
          <w:color w:val="auto"/>
        </w:rPr>
        <w:t>. We believe that our environment, society, shareholders, and overall company will be best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if we remain focused on the long-term impacts of the decisions we make as a business. We aim to align all stakeholders around long-term thinking.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960"/>
        <w:spacing w:after="0" w:line="298" w:lineRule="auto"/>
        <w:rPr>
          <w:sz w:val="20"/>
          <w:szCs w:val="20"/>
          <w:color w:val="auto"/>
        </w:rPr>
      </w:pPr>
      <w:r>
        <w:rPr>
          <w:rFonts w:ascii="Arial" w:cs="Arial" w:eastAsia="Arial" w:hAnsi="Arial"/>
          <w:sz w:val="32"/>
          <w:szCs w:val="32"/>
          <w:b w:val="1"/>
          <w:bCs w:val="1"/>
          <w:color w:val="auto"/>
        </w:rPr>
        <w:t>Proposal 2: Ratification of Appointment of Independent Registered Public Accounting Firm</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independent external audit firm retained to audit the Company’s financial statements. Our Audit Committee has selected EY to serve as our independent registered public accounting firm to audit the consolidated financial statements of the Company for the fiscal year ending December 31, 2023. EY has served as our independent registered public accounting firm since 2020.</w:t>
      </w:r>
    </w:p>
    <w:p>
      <w:pPr>
        <w:spacing w:after="0" w:line="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Stockholders are not required to ratify the appointment of EY as our independent registered public accounting firm. However, as a matter of good corporate governance, we are asking our stockholders to ratify the selection of EY as our independent registered public accounting firm for the fiscal year ending December 31, 2023. If stockholders fail to ratify the appointment, the Audit Committee will consider whether or not to retain EY. Even if the appointment is ratified, the Audit Committee, in its discretion, may direct the appointment of a different independent registered public accounting firm at any time during the year if it determines that such a change would be in the best interests of the Company and our stockholders.</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Representatives of EY will be present at the Annual Meeting, will have the opportunity to make a statement if they desire to do so and will be available to respond to appropriate questions.</w:t>
      </w:r>
    </w:p>
    <w:p>
      <w:pPr>
        <w:spacing w:after="0" w:line="126" w:lineRule="exact"/>
        <w:rPr>
          <w:sz w:val="20"/>
          <w:szCs w:val="20"/>
          <w:color w:val="auto"/>
        </w:rPr>
      </w:pPr>
    </w:p>
    <w:p>
      <w:pPr>
        <w:ind w:left="1320" w:right="260"/>
        <w:spacing w:after="0" w:line="231" w:lineRule="auto"/>
        <w:rPr>
          <w:sz w:val="20"/>
          <w:szCs w:val="20"/>
          <w:color w:val="auto"/>
        </w:rPr>
      </w:pPr>
      <w:r>
        <w:rPr>
          <w:rFonts w:ascii="Arial" w:cs="Arial" w:eastAsia="Arial" w:hAnsi="Arial"/>
          <w:sz w:val="18"/>
          <w:szCs w:val="18"/>
          <w:b w:val="1"/>
          <w:bCs w:val="1"/>
          <w:color w:val="auto"/>
        </w:rPr>
        <w:t>Our Executive Committee on behalf of our Board of Directors unanimously recommends that you vote “FOR” the ratification of EY as our independent registered public accounting firm 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-349885</wp:posOffset>
            </wp:positionV>
            <wp:extent cx="257175"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aggregate fees billed by EY to the Company for the fiscal years ended December 31, 2022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223"/>
        </w:trPr>
        <w:tc>
          <w:tcPr>
            <w:tcW w:w="6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3,825,410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3,311,790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3,828,880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3,313,790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40" w:right="60" w:hanging="332"/>
        <w:spacing w:after="0" w:line="263" w:lineRule="auto"/>
        <w:tabs>
          <w:tab w:leader="none" w:pos="37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fiscal 2021, Audit Fees consist of fees billed for audit services related to the audit of our 2021 annual consolidated financial statements, review of our quarterly consolidated financial statements; review of Form S-1s, comfort letters, consents and assistance with and review of other documents filed with the SEC; audit services provided in connection with other statutory and regulatory filings; and other accounting and financial reporting consultation and research work billed as audit fees or necessary to comply with the standards of the Public Company Accounting Oversight Board. For fiscal 2022, Audit Fees consist of fees billed for audit services related to the audit of our 2022 annual consolidated financial statements, review of our quarterly consolidated financial statements; audit services provided in connection with other statutory and regulatory filings; and other accounting and financial reporting consultation and research work billed as audit fees or necessary to comply with the standards of the Public Company Accounting Oversight Board.</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Other Fees consists of fees billed for permitted products and services not included in the first three categories.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Consistent with the requirements of the SEC and the Public Company Accounting Oversight Board regarding auditor independence, our Audit Committee is responsible for appointing, setting compensation for, and overseeing the work of our independent registered public accounting firm. In recognition of this responsibility, our Audit Committee pre-approves all audit and permissible non-audit services provided by the independent registered public accounting firm. These services may include audit services, audit-related services, tax services and other services. All services performed by EY for the Company and its subsidiaries pursuant to engagements entered into since our IPO have been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Audit Committee</w:t>
      </w:r>
    </w:p>
    <w:p>
      <w:pPr>
        <w:spacing w:after="0" w:line="3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principal purpose of the Audit Committee is to assist the Board of Directors in its general oversight of our accounting practices, system of internal controls, audit processes and financial reporting processes and is governed by its charter. The Audit Committee is responsible for appointing and retaining our independent auditor and approving the audit and non-audit services to be provided by the independent auditor.</w:t>
      </w:r>
    </w:p>
    <w:p>
      <w:pPr>
        <w:spacing w:after="0" w:line="1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Management is responsible for preparing the financial statements and ensuring they are complete and accurate and prepared in accordance with generally accepted accounting principles. EY,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Audit Committee has reviewed and discussed with our management and EY our audited consolidated financial statements for the year ended December 31, 2022. Our Audit Committee has also discussed with EY the matters required to be discussed by the applicable requirements of the Public Company Accounting Oversight Board and the SEC.</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has received and reviewed the written disclosures and the letter from EY required by applicable requirements of the Public Company Accounting Oversight Board regarding EY’s communications with our Audit Committee concerning independence, and has discussed with EY its independence from us.</w:t>
      </w:r>
    </w:p>
    <w:p>
      <w:pPr>
        <w:spacing w:after="0" w:line="10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Based on the above-mentioned review and discussions, the Audit Committee recommended to our Board of Directors that the audited consolidated financial statements be included in our Annual Report on Form 10-K for the year ended December 31, 2022 for filing with the SEC.</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Audit Committee</w:t>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Tim Christen (Chairperson)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Ellen Pao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Vivian Liu</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60"/>
        <w:spacing w:after="0" w:line="298" w:lineRule="auto"/>
        <w:rPr>
          <w:sz w:val="20"/>
          <w:szCs w:val="20"/>
          <w:color w:val="auto"/>
        </w:rPr>
      </w:pPr>
      <w:r>
        <w:rPr>
          <w:rFonts w:ascii="Arial" w:cs="Arial" w:eastAsia="Arial" w:hAnsi="Arial"/>
          <w:sz w:val="32"/>
          <w:szCs w:val="32"/>
          <w:b w:val="1"/>
          <w:bCs w:val="1"/>
          <w:color w:val="auto"/>
        </w:rPr>
        <w:t>Proposal 3: Frequency of Future Advisory Votes on Executive Compensation</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Section 14A of the Exchange Act we are presenting this non-binding advisory stockholder vote with respect to the frequency on which stockholders should have an opportunity to provide a “say-on-pay” vote. This vote is commonly known as the “say-on-frequency” vote. By voting on this proposal, stockholders may indicate whether they prefer that the Company provide for such a stockholder advisory vote at future annual meetings every one year, two years or three years. Stockholders may also abstain from the vote. As 2024 is the first year in which we are required to hold an advisory vote on executive compensation pursuant to the rules of the SEC, we do not currently have an established frequency for such votes.</w:t>
      </w:r>
    </w:p>
    <w:p>
      <w:pPr>
        <w:spacing w:after="0" w:line="1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Executive Committee on behalf of the Board of Directors believes that providing stockholders an advisory vote on the compensation of our named executive officers every year provides stockholders with the opportunity to provide regular direct input to the Board of Directors and its Compensation Committee about the Company’s executive compensation program.</w:t>
      </w:r>
    </w:p>
    <w:p>
      <w:pPr>
        <w:spacing w:after="0" w:line="1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Because your vote is advisory, it will not be binding upon the Company or the Board of Directors. The Board of Directors may determine that it is in the best interests of our stockholders and the Company to hold a say-on-pay vote more or less frequently than may be determined by this advisory vote of our stockholders. Nonetheless, the Compensation Committee and the Board of Directors will take into account the outcome of this advisory vote when considering how frequently to seek an advisory say-on-pay vote in future years.</w:t>
      </w:r>
    </w:p>
    <w:p>
      <w:pPr>
        <w:spacing w:after="0" w:line="10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While the Executive Committee on behalf of the Board of Directors recommends that a say-on-pay vote occur every year, you are not voting to approve or disapprove of the Executive Committee’s recommendation. Rather, you will be able to express your preference regarding the frequency of future say-on-pay votes, as follows: every (i) one year, (ii) two years, or (iii) three years, or (iv)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257175"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51" w:lineRule="exact"/>
        <w:rPr>
          <w:sz w:val="20"/>
          <w:szCs w:val="20"/>
          <w:color w:val="auto"/>
        </w:rPr>
      </w:pPr>
    </w:p>
    <w:p>
      <w:pPr>
        <w:ind w:left="1320" w:right="500"/>
        <w:spacing w:after="0" w:line="295" w:lineRule="auto"/>
        <w:rPr>
          <w:sz w:val="20"/>
          <w:szCs w:val="20"/>
          <w:color w:val="auto"/>
        </w:rPr>
      </w:pPr>
      <w:r>
        <w:rPr>
          <w:rFonts w:ascii="Arial" w:cs="Arial" w:eastAsia="Arial" w:hAnsi="Arial"/>
          <w:sz w:val="17"/>
          <w:szCs w:val="17"/>
          <w:b w:val="1"/>
          <w:bCs w:val="1"/>
          <w:color w:val="auto"/>
        </w:rPr>
        <w:t>Our Executive Committee on behalf of our Board of Directors unanimously recommends that you vote for the option of “ONE YEAR” for the frequency of future non-binding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maintain a Non-Employee Director Compensation Program that is applicable to our directors who are not serving as our employees (each a “Non-Employee Director”). Directors who are employed by us did not receive additional compensation for their services as directors in fiscal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w:t>
      </w:r>
    </w:p>
    <w:p>
      <w:pPr>
        <w:spacing w:after="0" w:line="158"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Each Non-Employee Director receives an annual cash retainer for his or her services equal to $30,000 plus any committee specific retainers (together the “Annual Retainer”), payable quarterly in arrears, and pro-rated to reflect any partial year served. Audit Committee members are paid an additional $ 10,000, except that the chair of the Audit Committee is paid an additional $20,000. Non-Employee Directors may elect to receive 0 - 100% of their retainer in the form of a grant of restricted stock units (“RSUs”) instead of cash (each, a “Retainer RSU Award”).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RSU constitutes the right to receive a single share of our Class A common stock. Each Retainer RSU Award will automatically be granted on the fifth day of the month immediately following the end of the quarter for which the corresponding portion of the Annual Retainer was earned. The number of RSUs granted is calculated by dividing the dollar value of the portion of the annual retainer that would have otherwise been paid to such Non-Employee Director in cash on the applicable grant date by (ii) the average per share closing trading price of our Class A common stock over the 30 consecutive trading days ending on the trading day immediately preceding the grant date. Each Retainer RSU Award is fully vested on the grant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Non-Employee Director Compensation Program, each Non-Employee Director who was initially elected or appointed to serve on our Board on or after our IPO was granted an award of a number of RSUs equal to (i) $250,000 divided by (ii) the average per share closing trading price of our Class A common stock over the 30 consecutive trading days ending on the trading day immediately preceding the grant date or, solely for Non-Employee Directors who commenced service on the date of the IPO, the offering price to the public in the IPO (the “Initial RSU Award”). The Initial RSU Award is automatically granted on the date on which such Non-Employee Director commences service on the Board. The Initial RSU Award vests over a three year period in twelve substantially equal quarterly installments, subject to the Non-Employee Director’s continued service on the Board through each such vesting date.</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each Non-Employee Director who (i) has been serving on the Board for at least four months as of each annual meeting of our stockholders after the IPO and (ii) will continue to serve as a Non-Employee Director immediately following such meeting, will be granted an award of a number of RSUs calculated by dividing (i) $125,000 by (ii) the average per share closing trading price of our Class A common stock over the 30 consecutive trading days ending on the trading day immediately preceding the grant date (each, an “Annual RSU Award”). The Annual RSU Award will be automatically granted on the date of the applicable annual meeting of stockholders, and will vest in full on the earlier of (i) the first anniversary of the grant date and (ii) immediately before the annual meeting of stockholders following the grant date, subject to the Non-Employee Director’s continued service on the Board through such vesting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 regarding the fiscal 2022 compensation of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2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Fees Paid in Cash ($)</w:t>
            </w:r>
          </w:p>
        </w:tc>
        <w:tc>
          <w:tcPr>
            <w:tcW w:w="36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2"/>
          </w:tcPr>
          <w:p>
            <w:pPr>
              <w:ind w:left="240"/>
              <w:spacing w:after="0" w:line="256" w:lineRule="exact"/>
              <w:rPr>
                <w:sz w:val="20"/>
                <w:szCs w:val="20"/>
                <w:color w:val="auto"/>
              </w:rPr>
            </w:pPr>
            <w:r>
              <w:rPr>
                <w:rFonts w:ascii="Arial" w:cs="Arial" w:eastAsia="Arial" w:hAnsi="Arial"/>
                <w:sz w:val="18"/>
                <w:szCs w:val="18"/>
                <w:b w:val="1"/>
                <w:bCs w:val="1"/>
                <w:color w:val="auto"/>
              </w:rPr>
              <w:t>Stock Awards ($)</w:t>
            </w:r>
            <w:r>
              <w:rPr>
                <w:rFonts w:ascii="Arial" w:cs="Arial" w:eastAsia="Arial" w:hAnsi="Arial"/>
                <w:sz w:val="23"/>
                <w:szCs w:val="23"/>
                <w:b w:val="1"/>
                <w:bCs w:val="1"/>
                <w:color w:val="auto"/>
                <w:vertAlign w:val="superscript"/>
              </w:rPr>
              <w:t>(1)</w:t>
            </w:r>
          </w:p>
        </w:tc>
        <w:tc>
          <w:tcPr>
            <w:tcW w:w="62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Total</w:t>
            </w:r>
          </w:p>
        </w:tc>
      </w:tr>
      <w:tr>
        <w:trPr>
          <w:trHeight w:val="223"/>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Tim Christen</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112,106</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160,681</w:t>
            </w: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Vivian Liu</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38,866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112,106</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150,972</w:t>
            </w: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Ellen Pao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151,177</w:t>
            </w:r>
          </w:p>
        </w:tc>
      </w:tr>
      <w:tr>
        <w:trPr>
          <w:trHeight w:val="54"/>
        </w:trPr>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jc w:val="both"/>
        <w:ind w:left="340" w:right="220" w:hanging="332"/>
        <w:spacing w:after="0" w:line="281" w:lineRule="auto"/>
        <w:tabs>
          <w:tab w:leader="none" w:pos="37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RSUs granted during fiscal 2022, as calculated in accordance with ASC Topic 718. See Note 9 of the audited consolidated financial statements for the fiscal year ended December 31, 2022 included in our Annual Report. As of December 31, 2022, Mr. Christen, Ms. Liu and Ms. Pao held 19,632, 18,886, and 18,305 RSUs, respectively. None of our Non-Employee Directors held stock options as of December 31, 2022.</w:t>
      </w:r>
    </w:p>
    <w:p>
      <w:pPr>
        <w:spacing w:after="0" w:line="10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Each director is also reimbursed for their travel expenses incurred in connection with his or her attendance at full board of directors or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w:t>
      </w: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Compensation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this Compensation Discussion and Analysis (“CD&amp;A”), we provide an overview and analysis of the compensation awarded to or earned by our named executive officers (“NEOs”, each individually an “NEO”) during fiscal year 2022, including elements of our compensation program for NEOs, material compensation decisions made under that program for fiscal year 2022 , and the material factors considered in making those decisions.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2022, which constitute all of our executive officers, were as follows:</w:t>
      </w:r>
    </w:p>
    <w:p>
      <w:pPr>
        <w:spacing w:after="0" w:line="1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David Barrett, our Chief Executive Officer;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Ryan Schaffer, our Chief Financial Officer;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Anu Muralidharan, our Chief Operating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We’ve designed a compensation program that we believe results in the fairest compensation for all employees, including our NEOs. Most companies operate with a traditional hierarchy which means the compensation of any given employee is decided by their supervisor. However, we operate as a flat organization with no such hierarchy in place. We believe that every individual employee’s compensation should be tied to the perceived value they are bringing to the company as measured by their peers. This removes the traditional prisoner’s dilemma in which any given person benefits by working to increase their own compensation while decreasing everyone else’s. The program is designed such that any group of people bringing the same value to the company are compensated exactly the same. The system also allows for outliers, meaning that any shining star employees can stand alone and be compensated accordingly.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EXECUTIVE COMPENSATION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core of our compensation program for our employees, including our NEOs, is the compensation algorithm we use to establish all of our employees’ target compensation level. Our Compensation Committee, of which all of our NEOs are members, approves the compensation algorithm used for all employees each year. Our Compensation Committee approves any exceptions to the compensation algorithm, provided, that if an exception is sought for a member of the Compensation Committee, that Compensation Committee member is not present for deliberations regarding the exception and abstains from any vote to approve the exception.</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algorithm’s principal input is a semi-annual compensation review process. Each compensation review cycle, our Compensation Committee reviews the compensation of all employees and service providers who have been employed with or provided services to the Company for at least 6 months and wish to participate. Participation is mandatory for those in the Company’s leadership track, including our NEOs. For each compensation review cycle the sum of all raises must be less than 10% of the current sum of all compensation for all employees. Each employee may receive a maximum raise of 25% of their current compensation.</w:t>
      </w:r>
    </w:p>
    <w:p>
      <w:pPr>
        <w:spacing w:after="0" w:line="11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Each participant in the process uses a tool developed by the Company to perform head to head matches of every employee who is eligible for their compensation to be reviewed. Each of our NEOs, including our CEO, is matched with every other employee who is eligible. Eligible employees, including NEOs, may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their discretion in determining which employee in each match should be compensated higher than the other. An employee’s position in the Company’s leadership track has a multiplier effect on their results, the higher in the leadership track they are, the more heavily their votes are weighted. The weighting for each tier adjusts based on how many total participants there are from each tier. Each NEO had an estimated multiplier of 3.8 for compensation review periods in 2022 . Once all matches are completed for all participating employees, any outlier data, defined as data over two standard deviations from the average weighted wins for that employee, is removed, up to 10% of the data per employee. The results are aggregated into a ranked list sorted by the weighted number of wins each employee had. Each employee is placed on an asymptotic curve according to their weighted number of wins such that if an employee had the exact same number of weighted wins during the last compensation review cycle they would receive a raise equal to the inflation rate.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output of the compensation algorithm is used to produce a target compensation number for each employee, including each NEO. Unless an employee has changed roles at the company during the compensation review period, an employee’s target compensation is never adjusted down. The highest tier of our leadership track, which includes each NEO, reviews the output to ensure it aligns with expectations and make any changes based on their knowledge of each employee. They then provide the output to the Compensation Committee for review and approval.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Committee has the authority to retain a compensation consultant, and to approve the consultant’s fees and all other terms of its engagement. During fiscal 2022, the committee retained Semler Brossy as its compensation consultant. Semler Brossy assisted the Compensation Committee by providing data with respect to compensation paid to executive officers of public companies in our industry of a similar size and scope and discussing named executive officer pay recommendations with the Compensation Committee. While we review this third-party survey information to understand competitive compensation practices and levels, we do not benchmark to a specific level when referencing this information. Further, pursuant to SEC rules, the Compensation Committee conducted a conflicts of interest assessment and determined that there is no conflict of interest resulting from the Compensation Committee’s retention of Semler Brossy.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 Compensation</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described above, executive compensation is reassessed twice a year in conjunction with our compensation review process for all employees using the compensation algorithm. In March 2022, the total compensation target of Mr. Barrett, Mr. Schaffer and Ms. Muralidharan was increased to $4,934,439, $1,330,426 and $1,090,411, respectively. In September 2021, Ms. Muralidharan’s target compensation was increased to $1,190,906 and Messrs. Barrett and Schaffer’s total compensation remained the same as March 2022. The actual amount of target compensation paid to each NEO during fiscal year 2022 is set forth below in the base salary column of the Summary Compensation Table. Our Compensation Committee did not apply any discretionary adjustments to the results of the compensation algorithm for any NEO for either compensation review cycle.</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require each of our NEOs to contribute at least a combined 30% of his or her target compensation to our 2021 Stock Purchase and Matching Plan and legacy equity programs, and each NEO may elect to contribute additional amounts, up to 100%, of his or her target compensation, to the 2021 Stock Purchase and Matching Plan. Under the 2021 Stock Purchase and Matching Plan, contributions are accumulated from payroll deductions over consecutive quarterly purchase periods. At the end of each purchase period, shares are purchased based on the closing trading price of our Class A common stock on the date of purchase using the accumulated contributions. We then make a matching contribution based on shares purchased and retained. For 2022, the matching rate was 5%, meaning for each share purchased and retained as of a quarterly purchase date, we issued 1/20th of a share of Class A common stock at no cost to the NEO. For 2022, Mr. Barrett, Mr. Schaffer and Ms. Muralidharan contributed 95%, 32%, 78%, respectively, of their target compensation to our equity programs, of which 83%, 6% and 57%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contributed to the 2021 Stock Purchase and Matching Plan. See “Equity-Based Compensation” below for a description of the matching shares issued to each NEO.</w:t>
      </w:r>
    </w:p>
    <w:p>
      <w:pPr>
        <w:spacing w:after="0" w:line="72"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The actual amount of target compensation paid to each NEO during fiscal year 2022, including amounts contributed by the NEO to the 2021 Stock Purchase and Matching Plan, is set forth below in the Summary Compensation Table under the column titled “Base Salary.”</w:t>
      </w:r>
    </w:p>
    <w:p>
      <w:pPr>
        <w:spacing w:after="0" w:line="85"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While no discretion was applied during 2022, our Compensation Committee may adjust base salaries from time to time outside of the compensation review cycle and compensation algorithm described above in their discretion.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14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do not maintain a performance-based bonus program. However, our board of directors and Compensation Committee have the authority to provide additional discretionary bonuses to our NEOs whenever it determines it is necessary or appropriate to incentivize them or reward them for past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5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principal form of equity compensation for our NEOs in 2022 was through our 2021 Stock Purchase and Matching Plan, in which all of our employees and service providers are eligible to participate. Under the 2021 Stock Purchase and Matching Plan, our employees, including our NEOs, can purchase shares of our Class A common stock using accumulated payroll deductions over quarterly purchase periods. The purchase price for shares of our Class A common stock is equal to the closing trading price of our Class A common stock on the date of purchase. We match a portion of shares purchased or otherwise awarded under the 2021 Stock Purchase and Matching Plan by issuing fully vested shares of our Class A common stock on the date of purchase. In 2022, the matching rate was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 share purchased and retained under the 2021 Stock Purchase and Matching Plan. Our NEOs purchased the following shares and received the following matching shares during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Payroll Deductions</w:t>
            </w:r>
          </w:p>
        </w:tc>
        <w:tc>
          <w:tcPr>
            <w:tcW w:w="22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Shares of our Class A</w:t>
            </w:r>
          </w:p>
        </w:tc>
        <w:tc>
          <w:tcPr>
            <w:tcW w:w="22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9"/>
              </w:rPr>
              <w:t>Fully-Vested Shares of</w:t>
            </w:r>
          </w:p>
        </w:tc>
        <w:tc>
          <w:tcPr>
            <w:tcW w:w="21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Value of Shares issued</w:t>
            </w:r>
          </w:p>
        </w:tc>
        <w:tc>
          <w:tcPr>
            <w:tcW w:w="0" w:type="dxa"/>
            <w:vAlign w:val="bottom"/>
          </w:tcPr>
          <w:p>
            <w:pPr>
              <w:spacing w:after="0"/>
              <w:rPr>
                <w:sz w:val="1"/>
                <w:szCs w:val="1"/>
                <w:color w:val="auto"/>
              </w:rPr>
            </w:pPr>
          </w:p>
        </w:tc>
      </w:tr>
      <w:tr>
        <w:trPr>
          <w:trHeight w:val="181"/>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2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our Class A Common</w:t>
            </w:r>
          </w:p>
        </w:tc>
        <w:tc>
          <w:tcPr>
            <w:tcW w:w="2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15"/>
                <w:szCs w:val="15"/>
                <w:color w:val="auto"/>
              </w:rPr>
            </w:pPr>
          </w:p>
        </w:tc>
        <w:tc>
          <w:tcPr>
            <w:tcW w:w="2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Applied Towards the</w:t>
            </w:r>
          </w:p>
        </w:tc>
        <w:tc>
          <w:tcPr>
            <w:tcW w:w="22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Common Stock</w:t>
            </w: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Stock Issued as</w:t>
            </w:r>
          </w:p>
        </w:tc>
        <w:tc>
          <w:tcPr>
            <w:tcW w:w="120" w:type="dxa"/>
            <w:vAlign w:val="bottom"/>
          </w:tcPr>
          <w:p>
            <w:pPr>
              <w:spacing w:after="0"/>
              <w:rPr>
                <w:sz w:val="15"/>
                <w:szCs w:val="15"/>
                <w:color w:val="auto"/>
              </w:rPr>
            </w:pPr>
          </w:p>
        </w:tc>
        <w:tc>
          <w:tcPr>
            <w:tcW w:w="2060" w:type="dxa"/>
            <w:vAlign w:val="bottom"/>
          </w:tcPr>
          <w:p>
            <w:pPr>
              <w:spacing w:after="0" w:line="176" w:lineRule="exact"/>
              <w:rPr>
                <w:sz w:val="20"/>
                <w:szCs w:val="20"/>
                <w:color w:val="auto"/>
              </w:rPr>
            </w:pPr>
            <w:r>
              <w:rPr>
                <w:rFonts w:ascii="Arial" w:cs="Arial" w:eastAsia="Arial" w:hAnsi="Arial"/>
                <w:sz w:val="18"/>
                <w:szCs w:val="18"/>
                <w:b w:val="1"/>
                <w:bCs w:val="1"/>
                <w:color w:val="auto"/>
              </w:rPr>
              <w:t>as Matching Shares as</w:t>
            </w:r>
          </w:p>
        </w:tc>
        <w:tc>
          <w:tcPr>
            <w:tcW w:w="0" w:type="dxa"/>
            <w:vAlign w:val="bottom"/>
          </w:tcPr>
          <w:p>
            <w:pPr>
              <w:spacing w:after="0"/>
              <w:rPr>
                <w:sz w:val="1"/>
                <w:szCs w:val="1"/>
                <w:color w:val="auto"/>
              </w:rPr>
            </w:pPr>
          </w:p>
        </w:tc>
      </w:tr>
      <w:tr>
        <w:trPr>
          <w:trHeight w:val="230"/>
        </w:trPr>
        <w:tc>
          <w:tcPr>
            <w:tcW w:w="2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Purchase of Shares</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Purchased</w:t>
            </w:r>
          </w:p>
        </w:tc>
        <w:tc>
          <w:tcPr>
            <w:tcW w:w="2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Matching Shares</w:t>
            </w: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of the Date of Issuance</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574,577</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42,739</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48,565</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25,187</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Anu Muralidharan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5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Company currently maintains a 401(k) retirement savings plan for our employees, including our NEOs, who satisfy certain eligibility requirements. Our NEOs are eligible to participate in the 401(k) plan on the same terms as other full-time employees.</w:t>
      </w:r>
    </w:p>
    <w:p>
      <w:pPr>
        <w:spacing w:after="0" w:line="8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compensation committee from time to time may provide additional perquisites and personal benefits to our NEOs when it determines that it is necessary or advisable to fairly compensate or incentivize our NEOs. No perquisites or other personal benefits were provided to any of our NEOs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162(m).</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Section 162(m) of the Internal Revenue Code disallows a tax deduction to public companies for compensation in excess of $1 million paid to “covered employees”, which generally includes all NEOs. While the Compensation Committee may take the deductibility of compensation into account when making compensation decisions, the Compensation Committee will award compensation that it determines to be consistent with the goals of our executive compensation program even if such compensation is not deductible by 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Prohibiting Speculative Transactions and Hedging</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accordance with our insider trading policy, which is reviewed by our Executive Committee annually, we do not permit any officer, director or employee, or their respective family members, to directly or indirectly participate in certain trading activities related to our common stock that are considered aggressive or speculative in nature, including short sales, publicly-traded options, hedging transactions, and margin purchases.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Pledging Policy</w:t>
      </w:r>
    </w:p>
    <w:p>
      <w:pPr>
        <w:spacing w:after="0" w:line="15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limited circumstances and in accordance with pre-approved guidelines, employees of the company, including NEOs, may pledge up to 25% of their Expensify stock holdings as collateral for a loan, excluding margin loans.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4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While our Chief Executive Officer and Chief Financial Officer are subject to any recovery rights that are provided under applicable laws, including the Sarbanes-Oxley Act, we have not yet adopted a compensation recovery policy as will be required under the Dodd-Frank Act. We are reviewing the final clawback rule adopted by the SEC that implements the applicable provisions of the Dodd-Frank Wall Street Reform and Consumer Protection Act and Nasdaq’s related proposed listing standard, in each case relating to recoupment of incentive-based compensation. We will implement its clawback policy in accordance with the new listing standard when the new listing standard becomes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Report</w:t>
      </w:r>
    </w:p>
    <w:p>
      <w:pPr>
        <w:spacing w:after="0" w:line="32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or the Exchange Act, except as otherwise expressly stated in such filing.</w:t>
      </w:r>
    </w:p>
    <w:p>
      <w:pPr>
        <w:spacing w:after="0" w:line="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Compensation Committee has reviewed and discussed the foregoing Compensation Discussion and Analysis with the Company’s management. Based on this review and discussion with management, the Compensation Committee recommended to the Board of Directors that the Compensation Discussion and Analysis be included in this Proxy Statement and incorporated by reference into the Company’s Annual Report on Form 10-K for the year ended December 31, 2022, filed by us with the SEC on March 8, 2023.</w:t>
      </w:r>
    </w:p>
    <w:p>
      <w:pPr>
        <w:spacing w:after="0" w:line="149"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Compensation Committee</w:t>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David Barrett (Chairperson)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Anu Muralidharan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Ryan Schaffer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Daniel Vidal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Jason Mills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SUMMARY COMPENSATION TABLE</w:t>
      </w:r>
    </w:p>
    <w:p>
      <w:pPr>
        <w:spacing w:after="0" w:line="14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sets forth certain information with respect to the compensation for the years ended December 31, 2020, 2021 and 2022 earned by, awarded to, or paid to our NEOs.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Barrett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1,606,327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1,654,892</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Executive Officer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1,056,728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18,910,825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19,967,553</w:t>
            </w: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126,851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1,059,923</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Ryan Schaffer</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864,750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8,335</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874,840</w:t>
            </w:r>
          </w:p>
        </w:tc>
        <w:tc>
          <w:tcPr>
            <w:tcW w:w="0" w:type="dxa"/>
            <w:vAlign w:val="bottom"/>
          </w:tcPr>
          <w:p>
            <w:pPr>
              <w:spacing w:after="0"/>
              <w:rPr>
                <w:sz w:val="1"/>
                <w:szCs w:val="1"/>
                <w:color w:val="auto"/>
              </w:rPr>
            </w:pPr>
          </w:p>
        </w:tc>
      </w:tr>
      <w:tr>
        <w:trPr>
          <w:trHeight w:val="203"/>
        </w:trPr>
        <w:tc>
          <w:tcPr>
            <w:tcW w:w="2500" w:type="dxa"/>
            <w:vAlign w:val="bottom"/>
          </w:tcPr>
          <w:p>
            <w:pPr>
              <w:ind w:left="260"/>
              <w:spacing w:after="0"/>
              <w:rPr>
                <w:sz w:val="20"/>
                <w:szCs w:val="20"/>
                <w:color w:val="auto"/>
              </w:rPr>
            </w:pPr>
            <w:r>
              <w:rPr>
                <w:rFonts w:ascii="Arial" w:cs="Arial" w:eastAsia="Arial" w:hAnsi="Arial"/>
                <w:sz w:val="14"/>
                <w:szCs w:val="14"/>
                <w:i w:val="1"/>
                <w:iCs w:val="1"/>
                <w:color w:val="auto"/>
              </w:rPr>
              <w:t>Chief Financial Officer</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725,294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566,516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5,128,747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174,806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2,957,367</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9,552,730</w:t>
            </w:r>
          </w:p>
        </w:tc>
        <w:tc>
          <w:tcPr>
            <w:tcW w:w="0" w:type="dxa"/>
            <w:vAlign w:val="bottom"/>
          </w:tcPr>
          <w:p>
            <w:pPr>
              <w:spacing w:after="0"/>
              <w:rPr>
                <w:sz w:val="1"/>
                <w:szCs w:val="1"/>
                <w:color w:val="auto"/>
              </w:rPr>
            </w:pPr>
          </w:p>
        </w:tc>
      </w:tr>
      <w:tr>
        <w:trPr>
          <w:trHeight w:val="207"/>
        </w:trPr>
        <w:tc>
          <w:tcPr>
            <w:tcW w:w="250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677,006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109,751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35,930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37,461</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860,148</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Anu Muralidharan</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470,657</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Operating Officer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634,414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4,142,795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351,412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5,867,462</w:t>
            </w: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214,465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407,918</w:t>
            </w:r>
          </w:p>
        </w:tc>
        <w:tc>
          <w:tcPr>
            <w:tcW w:w="0" w:type="dxa"/>
            <w:vAlign w:val="bottom"/>
          </w:tcPr>
          <w:p>
            <w:pPr>
              <w:spacing w:after="0"/>
              <w:rPr>
                <w:sz w:val="1"/>
                <w:szCs w:val="1"/>
                <w:color w:val="auto"/>
              </w:rPr>
            </w:pPr>
          </w:p>
        </w:tc>
      </w:tr>
      <w:tr>
        <w:trPr>
          <w:trHeight w:val="54"/>
        </w:trPr>
        <w:tc>
          <w:tcPr>
            <w:tcW w:w="2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180" w:hanging="332"/>
        <w:spacing w:after="0" w:line="271" w:lineRule="auto"/>
        <w:tabs>
          <w:tab w:leader="none" w:pos="37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options granted during fiscal years 2022, 2021 and 2020 and the incremental fair value of options repriced during fiscal year 2020, in each case, as calculated in accordance with ASC Topic 718. Assumptions used in the calculations of these amounts are included in Note 9 of the audited consolidated financial statements for the fiscal year ended December 31, 2022 included in our Annual Report on Form 10-K filed with the SEC on March 8, 2023. Due to an inadvertent error, the amounts reported for 2021 in our 2022 Proxy Statement reflected amounts expensed during 2021 and have been corrected in this 2023 Proxy Statement to reflect grant date fair value.</w:t>
      </w:r>
    </w:p>
    <w:p>
      <w:pPr>
        <w:spacing w:after="0" w:line="146" w:lineRule="exact"/>
        <w:rPr>
          <w:rFonts w:ascii="Arial" w:cs="Arial" w:eastAsia="Arial" w:hAnsi="Arial"/>
          <w:sz w:val="13"/>
          <w:szCs w:val="13"/>
          <w:color w:val="auto"/>
        </w:rPr>
      </w:pP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Amounts reported represent employer matching contributions under our 401(k) Plan.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provides supplemental information relating to grants of plan-based awards made during fiscal 2022 to help explain information provided above in our Summary Compensation Table. This table presents information regarding all grants of plan-based awards occurring during fiscal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9"/>
              </w:rPr>
              <w:t>All Other Stock Awards:</w:t>
            </w:r>
          </w:p>
        </w:tc>
        <w:tc>
          <w:tcPr>
            <w:tcW w:w="1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99"/>
              </w:rPr>
              <w:t>Grant Date Fair Value of Stock</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9"/>
              </w:rPr>
              <w:t>Number of Shares of Stock or</w:t>
            </w:r>
          </w:p>
        </w:tc>
        <w:tc>
          <w:tcPr>
            <w:tcW w:w="12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3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23"/>
                <w:szCs w:val="23"/>
                <w:b w:val="1"/>
                <w:bCs w:val="1"/>
                <w:color w:val="auto"/>
                <w:vertAlign w:val="superscript"/>
              </w:rPr>
              <w:t>(1)</w:t>
            </w:r>
          </w:p>
        </w:tc>
        <w:tc>
          <w:tcPr>
            <w:tcW w:w="28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7"/>
              </w:rPr>
              <w:t>Units</w:t>
            </w:r>
          </w:p>
        </w:tc>
        <w:tc>
          <w:tcPr>
            <w:tcW w:w="120" w:type="dxa"/>
            <w:vAlign w:val="bottom"/>
          </w:tcPr>
          <w:p>
            <w:pPr>
              <w:spacing w:after="0"/>
              <w:rPr>
                <w:sz w:val="15"/>
                <w:szCs w:val="15"/>
                <w:color w:val="auto"/>
              </w:rPr>
            </w:pPr>
          </w:p>
        </w:tc>
        <w:tc>
          <w:tcPr>
            <w:tcW w:w="27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and Option Awards</w:t>
            </w:r>
          </w:p>
        </w:tc>
        <w:tc>
          <w:tcPr>
            <w:tcW w:w="0" w:type="dxa"/>
            <w:vAlign w:val="bottom"/>
          </w:tcPr>
          <w:p>
            <w:pPr>
              <w:spacing w:after="0"/>
              <w:rPr>
                <w:sz w:val="1"/>
                <w:szCs w:val="1"/>
                <w:color w:val="auto"/>
              </w:rPr>
            </w:pPr>
          </w:p>
        </w:tc>
      </w:tr>
      <w:tr>
        <w:trPr>
          <w:trHeight w:val="230"/>
        </w:trPr>
        <w:tc>
          <w:tcPr>
            <w:tcW w:w="3220" w:type="dxa"/>
            <w:vAlign w:val="bottom"/>
            <w:gridSpan w:val="2"/>
            <w:vMerge w:val="continue"/>
          </w:tcPr>
          <w:p>
            <w:pPr>
              <w:spacing w:after="0"/>
              <w:rPr>
                <w:sz w:val="19"/>
                <w:szCs w:val="19"/>
                <w:color w:val="auto"/>
              </w:rPr>
            </w:pPr>
          </w:p>
        </w:tc>
        <w:tc>
          <w:tcPr>
            <w:tcW w:w="2320" w:type="dxa"/>
            <w:vAlign w:val="bottom"/>
            <w:gridSpan w:val="2"/>
            <w:vMerge w:val="continue"/>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jc w:val="center"/>
              <w:ind w:right="30"/>
              <w:spacing w:after="0" w:line="230"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(2)</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06/15/2022</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09/15/2022</w:t>
            </w: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spacing w:after="0"/>
              <w:rPr>
                <w:sz w:val="20"/>
                <w:szCs w:val="20"/>
                <w:color w:val="auto"/>
              </w:rPr>
            </w:pPr>
            <w:r>
              <w:rPr>
                <w:rFonts w:ascii="Arial" w:cs="Arial" w:eastAsia="Arial" w:hAnsi="Arial"/>
                <w:sz w:val="18"/>
                <w:szCs w:val="18"/>
                <w:color w:val="auto"/>
              </w:rPr>
              <w:t>18,574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12/15/2022</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2220" w:type="dxa"/>
            <w:vAlign w:val="bottom"/>
          </w:tcPr>
          <w:p>
            <w:pPr>
              <w:jc w:val="right"/>
              <w:spacing w:after="0"/>
              <w:rPr>
                <w:sz w:val="20"/>
                <w:szCs w:val="20"/>
                <w:color w:val="auto"/>
              </w:rPr>
            </w:pPr>
            <w:r>
              <w:rPr>
                <w:rFonts w:ascii="Arial" w:cs="Arial" w:eastAsia="Arial" w:hAnsi="Arial"/>
                <w:sz w:val="18"/>
                <w:szCs w:val="18"/>
                <w:color w:val="auto"/>
              </w:rPr>
              <w:t>06/15/2022</w:t>
            </w: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09/15/2022</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12/15/2022</w:t>
            </w: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Anu Muralidharan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06/15/2022</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09/15/2022</w:t>
            </w: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12/15/2022</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54"/>
        </w:trPr>
        <w:tc>
          <w:tcPr>
            <w:tcW w:w="3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Constitute matching shares issued under our 2021 Stock Purchase and Matching Plan, which were fully vested on the date of issuance.</w:t>
      </w:r>
    </w:p>
    <w:p>
      <w:pPr>
        <w:spacing w:after="0" w:line="24" w:lineRule="exact"/>
        <w:rPr>
          <w:rFonts w:ascii="Arial" w:cs="Arial" w:eastAsia="Arial" w:hAnsi="Arial"/>
          <w:sz w:val="13"/>
          <w:szCs w:val="13"/>
          <w:color w:val="auto"/>
        </w:rPr>
      </w:pPr>
    </w:p>
    <w:p>
      <w:pPr>
        <w:ind w:left="340" w:right="520" w:hanging="332"/>
        <w:spacing w:after="0" w:line="283" w:lineRule="auto"/>
        <w:tabs>
          <w:tab w:leader="none" w:pos="343"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reflect the grant-date fair value in accordance with ASC Topic 718. We provide information regarding the assumptions used to calculate these values in Note 9 to the consolidated financial statements included in in our Annual Report on Form 10-K for the year ended December 31, 2022 filed with the SEC on March 8,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AT 2022 FISCAL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600"/>
              <w:spacing w:after="0"/>
              <w:rPr>
                <w:sz w:val="20"/>
                <w:szCs w:val="20"/>
                <w:color w:val="auto"/>
              </w:rPr>
            </w:pPr>
            <w:r>
              <w:rPr>
                <w:rFonts w:ascii="Arial" w:cs="Arial" w:eastAsia="Arial" w:hAnsi="Arial"/>
                <w:sz w:val="13"/>
                <w:szCs w:val="13"/>
                <w:b w:val="1"/>
                <w:bCs w:val="1"/>
                <w:color w:val="auto"/>
                <w:w w:val="97"/>
              </w:rPr>
              <w:t>Option awards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value of</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left="291"/>
              <w:spacing w:after="0"/>
              <w:rPr>
                <w:sz w:val="20"/>
                <w:szCs w:val="20"/>
                <w:color w:val="auto"/>
              </w:rPr>
            </w:pPr>
            <w:r>
              <w:rPr>
                <w:rFonts w:ascii="Arial" w:cs="Arial" w:eastAsia="Arial" w:hAnsi="Arial"/>
                <w:sz w:val="13"/>
                <w:szCs w:val="13"/>
                <w:b w:val="1"/>
                <w:bCs w:val="1"/>
                <w:color w:val="auto"/>
                <w:w w:val="97"/>
              </w:rPr>
              <w:t>Number</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1"/>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Number of</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of units</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0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8"/>
              </w:rPr>
              <w:t>Number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91"/>
              <w:spacing w:after="0" w:line="126" w:lineRule="exact"/>
              <w:rPr>
                <w:sz w:val="20"/>
                <w:szCs w:val="20"/>
                <w:color w:val="auto"/>
              </w:rPr>
            </w:pPr>
            <w:r>
              <w:rPr>
                <w:rFonts w:ascii="Arial" w:cs="Arial" w:eastAsia="Arial" w:hAnsi="Arial"/>
                <w:sz w:val="13"/>
                <w:szCs w:val="13"/>
                <w:b w:val="1"/>
                <w:bCs w:val="1"/>
                <w:color w:val="auto"/>
                <w:w w:val="96"/>
              </w:rPr>
              <w:t>of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stock</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securities</w:t>
            </w:r>
          </w:p>
        </w:tc>
        <w:tc>
          <w:tcPr>
            <w:tcW w:w="1500" w:type="dxa"/>
            <w:vAlign w:val="bottom"/>
            <w:gridSpan w:val="3"/>
            <w:vMerge w:val="continue"/>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71"/>
              <w:spacing w:after="0" w:line="122" w:lineRule="exact"/>
              <w:rPr>
                <w:sz w:val="20"/>
                <w:szCs w:val="20"/>
                <w:color w:val="auto"/>
              </w:rPr>
            </w:pPr>
            <w:r>
              <w:rPr>
                <w:rFonts w:ascii="Arial" w:cs="Arial" w:eastAsia="Arial" w:hAnsi="Arial"/>
                <w:sz w:val="13"/>
                <w:szCs w:val="13"/>
                <w:b w:val="1"/>
                <w:bCs w:val="1"/>
                <w:color w:val="auto"/>
                <w:w w:val="96"/>
              </w:rPr>
              <w:t>or units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underlying</w:t>
            </w:r>
          </w:p>
        </w:tc>
        <w:tc>
          <w:tcPr>
            <w:tcW w:w="150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securities</w:t>
            </w:r>
          </w:p>
        </w:tc>
        <w:tc>
          <w:tcPr>
            <w:tcW w:w="76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91"/>
              <w:spacing w:after="0" w:line="122" w:lineRule="exact"/>
              <w:rPr>
                <w:sz w:val="20"/>
                <w:szCs w:val="20"/>
                <w:color w:val="auto"/>
              </w:rPr>
            </w:pPr>
            <w:r>
              <w:rPr>
                <w:rFonts w:ascii="Arial" w:cs="Arial" w:eastAsia="Arial" w:hAnsi="Arial"/>
                <w:sz w:val="13"/>
                <w:szCs w:val="13"/>
                <w:b w:val="1"/>
                <w:bCs w:val="1"/>
                <w:color w:val="auto"/>
                <w:w w:val="96"/>
              </w:rPr>
              <w:t>of stock</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have</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Vesting</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unexercised</w:t>
            </w:r>
          </w:p>
        </w:tc>
        <w:tc>
          <w:tcPr>
            <w:tcW w:w="15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underlying</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exercise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Option expiration</w:t>
            </w:r>
          </w:p>
        </w:tc>
        <w:tc>
          <w:tcPr>
            <w:tcW w:w="1000" w:type="dxa"/>
            <w:vAlign w:val="bottom"/>
          </w:tcPr>
          <w:p>
            <w:pPr>
              <w:jc w:val="center"/>
              <w:ind w:left="271"/>
              <w:spacing w:after="0" w:line="135" w:lineRule="exact"/>
              <w:rPr>
                <w:sz w:val="20"/>
                <w:szCs w:val="20"/>
                <w:color w:val="auto"/>
              </w:rPr>
            </w:pPr>
            <w:r>
              <w:rPr>
                <w:rFonts w:ascii="Arial" w:cs="Arial" w:eastAsia="Arial" w:hAnsi="Arial"/>
                <w:sz w:val="13"/>
                <w:szCs w:val="13"/>
                <w:b w:val="1"/>
                <w:bCs w:val="1"/>
                <w:color w:val="auto"/>
                <w:w w:val="94"/>
              </w:rPr>
              <w:t>that have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not</w:t>
            </w:r>
          </w:p>
        </w:tc>
        <w:tc>
          <w:tcPr>
            <w:tcW w:w="0" w:type="dxa"/>
            <w:vAlign w:val="bottom"/>
          </w:tcPr>
          <w:p>
            <w:pPr>
              <w:spacing w:after="0"/>
              <w:rPr>
                <w:sz w:val="1"/>
                <w:szCs w:val="1"/>
                <w:color w:val="auto"/>
              </w:rPr>
            </w:pPr>
          </w:p>
        </w:tc>
      </w:tr>
      <w:tr>
        <w:trPr>
          <w:trHeight w:val="122"/>
        </w:trPr>
        <w:tc>
          <w:tcPr>
            <w:tcW w:w="1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options exercisable</w:t>
            </w:r>
          </w:p>
        </w:tc>
        <w:tc>
          <w:tcPr>
            <w:tcW w:w="150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price</w:t>
            </w:r>
          </w:p>
        </w:tc>
        <w:tc>
          <w:tcPr>
            <w:tcW w:w="1220" w:type="dxa"/>
            <w:vAlign w:val="bottom"/>
            <w:gridSpan w:val="2"/>
            <w:vMerge w:val="continue"/>
          </w:tcPr>
          <w:p>
            <w:pPr>
              <w:spacing w:after="0"/>
              <w:rPr>
                <w:sz w:val="10"/>
                <w:szCs w:val="10"/>
                <w:color w:val="auto"/>
              </w:rPr>
            </w:pPr>
          </w:p>
        </w:tc>
        <w:tc>
          <w:tcPr>
            <w:tcW w:w="1000" w:type="dxa"/>
            <w:vAlign w:val="bottom"/>
          </w:tcPr>
          <w:p>
            <w:pPr>
              <w:jc w:val="center"/>
              <w:ind w:left="291"/>
              <w:spacing w:after="0" w:line="122" w:lineRule="exact"/>
              <w:rPr>
                <w:sz w:val="20"/>
                <w:szCs w:val="20"/>
                <w:color w:val="auto"/>
              </w:rPr>
            </w:pPr>
            <w:r>
              <w:rPr>
                <w:rFonts w:ascii="Arial" w:cs="Arial" w:eastAsia="Arial" w:hAnsi="Arial"/>
                <w:sz w:val="13"/>
                <w:szCs w:val="13"/>
                <w:b w:val="1"/>
                <w:bCs w:val="1"/>
                <w:color w:val="auto"/>
                <w:w w:val="98"/>
              </w:rPr>
              <w:t>not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vested</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commencement date </w:t>
            </w:r>
            <w:r>
              <w:rPr>
                <w:rFonts w:ascii="Arial" w:cs="Arial" w:eastAsia="Arial" w:hAnsi="Arial"/>
                <w:sz w:val="16"/>
                <w:szCs w:val="16"/>
                <w:b w:val="1"/>
                <w:bCs w:val="1"/>
                <w:color w:val="auto"/>
                <w:w w:val="95"/>
                <w:vertAlign w:val="superscript"/>
              </w:rPr>
              <w:t>(1)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unexercisable (#)</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date</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vested (#)</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(2)</w:t>
            </w: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Barrett</w:t>
            </w:r>
          </w:p>
        </w:tc>
        <w:tc>
          <w:tcPr>
            <w:tcW w:w="152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10/30/2014</w:t>
            </w:r>
            <w:r>
              <w:rPr>
                <w:rFonts w:ascii="Arial" w:cs="Arial" w:eastAsia="Arial" w:hAnsi="Arial"/>
                <w:sz w:val="9"/>
                <w:szCs w:val="9"/>
                <w:color w:val="auto"/>
              </w:rPr>
              <w:t>(3)</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1,585,640</w:t>
            </w:r>
          </w:p>
        </w:tc>
        <w:tc>
          <w:tcPr>
            <w:tcW w:w="10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11/24/2024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4/12/2019</w:t>
            </w:r>
            <w:r>
              <w:rPr>
                <w:rFonts w:ascii="Arial" w:cs="Arial" w:eastAsia="Arial" w:hAnsi="Arial"/>
                <w:sz w:val="9"/>
                <w:szCs w:val="9"/>
                <w:color w:val="auto"/>
              </w:rPr>
              <w:t>(4)</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1,302,720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4/11/2024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3/1/2020</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41,550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6/21/2030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1"/>
        </w:trPr>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9/15/2021</w:t>
            </w:r>
            <w:r>
              <w:rPr>
                <w:rFonts w:ascii="Arial" w:cs="Arial" w:eastAsia="Arial" w:hAnsi="Arial"/>
                <w:sz w:val="9"/>
                <w:szCs w:val="9"/>
                <w:color w:val="auto"/>
              </w:rPr>
              <w:t>(5)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CEEFF"/>
          </w:tcPr>
          <w:p>
            <w:pPr>
              <w:jc w:val="center"/>
              <w:ind w:left="291"/>
              <w:spacing w:after="0"/>
              <w:rPr>
                <w:sz w:val="20"/>
                <w:szCs w:val="20"/>
                <w:color w:val="auto"/>
              </w:rPr>
            </w:pPr>
            <w:r>
              <w:rPr>
                <w:rFonts w:ascii="Arial" w:cs="Arial" w:eastAsia="Arial" w:hAnsi="Arial"/>
                <w:sz w:val="14"/>
                <w:szCs w:val="14"/>
                <w:color w:val="auto"/>
              </w:rPr>
              <w:t>781,008</w:t>
            </w:r>
          </w:p>
        </w:tc>
        <w:tc>
          <w:tcPr>
            <w:tcW w:w="1880" w:type="dxa"/>
            <w:vAlign w:val="bottom"/>
            <w:gridSpan w:val="3"/>
            <w:shd w:val="clear" w:color="auto" w:fill="CCEEFF"/>
          </w:tcPr>
          <w:p>
            <w:pPr>
              <w:jc w:val="center"/>
              <w:ind w:left="370"/>
              <w:spacing w:after="0"/>
              <w:rPr>
                <w:sz w:val="20"/>
                <w:szCs w:val="20"/>
                <w:color w:val="auto"/>
              </w:rPr>
            </w:pPr>
            <w:r>
              <w:rPr>
                <w:rFonts w:ascii="Arial" w:cs="Arial" w:eastAsia="Arial" w:hAnsi="Arial"/>
                <w:sz w:val="14"/>
                <w:szCs w:val="14"/>
                <w:color w:val="auto"/>
              </w:rPr>
              <w:t>6,896,301</w:t>
            </w:r>
          </w:p>
        </w:tc>
        <w:tc>
          <w:tcPr>
            <w:tcW w:w="0" w:type="dxa"/>
            <w:vAlign w:val="bottom"/>
          </w:tcPr>
          <w:p>
            <w:pPr>
              <w:spacing w:after="0"/>
              <w:rPr>
                <w:sz w:val="1"/>
                <w:szCs w:val="1"/>
                <w:color w:val="auto"/>
              </w:rPr>
            </w:pPr>
          </w:p>
        </w:tc>
      </w:tr>
      <w:tr>
        <w:trPr>
          <w:trHeight w:val="194"/>
        </w:trPr>
        <w:tc>
          <w:tcPr>
            <w:tcW w:w="1960" w:type="dxa"/>
            <w:vAlign w:val="bottom"/>
          </w:tcPr>
          <w:p>
            <w:pPr>
              <w:ind w:left="20"/>
              <w:spacing w:after="0"/>
              <w:rPr>
                <w:sz w:val="20"/>
                <w:szCs w:val="20"/>
                <w:color w:val="auto"/>
              </w:rPr>
            </w:pPr>
            <w:r>
              <w:rPr>
                <w:rFonts w:ascii="Arial" w:cs="Arial" w:eastAsia="Arial" w:hAnsi="Arial"/>
                <w:sz w:val="14"/>
                <w:szCs w:val="14"/>
                <w:color w:val="auto"/>
              </w:rPr>
              <w:t>Ryan Schaffer</w:t>
            </w: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1/1/2016</w:t>
            </w:r>
            <w:r>
              <w:rPr>
                <w:rFonts w:ascii="Arial" w:cs="Arial" w:eastAsia="Arial" w:hAnsi="Arial"/>
                <w:sz w:val="9"/>
                <w:szCs w:val="9"/>
                <w:color w:val="auto"/>
              </w:rPr>
              <w:t>(3)</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0.53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3/31/2026</w:t>
            </w:r>
          </w:p>
        </w:tc>
        <w:tc>
          <w:tcPr>
            <w:tcW w:w="100" w:type="dxa"/>
            <w:vAlign w:val="bottom"/>
          </w:tcPr>
          <w:p>
            <w:pPr>
              <w:spacing w:after="0"/>
              <w:rPr>
                <w:sz w:val="16"/>
                <w:szCs w:val="16"/>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10/30/2018</w:t>
            </w:r>
            <w:r>
              <w:rPr>
                <w:rFonts w:ascii="Arial" w:cs="Arial" w:eastAsia="Arial" w:hAnsi="Arial"/>
                <w:sz w:val="9"/>
                <w:szCs w:val="9"/>
                <w:color w:val="auto"/>
              </w:rPr>
              <w:t>(3)</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10,320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1/10/2029</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2/1/2019</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4,930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2/1/2019</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3/1/2019</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15,910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3/1/2019</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4/12/2019</w:t>
            </w:r>
            <w:r>
              <w:rPr>
                <w:rFonts w:ascii="Arial" w:cs="Arial" w:eastAsia="Arial" w:hAnsi="Arial"/>
                <w:sz w:val="9"/>
                <w:szCs w:val="9"/>
                <w:color w:val="auto"/>
              </w:rPr>
              <w:t>(4)</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355,783</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4/12/2019</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9/1/2019</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3,820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6/21/2030</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3/1/2020</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4,540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6/21/2030</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1/1/2021</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7.21</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3/15/2031</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3/1/2021</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16,520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7.21</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3/15/2031</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9/16/2021</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6,880</w:t>
            </w:r>
          </w:p>
        </w:tc>
        <w:tc>
          <w:tcPr>
            <w:tcW w:w="10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right="50"/>
              <w:spacing w:after="0"/>
              <w:rPr>
                <w:sz w:val="20"/>
                <w:szCs w:val="20"/>
                <w:color w:val="auto"/>
              </w:rPr>
            </w:pPr>
            <w:r>
              <w:rPr>
                <w:rFonts w:ascii="Arial" w:cs="Arial" w:eastAsia="Arial" w:hAnsi="Arial"/>
                <w:sz w:val="14"/>
                <w:szCs w:val="14"/>
                <w:color w:val="auto"/>
              </w:rPr>
              <w:t>12.97</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10/12/2031</w:t>
            </w:r>
          </w:p>
        </w:tc>
        <w:tc>
          <w:tcPr>
            <w:tcW w:w="100" w:type="dxa"/>
            <w:vAlign w:val="bottom"/>
          </w:tcPr>
          <w:p>
            <w:pPr>
              <w:spacing w:after="0"/>
              <w:rPr>
                <w:sz w:val="17"/>
                <w:szCs w:val="17"/>
                <w:color w:val="auto"/>
              </w:rPr>
            </w:pP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7"/>
                <w:szCs w:val="17"/>
                <w:color w:val="auto"/>
              </w:rPr>
            </w:pP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9/15/2021</w:t>
            </w:r>
            <w:r>
              <w:rPr>
                <w:rFonts w:ascii="Arial" w:cs="Arial" w:eastAsia="Arial" w:hAnsi="Arial"/>
                <w:sz w:val="9"/>
                <w:szCs w:val="9"/>
                <w:color w:val="auto"/>
              </w:rPr>
              <w:t>(5)</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71"/>
              <w:spacing w:after="0"/>
              <w:rPr>
                <w:sz w:val="20"/>
                <w:szCs w:val="20"/>
                <w:color w:val="auto"/>
              </w:rPr>
            </w:pPr>
            <w:r>
              <w:rPr>
                <w:rFonts w:ascii="Arial" w:cs="Arial" w:eastAsia="Arial" w:hAnsi="Arial"/>
                <w:sz w:val="14"/>
                <w:szCs w:val="14"/>
                <w:color w:val="auto"/>
                <w:w w:val="98"/>
              </w:rPr>
              <w:t>211,814</w:t>
            </w:r>
          </w:p>
        </w:tc>
        <w:tc>
          <w:tcPr>
            <w:tcW w:w="1880" w:type="dxa"/>
            <w:vAlign w:val="bottom"/>
            <w:gridSpan w:val="3"/>
          </w:tcPr>
          <w:p>
            <w:pPr>
              <w:jc w:val="center"/>
              <w:ind w:left="370"/>
              <w:spacing w:after="0"/>
              <w:rPr>
                <w:sz w:val="20"/>
                <w:szCs w:val="20"/>
                <w:color w:val="auto"/>
              </w:rPr>
            </w:pPr>
            <w:r>
              <w:rPr>
                <w:rFonts w:ascii="Arial" w:cs="Arial" w:eastAsia="Arial" w:hAnsi="Arial"/>
                <w:sz w:val="14"/>
                <w:szCs w:val="14"/>
                <w:color w:val="auto"/>
              </w:rPr>
              <w:t>1,870,318</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Anu Muralidharan</w:t>
            </w:r>
          </w:p>
        </w:tc>
        <w:tc>
          <w:tcPr>
            <w:tcW w:w="152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3/1/2021</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30,800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rPr>
              <w:t>7.21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3/15/2031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9/16/2021</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rPr>
              <w:t>12.97</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10/12/2031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71"/>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9/15/2021</w:t>
            </w:r>
            <w:r>
              <w:rPr>
                <w:rFonts w:ascii="Arial" w:cs="Arial" w:eastAsia="Arial" w:hAnsi="Arial"/>
                <w:sz w:val="9"/>
                <w:szCs w:val="9"/>
                <w:color w:val="auto"/>
              </w:rPr>
              <w:t>(5)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CEEFF"/>
          </w:tcPr>
          <w:p>
            <w:pPr>
              <w:jc w:val="center"/>
              <w:ind w:left="291"/>
              <w:spacing w:after="0"/>
              <w:rPr>
                <w:sz w:val="20"/>
                <w:szCs w:val="20"/>
                <w:color w:val="auto"/>
              </w:rPr>
            </w:pPr>
            <w:r>
              <w:rPr>
                <w:rFonts w:ascii="Arial" w:cs="Arial" w:eastAsia="Arial" w:hAnsi="Arial"/>
                <w:sz w:val="14"/>
                <w:szCs w:val="14"/>
                <w:color w:val="auto"/>
              </w:rPr>
              <w:t>171,096</w:t>
            </w:r>
          </w:p>
        </w:tc>
        <w:tc>
          <w:tcPr>
            <w:tcW w:w="1880" w:type="dxa"/>
            <w:vAlign w:val="bottom"/>
            <w:gridSpan w:val="3"/>
            <w:shd w:val="clear" w:color="auto" w:fill="CCEEFF"/>
          </w:tcPr>
          <w:p>
            <w:pPr>
              <w:jc w:val="center"/>
              <w:ind w:left="370"/>
              <w:spacing w:after="0"/>
              <w:rPr>
                <w:sz w:val="20"/>
                <w:szCs w:val="20"/>
                <w:color w:val="auto"/>
              </w:rPr>
            </w:pPr>
            <w:r>
              <w:rPr>
                <w:rFonts w:ascii="Arial" w:cs="Arial" w:eastAsia="Arial" w:hAnsi="Arial"/>
                <w:sz w:val="14"/>
                <w:szCs w:val="14"/>
                <w:color w:val="auto"/>
              </w:rPr>
              <w:t>1,510,778</w:t>
            </w:r>
          </w:p>
        </w:tc>
        <w:tc>
          <w:tcPr>
            <w:tcW w:w="0" w:type="dxa"/>
            <w:vAlign w:val="bottom"/>
          </w:tcPr>
          <w:p>
            <w:pPr>
              <w:spacing w:after="0"/>
              <w:rPr>
                <w:sz w:val="1"/>
                <w:szCs w:val="1"/>
                <w:color w:val="auto"/>
              </w:rPr>
            </w:pPr>
          </w:p>
        </w:tc>
      </w:tr>
      <w:tr>
        <w:trPr>
          <w:trHeight w:val="54"/>
        </w:trPr>
        <w:tc>
          <w:tcPr>
            <w:tcW w:w="1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20" w:hanging="332"/>
        <w:spacing w:after="0" w:line="266" w:lineRule="auto"/>
        <w:tabs>
          <w:tab w:leader="none" w:pos="37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Except as otherwise noted, 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820" w:hanging="332"/>
        <w:spacing w:after="0" w:line="260"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Amounts reported were calculated by multiplying the number of RSUs outstanding as of December 31, 2022 by $8.83, the closing price of our Class A Common Stock on December 30, 2022, the last trading day in 2022.</w:t>
      </w: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option is fully vested and exercisable.</w:t>
      </w:r>
    </w:p>
    <w:p>
      <w:pPr>
        <w:spacing w:after="0" w:line="12" w:lineRule="exact"/>
        <w:rPr>
          <w:rFonts w:ascii="Arial" w:cs="Arial" w:eastAsia="Arial" w:hAnsi="Arial"/>
          <w:sz w:val="13"/>
          <w:szCs w:val="13"/>
          <w:color w:val="auto"/>
        </w:rPr>
      </w:pPr>
    </w:p>
    <w:p>
      <w:pPr>
        <w:ind w:left="340" w:right="340" w:hanging="332"/>
        <w:spacing w:after="0" w:line="260"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400" w:hanging="332"/>
        <w:spacing w:after="0" w:line="271"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Each RSU constitutes the right to receive one-half of one share of the Company’s Class A common stock and one-half of one share of the Company’s LT50 common stock upon vesting. 12.5% of the RSUs in substantially equal installments on each quarterly anniversary of the vesting commencement date through the 8th anniversary of the vesting commencement date, subject to the holder continuing to provide services to the Company through the applicable vesting date.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80" w:type="dxa"/>
            <w:vAlign w:val="bottom"/>
            <w:tcBorders>
              <w:top w:val="single" w:sz="8" w:color="auto"/>
            </w:tcBorders>
            <w:gridSpan w:val="5"/>
          </w:tcPr>
          <w:p>
            <w:pPr>
              <w:ind w:left="1560"/>
              <w:spacing w:after="0"/>
              <w:rPr>
                <w:sz w:val="20"/>
                <w:szCs w:val="20"/>
                <w:color w:val="auto"/>
              </w:rPr>
            </w:pPr>
            <w:r>
              <w:rPr>
                <w:rFonts w:ascii="Arial" w:cs="Arial" w:eastAsia="Arial" w:hAnsi="Arial"/>
                <w:sz w:val="18"/>
                <w:szCs w:val="18"/>
                <w:b w:val="1"/>
                <w:bCs w:val="1"/>
                <w:color w:val="auto"/>
              </w:rPr>
              <w:t>Option Awards</w:t>
            </w:r>
          </w:p>
        </w:tc>
        <w:tc>
          <w:tcPr>
            <w:tcW w:w="4540" w:type="dxa"/>
            <w:vAlign w:val="bottom"/>
            <w:tcBorders>
              <w:top w:val="single" w:sz="8" w:color="auto"/>
            </w:tcBorders>
            <w:gridSpan w:val="4"/>
          </w:tcPr>
          <w:p>
            <w:pPr>
              <w:jc w:val="right"/>
              <w:ind w:right="159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rPr>
              <w:t>Number of Shares</w:t>
            </w:r>
          </w:p>
        </w:tc>
        <w:tc>
          <w:tcPr>
            <w:tcW w:w="2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Value Realized on</w:t>
            </w:r>
          </w:p>
        </w:tc>
        <w:tc>
          <w:tcPr>
            <w:tcW w:w="100" w:type="dxa"/>
            <w:vAlign w:val="bottom"/>
          </w:tcPr>
          <w:p>
            <w:pPr>
              <w:spacing w:after="0"/>
              <w:rPr>
                <w:sz w:val="14"/>
                <w:szCs w:val="14"/>
                <w:color w:val="auto"/>
              </w:rPr>
            </w:pPr>
          </w:p>
        </w:tc>
        <w:tc>
          <w:tcPr>
            <w:tcW w:w="232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Number of Shares</w:t>
            </w:r>
          </w:p>
        </w:tc>
        <w:tc>
          <w:tcPr>
            <w:tcW w:w="2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Value Realized on</w:t>
            </w:r>
          </w:p>
        </w:tc>
        <w:tc>
          <w:tcPr>
            <w:tcW w:w="0" w:type="dxa"/>
            <w:vAlign w:val="bottom"/>
          </w:tcPr>
          <w:p>
            <w:pPr>
              <w:spacing w:after="0"/>
              <w:rPr>
                <w:sz w:val="1"/>
                <w:szCs w:val="1"/>
                <w:color w:val="auto"/>
              </w:rPr>
            </w:pPr>
          </w:p>
        </w:tc>
      </w:tr>
      <w:tr>
        <w:trPr>
          <w:trHeight w:val="176"/>
        </w:trPr>
        <w:tc>
          <w:tcPr>
            <w:tcW w:w="2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2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Acquired on Exercise</w:t>
            </w:r>
          </w:p>
        </w:tc>
        <w:tc>
          <w:tcPr>
            <w:tcW w:w="200" w:type="dxa"/>
            <w:vAlign w:val="bottom"/>
          </w:tcPr>
          <w:p>
            <w:pPr>
              <w:spacing w:after="0"/>
              <w:rPr>
                <w:sz w:val="15"/>
                <w:szCs w:val="15"/>
                <w:color w:val="auto"/>
              </w:rPr>
            </w:pPr>
          </w:p>
        </w:tc>
        <w:tc>
          <w:tcPr>
            <w:tcW w:w="20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Exercise</w:t>
            </w:r>
          </w:p>
        </w:tc>
        <w:tc>
          <w:tcPr>
            <w:tcW w:w="23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Acquired on Vesting</w:t>
            </w:r>
          </w:p>
        </w:tc>
        <w:tc>
          <w:tcPr>
            <w:tcW w:w="220" w:type="dxa"/>
            <w:vAlign w:val="bottom"/>
          </w:tcPr>
          <w:p>
            <w:pPr>
              <w:spacing w:after="0"/>
              <w:rPr>
                <w:sz w:val="15"/>
                <w:szCs w:val="15"/>
                <w:color w:val="auto"/>
              </w:rPr>
            </w:pPr>
          </w:p>
        </w:tc>
        <w:tc>
          <w:tcPr>
            <w:tcW w:w="20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8"/>
              </w:rPr>
              <w:t>Vesting</w:t>
            </w:r>
          </w:p>
        </w:tc>
        <w:tc>
          <w:tcPr>
            <w:tcW w:w="0" w:type="dxa"/>
            <w:vAlign w:val="bottom"/>
          </w:tcPr>
          <w:p>
            <w:pPr>
              <w:spacing w:after="0"/>
              <w:rPr>
                <w:sz w:val="1"/>
                <w:szCs w:val="1"/>
                <w:color w:val="auto"/>
              </w:rPr>
            </w:pPr>
          </w:p>
        </w:tc>
      </w:tr>
      <w:tr>
        <w:trPr>
          <w:trHeight w:val="243"/>
        </w:trPr>
        <w:tc>
          <w:tcPr>
            <w:tcW w:w="2220" w:type="dxa"/>
            <w:vAlign w:val="bottom"/>
            <w:gridSpan w:val="2"/>
            <w:vMerge w:val="continue"/>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center"/>
              <w:ind w:right="110"/>
              <w:spacing w:after="0" w:line="243"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(1)</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center"/>
              <w:ind w:right="150"/>
              <w:spacing w:after="0" w:line="243"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(2)</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2,197,799</w:t>
            </w:r>
          </w:p>
        </w:tc>
        <w:tc>
          <w:tcPr>
            <w:tcW w:w="0" w:type="dxa"/>
            <w:vAlign w:val="bottom"/>
          </w:tcPr>
          <w:p>
            <w:pPr>
              <w:spacing w:after="0"/>
              <w:rPr>
                <w:sz w:val="1"/>
                <w:szCs w:val="1"/>
                <w:color w:val="auto"/>
              </w:rPr>
            </w:pPr>
          </w:p>
        </w:tc>
      </w:tr>
      <w:tr>
        <w:trPr>
          <w:trHeight w:val="229"/>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2160" w:type="dxa"/>
            <w:vAlign w:val="bottom"/>
          </w:tcPr>
          <w:p>
            <w:pPr>
              <w:jc w:val="right"/>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268,873</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39,378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584,648</w:t>
            </w:r>
          </w:p>
        </w:tc>
        <w:tc>
          <w:tcPr>
            <w:tcW w:w="0" w:type="dxa"/>
            <w:vAlign w:val="bottom"/>
          </w:tcPr>
          <w:p>
            <w:pPr>
              <w:spacing w:after="0"/>
              <w:rPr>
                <w:sz w:val="1"/>
                <w:szCs w:val="1"/>
                <w:color w:val="auto"/>
              </w:rPr>
            </w:pPr>
          </w:p>
        </w:tc>
      </w:tr>
      <w:tr>
        <w:trPr>
          <w:trHeight w:val="23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Anu Muralidharan</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480,896</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are calculated by multiplying the number of shares as to which the option was exercised by the market price of the shares on the exercise date, net of the exercise price.</w:t>
      </w:r>
    </w:p>
    <w:p>
      <w:pPr>
        <w:spacing w:after="0" w:line="24" w:lineRule="exact"/>
        <w:rPr>
          <w:rFonts w:ascii="Arial" w:cs="Arial" w:eastAsia="Arial" w:hAnsi="Arial"/>
          <w:sz w:val="13"/>
          <w:szCs w:val="13"/>
          <w:color w:val="auto"/>
        </w:rPr>
      </w:pPr>
    </w:p>
    <w:p>
      <w:pPr>
        <w:ind w:left="340" w:right="220" w:hanging="332"/>
        <w:spacing w:after="0" w:line="283" w:lineRule="auto"/>
        <w:tabs>
          <w:tab w:leader="none" w:pos="343"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are calculated by multiplying the number of shares underlying RSUs that vested by our closing stock price on the vesting date, or, for shares issued under our 2021 Stock Purchase and Matching Plan, the date of issuance since all such shares were fully vested on the date of issuance.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5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4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terms of our 2021 Incentive Award Plan, in the event of a change in control of the Company, if outstanding awards are not assumed or substituted then the awards will fully vest as of immediately prior to the change in control. No other equity plan or individual award agreement provides for accelerated vesting in the event of a change in control or termination of employment.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Potential Payments</w:t>
      </w:r>
    </w:p>
    <w:p>
      <w:pPr>
        <w:spacing w:after="0" w:line="15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No payments would have been made to any of our NEOs upon the occurrence of a termination of employment or a change in control occurring on December 31,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applicable SEC rules, we are providing the ratio of the total annual compensation of our CEO, David Barrett, to that of our median compensated employee for fiscal 2022. Mr. Barrett’s total annual compensation for 2022, as reported in the Summary Compensation Table above, was $1,654,892. The total annual compensation of the employee identified as our median compensated employee (excluding our CEO) for 2022 was $233,528. The ratio of our CEO’s total compensation for 2022 to the total compensation of our median compensated employee was approximately 7 to 1.</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identify our median compensated employee for purposes of this pay ratio disclosure, we first determined that on December 31, 2022, we had 138 full-time, part-time, and temporary employees other than Mr. Barrett. We ranked the annual compensation of this employee population based on compensation reportable on IRS Form W-2 in the United States and comparable tax reporting documents in other countries. After identifying the median compensated employee from this ranking, we calculated annual total compensation for such employee during fiscal 2022 using the same methodology we use to calculate the total compensation of our CEO as set forth in the Summary Compensation Table above.</w:t>
      </w:r>
    </w:p>
    <w:p>
      <w:pPr>
        <w:spacing w:after="0" w:line="10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his or her annual total compensation allow companies to use a variety of methodologies, to apply certain exclusions,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make reasonable estimates and assumptions that reflect their compensation practices. As such, the pay ratio reported by other companies may not be comparable to the pay ratio we report above, as other companies may have different employment and compensation practices and may use different methodologies, exclusions, estimates and assumptions to calculate their own pay ratios.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disclosed in this section was developed and is provided solely to comply with specific legal requirements. We do not use this information in managing our Company and the Compensation Committee does not consider this in any of its deliberations.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14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6"/>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Value of Initial Fixed $100</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60"/>
              <w:spacing w:after="0" w:line="243" w:lineRule="exact"/>
              <w:rPr>
                <w:sz w:val="20"/>
                <w:szCs w:val="20"/>
                <w:color w:val="auto"/>
              </w:rPr>
            </w:pPr>
            <w:r>
              <w:rPr>
                <w:rFonts w:ascii="Arial" w:cs="Arial" w:eastAsia="Arial" w:hAnsi="Arial"/>
                <w:sz w:val="18"/>
                <w:szCs w:val="18"/>
                <w:b w:val="1"/>
                <w:bCs w:val="1"/>
                <w:color w:val="auto"/>
                <w:w w:val="97"/>
              </w:rPr>
              <w:t>Investment Based On</w:t>
            </w:r>
            <w:r>
              <w:rPr>
                <w:rFonts w:ascii="Arial" w:cs="Arial" w:eastAsia="Arial" w:hAnsi="Arial"/>
                <w:sz w:val="23"/>
                <w:szCs w:val="23"/>
                <w:b w:val="1"/>
                <w:bCs w:val="1"/>
                <w:color w:val="auto"/>
                <w:w w:val="97"/>
                <w:vertAlign w:val="superscript"/>
              </w:rPr>
              <w:t>(4)</w:t>
            </w:r>
            <w:r>
              <w:rPr>
                <w:rFonts w:ascii="Arial" w:cs="Arial" w:eastAsia="Arial" w:hAnsi="Arial"/>
                <w:sz w:val="18"/>
                <w:szCs w:val="18"/>
                <w:b w:val="1"/>
                <w:bCs w:val="1"/>
                <w:color w:val="auto"/>
                <w:w w:val="97"/>
              </w:rPr>
              <w: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Average</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Summary</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Summary</w:t>
            </w: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Peer Group</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Compensation</w:t>
            </w:r>
          </w:p>
        </w:tc>
        <w:tc>
          <w:tcPr>
            <w:tcW w:w="142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Compensation</w:t>
            </w:r>
          </w:p>
        </w:tc>
        <w:tc>
          <w:tcPr>
            <w:tcW w:w="1540" w:type="dxa"/>
            <w:vAlign w:val="bottom"/>
            <w:gridSpan w:val="3"/>
          </w:tcPr>
          <w:p>
            <w:pPr>
              <w:jc w:val="center"/>
              <w:ind w:right="120"/>
              <w:spacing w:after="0" w:line="189" w:lineRule="exact"/>
              <w:rPr>
                <w:sz w:val="20"/>
                <w:szCs w:val="20"/>
                <w:color w:val="auto"/>
              </w:rPr>
            </w:pPr>
            <w:r>
              <w:rPr>
                <w:rFonts w:ascii="Arial" w:cs="Arial" w:eastAsia="Arial" w:hAnsi="Arial"/>
                <w:sz w:val="18"/>
                <w:szCs w:val="18"/>
                <w:b w:val="1"/>
                <w:bCs w:val="1"/>
                <w:color w:val="auto"/>
              </w:rPr>
              <w:t>Compensation</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7"/>
              </w:rPr>
              <w:t>Total</w:t>
            </w:r>
          </w:p>
        </w:tc>
        <w:tc>
          <w:tcPr>
            <w:tcW w:w="12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Compensation</w:t>
            </w:r>
          </w:p>
        </w:tc>
        <w:tc>
          <w:tcPr>
            <w:tcW w:w="1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6"/>
              </w:rPr>
              <w:t>Table Total for</w:t>
            </w:r>
          </w:p>
        </w:tc>
        <w:tc>
          <w:tcPr>
            <w:tcW w:w="154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Actually Paid to</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7"/>
              </w:rPr>
              <w:t>Total</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6"/>
              </w:rPr>
              <w:t>Table Total for</w:t>
            </w:r>
          </w:p>
        </w:tc>
        <w:tc>
          <w:tcPr>
            <w:tcW w:w="140" w:type="dxa"/>
            <w:vAlign w:val="bottom"/>
          </w:tcPr>
          <w:p>
            <w:pPr>
              <w:spacing w:after="0"/>
              <w:rPr>
                <w:sz w:val="15"/>
                <w:szCs w:val="15"/>
                <w:color w:val="auto"/>
              </w:rPr>
            </w:pPr>
          </w:p>
        </w:tc>
        <w:tc>
          <w:tcPr>
            <w:tcW w:w="15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Actually Paid to</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Non-PEO</w:t>
            </w:r>
          </w:p>
        </w:tc>
        <w:tc>
          <w:tcPr>
            <w:tcW w:w="18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Non-PEO</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Shareholder</w:t>
            </w:r>
          </w:p>
        </w:tc>
        <w:tc>
          <w:tcPr>
            <w:tcW w:w="12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Shareholder</w:t>
            </w:r>
          </w:p>
        </w:tc>
        <w:tc>
          <w:tcPr>
            <w:tcW w:w="138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Net Income</w:t>
            </w:r>
          </w:p>
        </w:tc>
        <w:tc>
          <w:tcPr>
            <w:tcW w:w="0" w:type="dxa"/>
            <w:vAlign w:val="bottom"/>
          </w:tcPr>
          <w:p>
            <w:pPr>
              <w:spacing w:after="0"/>
              <w:rPr>
                <w:sz w:val="1"/>
                <w:szCs w:val="1"/>
                <w:color w:val="auto"/>
              </w:rPr>
            </w:pPr>
          </w:p>
        </w:tc>
      </w:tr>
      <w:tr>
        <w:trPr>
          <w:trHeight w:val="189"/>
        </w:trPr>
        <w:tc>
          <w:tcPr>
            <w:tcW w:w="11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16"/>
                <w:szCs w:val="16"/>
                <w:color w:val="auto"/>
              </w:rPr>
            </w:pPr>
          </w:p>
        </w:tc>
        <w:tc>
          <w:tcPr>
            <w:tcW w:w="1300" w:type="dxa"/>
            <w:vAlign w:val="bottom"/>
            <w:gridSpan w:val="2"/>
          </w:tcPr>
          <w:p>
            <w:pPr>
              <w:jc w:val="center"/>
              <w:ind w:right="300"/>
              <w:spacing w:after="0" w:line="189" w:lineRule="exact"/>
              <w:rPr>
                <w:sz w:val="20"/>
                <w:szCs w:val="20"/>
                <w:color w:val="auto"/>
              </w:rPr>
            </w:pPr>
            <w:r>
              <w:rPr>
                <w:rFonts w:ascii="Arial" w:cs="Arial" w:eastAsia="Arial" w:hAnsi="Arial"/>
                <w:sz w:val="17"/>
                <w:szCs w:val="17"/>
                <w:b w:val="1"/>
                <w:bCs w:val="1"/>
                <w:color w:val="auto"/>
                <w:w w:val="97"/>
              </w:rPr>
              <w:t>PEO</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6"/>
                <w:szCs w:val="16"/>
                <w:color w:val="auto"/>
              </w:rPr>
            </w:pPr>
          </w:p>
        </w:tc>
        <w:tc>
          <w:tcPr>
            <w:tcW w:w="1560" w:type="dxa"/>
            <w:vAlign w:val="bottom"/>
            <w:gridSpan w:val="2"/>
          </w:tcPr>
          <w:p>
            <w:pPr>
              <w:jc w:val="center"/>
              <w:ind w:right="220"/>
              <w:spacing w:after="0" w:line="189" w:lineRule="exact"/>
              <w:rPr>
                <w:sz w:val="20"/>
                <w:szCs w:val="20"/>
                <w:color w:val="auto"/>
              </w:rPr>
            </w:pPr>
            <w:r>
              <w:rPr>
                <w:rFonts w:ascii="Arial" w:cs="Arial" w:eastAsia="Arial" w:hAnsi="Arial"/>
                <w:sz w:val="21"/>
                <w:szCs w:val="21"/>
                <w:b w:val="1"/>
                <w:bCs w:val="1"/>
                <w:color w:val="auto"/>
                <w:vertAlign w:val="subscript"/>
              </w:rPr>
              <w:t>PEO</w:t>
            </w:r>
            <w:r>
              <w:rPr>
                <w:rFonts w:ascii="Arial" w:cs="Arial" w:eastAsia="Arial" w:hAnsi="Arial"/>
                <w:sz w:val="9"/>
                <w:szCs w:val="9"/>
                <w:b w:val="1"/>
                <w:bCs w:val="1"/>
                <w:color w:val="auto"/>
              </w:rPr>
              <w:t>(1)(2)(3)</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line="189" w:lineRule="exact"/>
              <w:rPr>
                <w:sz w:val="20"/>
                <w:szCs w:val="20"/>
                <w:color w:val="auto"/>
              </w:rPr>
            </w:pPr>
            <w:r>
              <w:rPr>
                <w:rFonts w:ascii="Arial" w:cs="Arial" w:eastAsia="Arial" w:hAnsi="Arial"/>
                <w:sz w:val="17"/>
                <w:szCs w:val="17"/>
                <w:b w:val="1"/>
                <w:bCs w:val="1"/>
                <w:color w:val="auto"/>
              </w:rPr>
              <w:t>NEOs</w:t>
            </w:r>
            <w:r>
              <w:rPr>
                <w:rFonts w:ascii="Arial" w:cs="Arial" w:eastAsia="Arial" w:hAnsi="Arial"/>
                <w:sz w:val="21"/>
                <w:szCs w:val="21"/>
                <w:b w:val="1"/>
                <w:bCs w:val="1"/>
                <w:color w:val="auto"/>
                <w:vertAlign w:val="superscript"/>
              </w:rPr>
              <w:t>(1)</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9" w:lineRule="exact"/>
              <w:rPr>
                <w:sz w:val="20"/>
                <w:szCs w:val="20"/>
                <w:color w:val="auto"/>
              </w:rPr>
            </w:pPr>
            <w:r>
              <w:rPr>
                <w:rFonts w:ascii="Arial" w:cs="Arial" w:eastAsia="Arial" w:hAnsi="Arial"/>
                <w:sz w:val="21"/>
                <w:szCs w:val="21"/>
                <w:b w:val="1"/>
                <w:bCs w:val="1"/>
                <w:color w:val="auto"/>
                <w:vertAlign w:val="subscript"/>
              </w:rPr>
              <w:t>NEOs</w:t>
            </w:r>
            <w:r>
              <w:rPr>
                <w:rFonts w:ascii="Arial" w:cs="Arial" w:eastAsia="Arial" w:hAnsi="Arial"/>
                <w:sz w:val="9"/>
                <w:szCs w:val="9"/>
                <w:b w:val="1"/>
                <w:bCs w:val="1"/>
                <w:color w:val="auto"/>
              </w:rPr>
              <w:t>(1)(2)(3)</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Return</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Return</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57"/>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1"/>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17"/>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10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1,654,892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(22,452,927)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(4,714,409)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(27,009)</w:t>
            </w:r>
          </w:p>
        </w:tc>
        <w:tc>
          <w:tcPr>
            <w:tcW w:w="0" w:type="dxa"/>
            <w:vAlign w:val="bottom"/>
          </w:tcPr>
          <w:p>
            <w:pPr>
              <w:spacing w:after="0"/>
              <w:rPr>
                <w:sz w:val="1"/>
                <w:szCs w:val="1"/>
                <w:color w:val="auto"/>
              </w:rPr>
            </w:pPr>
          </w:p>
        </w:tc>
      </w:tr>
      <w:tr>
        <w:trPr>
          <w:trHeight w:val="239"/>
        </w:trPr>
        <w:tc>
          <w:tcPr>
            <w:tcW w:w="1000" w:type="dxa"/>
            <w:vAlign w:val="bottom"/>
          </w:tcPr>
          <w:p>
            <w:pPr>
              <w:ind w:left="30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19,967,553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71,002,544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7,710,097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20,678,009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45"/>
        </w:trPr>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Mr. Barrett was our PEO and Mr. Schaffer and Ms. Muralidharan were our Non-PEO NEOs for each of the years reported.</w:t>
      </w:r>
    </w:p>
    <w:p>
      <w:pPr>
        <w:spacing w:after="0" w:line="24" w:lineRule="exact"/>
        <w:rPr>
          <w:rFonts w:ascii="Arial" w:cs="Arial" w:eastAsia="Arial" w:hAnsi="Arial"/>
          <w:sz w:val="13"/>
          <w:szCs w:val="13"/>
          <w:color w:val="auto"/>
        </w:rPr>
      </w:pPr>
    </w:p>
    <w:p>
      <w:pPr>
        <w:ind w:left="340" w:right="540" w:hanging="332"/>
        <w:spacing w:after="0" w:line="260" w:lineRule="auto"/>
        <w:tabs>
          <w:tab w:leader="none" w:pos="3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ind w:left="340" w:right="220" w:hanging="332"/>
        <w:spacing w:after="0" w:line="271" w:lineRule="auto"/>
        <w:tabs>
          <w:tab w:leader="none" w:pos="3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Summary Compensation</w:t>
            </w: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Exclusion of Stock</w:t>
            </w:r>
          </w:p>
        </w:tc>
        <w:tc>
          <w:tcPr>
            <w:tcW w:w="2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Inclusion of Equity</w:t>
            </w:r>
          </w:p>
        </w:tc>
        <w:tc>
          <w:tcPr>
            <w:tcW w:w="21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Compensation Actually</w:t>
            </w:r>
          </w:p>
        </w:tc>
        <w:tc>
          <w:tcPr>
            <w:tcW w:w="0" w:type="dxa"/>
            <w:vAlign w:val="bottom"/>
          </w:tcPr>
          <w:p>
            <w:pPr>
              <w:spacing w:after="0"/>
              <w:rPr>
                <w:sz w:val="1"/>
                <w:szCs w:val="1"/>
                <w:color w:val="auto"/>
              </w:rPr>
            </w:pPr>
          </w:p>
        </w:tc>
      </w:tr>
      <w:tr>
        <w:trPr>
          <w:trHeight w:val="181"/>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9"/>
              </w:rPr>
              <w:t>Awards and Option</w:t>
            </w:r>
          </w:p>
        </w:tc>
        <w:tc>
          <w:tcPr>
            <w:tcW w:w="2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Year</w:t>
            </w:r>
          </w:p>
        </w:tc>
        <w:tc>
          <w:tcPr>
            <w:tcW w:w="2260" w:type="dxa"/>
            <w:vAlign w:val="bottom"/>
            <w:gridSpan w:val="3"/>
          </w:tcPr>
          <w:p>
            <w:pPr>
              <w:ind w:left="260"/>
              <w:spacing w:after="0" w:line="176" w:lineRule="exact"/>
              <w:rPr>
                <w:sz w:val="20"/>
                <w:szCs w:val="20"/>
                <w:color w:val="auto"/>
              </w:rPr>
            </w:pPr>
            <w:r>
              <w:rPr>
                <w:rFonts w:ascii="Arial" w:cs="Arial" w:eastAsia="Arial" w:hAnsi="Arial"/>
                <w:sz w:val="18"/>
                <w:szCs w:val="18"/>
                <w:b w:val="1"/>
                <w:bCs w:val="1"/>
                <w:color w:val="auto"/>
              </w:rPr>
              <w:t>Table Total for PEO</w:t>
            </w:r>
          </w:p>
        </w:tc>
        <w:tc>
          <w:tcPr>
            <w:tcW w:w="180" w:type="dxa"/>
            <w:vAlign w:val="bottom"/>
          </w:tcPr>
          <w:p>
            <w:pPr>
              <w:spacing w:after="0"/>
              <w:rPr>
                <w:sz w:val="15"/>
                <w:szCs w:val="15"/>
                <w:color w:val="auto"/>
              </w:rPr>
            </w:pPr>
          </w:p>
        </w:tc>
        <w:tc>
          <w:tcPr>
            <w:tcW w:w="20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rPr>
              <w:t>Awards for PEO</w:t>
            </w:r>
          </w:p>
        </w:tc>
        <w:tc>
          <w:tcPr>
            <w:tcW w:w="200" w:type="dxa"/>
            <w:vAlign w:val="bottom"/>
          </w:tcPr>
          <w:p>
            <w:pPr>
              <w:spacing w:after="0"/>
              <w:rPr>
                <w:sz w:val="15"/>
                <w:szCs w:val="15"/>
                <w:color w:val="auto"/>
              </w:rPr>
            </w:pPr>
          </w:p>
        </w:tc>
        <w:tc>
          <w:tcPr>
            <w:tcW w:w="20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8"/>
              </w:rPr>
              <w:t>Values for PEO</w:t>
            </w:r>
          </w:p>
        </w:tc>
        <w:tc>
          <w:tcPr>
            <w:tcW w:w="320" w:type="dxa"/>
            <w:vAlign w:val="bottom"/>
          </w:tcPr>
          <w:p>
            <w:pPr>
              <w:spacing w:after="0"/>
              <w:rPr>
                <w:sz w:val="15"/>
                <w:szCs w:val="15"/>
                <w:color w:val="auto"/>
              </w:rPr>
            </w:pPr>
          </w:p>
        </w:tc>
        <w:tc>
          <w:tcPr>
            <w:tcW w:w="184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8"/>
              </w:rPr>
              <w:t>Paid to PEO</w:t>
            </w:r>
          </w:p>
        </w:tc>
        <w:tc>
          <w:tcPr>
            <w:tcW w:w="0" w:type="dxa"/>
            <w:vAlign w:val="bottom"/>
          </w:tcPr>
          <w:p>
            <w:pPr>
              <w:spacing w:after="0"/>
              <w:rPr>
                <w:sz w:val="1"/>
                <w:szCs w:val="1"/>
                <w:color w:val="auto"/>
              </w:rPr>
            </w:pPr>
          </w:p>
        </w:tc>
      </w:tr>
      <w:tr>
        <w:trPr>
          <w:trHeight w:val="229"/>
        </w:trPr>
        <w:tc>
          <w:tcPr>
            <w:tcW w:w="2000" w:type="dxa"/>
            <w:vAlign w:val="bottom"/>
            <w:gridSpan w:val="2"/>
            <w:vMerge w:val="continue"/>
          </w:tcPr>
          <w:p>
            <w:pPr>
              <w:spacing w:after="0"/>
              <w:rPr>
                <w:sz w:val="19"/>
                <w:szCs w:val="19"/>
                <w:color w:val="auto"/>
              </w:rPr>
            </w:pPr>
          </w:p>
        </w:tc>
        <w:tc>
          <w:tcPr>
            <w:tcW w:w="1140" w:type="dxa"/>
            <w:vAlign w:val="bottom"/>
          </w:tcPr>
          <w:p>
            <w:pPr>
              <w:ind w:left="980"/>
              <w:spacing w:after="0"/>
              <w:rPr>
                <w:sz w:val="20"/>
                <w:szCs w:val="20"/>
                <w:color w:val="auto"/>
              </w:rPr>
            </w:pPr>
            <w:r>
              <w:rPr>
                <w:rFonts w:ascii="Arial" w:cs="Arial" w:eastAsia="Arial" w:hAnsi="Arial"/>
                <w:sz w:val="18"/>
                <w:szCs w:val="18"/>
                <w:b w:val="1"/>
                <w:bCs w:val="1"/>
                <w:color w:val="auto"/>
                <w:w w:val="87"/>
              </w:rPr>
              <w:t>($</w:t>
            </w:r>
          </w:p>
        </w:tc>
        <w:tc>
          <w:tcPr>
            <w:tcW w:w="1020" w:type="dxa"/>
            <w:vAlign w:val="bottom"/>
          </w:tcPr>
          <w:p>
            <w:pPr>
              <w:jc w:val="right"/>
              <w:ind w:right="874"/>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19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1,654,892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(24,059,254)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(22,452,927)</w:t>
            </w:r>
          </w:p>
        </w:tc>
        <w:tc>
          <w:tcPr>
            <w:tcW w:w="0" w:type="dxa"/>
            <w:vAlign w:val="bottom"/>
          </w:tcPr>
          <w:p>
            <w:pPr>
              <w:spacing w:after="0"/>
              <w:rPr>
                <w:sz w:val="1"/>
                <w:szCs w:val="1"/>
                <w:color w:val="auto"/>
              </w:rPr>
            </w:pPr>
          </w:p>
        </w:tc>
      </w:tr>
      <w:tr>
        <w:trPr>
          <w:trHeight w:val="239"/>
        </w:trPr>
        <w:tc>
          <w:tcPr>
            <w:tcW w:w="1920" w:type="dxa"/>
            <w:vAlign w:val="bottom"/>
          </w:tcPr>
          <w:p>
            <w:pPr>
              <w:ind w:left="76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19,967,553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(18,910,825)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69,945,816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71,002,544</w:t>
            </w:r>
          </w:p>
        </w:tc>
        <w:tc>
          <w:tcPr>
            <w:tcW w:w="0" w:type="dxa"/>
            <w:vAlign w:val="bottom"/>
          </w:tcPr>
          <w:p>
            <w:pPr>
              <w:spacing w:after="0"/>
              <w:rPr>
                <w:sz w:val="1"/>
                <w:szCs w:val="1"/>
                <w:color w:val="auto"/>
              </w:rPr>
            </w:pPr>
          </w:p>
        </w:tc>
      </w:tr>
      <w:tr>
        <w:trPr>
          <w:trHeight w:val="45"/>
        </w:trPr>
        <w:tc>
          <w:tcPr>
            <w:tcW w:w="1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Summary Compensation</w:t>
      </w:r>
    </w:p>
    <w:p>
      <w:pPr>
        <w:ind w:left="2200"/>
        <w:spacing w:after="0" w:line="203" w:lineRule="auto"/>
        <w:rPr>
          <w:sz w:val="20"/>
          <w:szCs w:val="20"/>
          <w:color w:val="auto"/>
        </w:rPr>
      </w:pPr>
      <w:r>
        <w:rPr>
          <w:rFonts w:ascii="Arial" w:cs="Arial" w:eastAsia="Arial" w:hAnsi="Arial"/>
          <w:sz w:val="18"/>
          <w:szCs w:val="18"/>
          <w:b w:val="1"/>
          <w:bCs w:val="1"/>
          <w:color w:val="auto"/>
        </w:rPr>
        <w:t>Table Average Total for</w:t>
      </w:r>
    </w:p>
    <w:p>
      <w:pPr>
        <w:ind w:left="2480"/>
        <w:spacing w:after="0" w:line="219" w:lineRule="auto"/>
        <w:rPr>
          <w:sz w:val="20"/>
          <w:szCs w:val="20"/>
          <w:color w:val="auto"/>
        </w:rPr>
      </w:pPr>
      <w:r>
        <w:rPr>
          <w:rFonts w:ascii="Arial" w:cs="Arial" w:eastAsia="Arial" w:hAnsi="Arial"/>
          <w:sz w:val="18"/>
          <w:szCs w:val="18"/>
          <w:b w:val="1"/>
          <w:bCs w:val="1"/>
          <w:color w:val="auto"/>
        </w:rPr>
        <w:t>Non-PEO NEOs</w:t>
      </w:r>
    </w:p>
    <w:p>
      <w:pPr>
        <w:spacing w:after="0" w:line="1" w:lineRule="exact"/>
        <w:rPr>
          <w:sz w:val="20"/>
          <w:szCs w:val="20"/>
          <w:color w:val="auto"/>
        </w:rPr>
      </w:pPr>
    </w:p>
    <w:p>
      <w:pPr>
        <w:ind w:left="800"/>
        <w:spacing w:after="0"/>
        <w:tabs>
          <w:tab w:leader="none" w:pos="3040" w:val="left"/>
        </w:tabs>
        <w:rPr>
          <w:sz w:val="20"/>
          <w:szCs w:val="20"/>
          <w:color w:val="auto"/>
        </w:rPr>
      </w:pPr>
      <w:r>
        <w:rPr>
          <w:rFonts w:ascii="Arial" w:cs="Arial" w:eastAsia="Arial" w:hAnsi="Arial"/>
          <w:sz w:val="18"/>
          <w:szCs w:val="18"/>
          <w:b w:val="1"/>
          <w:bCs w:val="1"/>
          <w:color w:val="auto"/>
        </w:rPr>
        <w:t>Year</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both"/>
        <w:ind w:firstLine="83"/>
        <w:spacing w:after="0" w:line="228" w:lineRule="auto"/>
        <w:rPr>
          <w:sz w:val="20"/>
          <w:szCs w:val="20"/>
          <w:color w:val="auto"/>
        </w:rPr>
      </w:pPr>
      <w:r>
        <w:rPr>
          <w:rFonts w:ascii="Arial" w:cs="Arial" w:eastAsia="Arial" w:hAnsi="Arial"/>
          <w:sz w:val="17"/>
          <w:szCs w:val="17"/>
          <w:b w:val="1"/>
          <w:bCs w:val="1"/>
          <w:color w:val="auto"/>
        </w:rPr>
        <w:t>Exclusion of Stock Awards and Option Awards for Non-PEO</w:t>
      </w:r>
    </w:p>
    <w:p>
      <w:pPr>
        <w:jc w:val="center"/>
        <w:spacing w:after="0" w:line="204" w:lineRule="auto"/>
        <w:rPr>
          <w:sz w:val="20"/>
          <w:szCs w:val="20"/>
          <w:color w:val="auto"/>
        </w:rPr>
      </w:pPr>
      <w:r>
        <w:rPr>
          <w:rFonts w:ascii="Arial" w:cs="Arial" w:eastAsia="Arial" w:hAnsi="Arial"/>
          <w:sz w:val="18"/>
          <w:szCs w:val="18"/>
          <w:b w:val="1"/>
          <w:bCs w:val="1"/>
          <w:color w:val="auto"/>
        </w:rPr>
        <w:t>NEOs</w:t>
      </w: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Inclusion of Equity</w:t>
            </w:r>
          </w:p>
        </w:tc>
        <w:tc>
          <w:tcPr>
            <w:tcW w:w="224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99"/>
              </w:rPr>
              <w:t>Compensation Actually</w:t>
            </w:r>
          </w:p>
        </w:tc>
        <w:tc>
          <w:tcPr>
            <w:tcW w:w="0" w:type="dxa"/>
            <w:vAlign w:val="bottom"/>
          </w:tcPr>
          <w:p>
            <w:pPr>
              <w:spacing w:after="0"/>
              <w:rPr>
                <w:sz w:val="1"/>
                <w:szCs w:val="1"/>
                <w:color w:val="auto"/>
              </w:rPr>
            </w:pPr>
          </w:p>
        </w:tc>
      </w:tr>
      <w:tr>
        <w:trPr>
          <w:trHeight w:val="175"/>
        </w:trPr>
        <w:tc>
          <w:tcPr>
            <w:tcW w:w="19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Values for Non-PEO</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7"/>
              </w:rPr>
              <w:t>NEOs</w:t>
            </w:r>
          </w:p>
        </w:tc>
        <w:tc>
          <w:tcPr>
            <w:tcW w:w="224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Paid to Non-PEO NEOs</w:t>
            </w:r>
          </w:p>
        </w:tc>
        <w:tc>
          <w:tcPr>
            <w:tcW w:w="0" w:type="dxa"/>
            <w:vAlign w:val="bottom"/>
          </w:tcPr>
          <w:p>
            <w:pPr>
              <w:spacing w:after="0"/>
              <w:rPr>
                <w:sz w:val="1"/>
                <w:szCs w:val="1"/>
                <w:color w:val="auto"/>
              </w:rPr>
            </w:pPr>
          </w:p>
        </w:tc>
      </w:tr>
      <w:tr>
        <w:trPr>
          <w:trHeight w:val="243"/>
        </w:trPr>
        <w:tc>
          <w:tcPr>
            <w:tcW w:w="1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4240" w:space="360"/>
            <w:col w:w="1780" w:space="580"/>
            <w:col w:w="4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9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672,749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(5,381,247)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(4,714,409)</w:t>
            </w:r>
          </w:p>
        </w:tc>
      </w:tr>
      <w:tr>
        <w:trPr>
          <w:trHeight w:val="239"/>
        </w:trPr>
        <w:tc>
          <w:tcPr>
            <w:tcW w:w="1960" w:type="dxa"/>
            <w:vAlign w:val="bottom"/>
          </w:tcPr>
          <w:p>
            <w:pPr>
              <w:jc w:val="right"/>
              <w:ind w:right="6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7,710,097</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(4,898,880)</w:t>
            </w:r>
          </w:p>
        </w:tc>
        <w:tc>
          <w:tcPr>
            <w:tcW w:w="10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17,866,792</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20,678,009</w:t>
            </w:r>
          </w:p>
        </w:tc>
      </w:tr>
      <w:tr>
        <w:trPr>
          <w:trHeight w:val="45"/>
        </w:trPr>
        <w:tc>
          <w:tcPr>
            <w:tcW w:w="1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The amounts in the Inclusion of Equity Values in the tables above are derived from the amounts set forth in the following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Year-End Fair</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Change in Fair</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Value of</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154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Change in Fair</w:t>
            </w:r>
          </w:p>
        </w:tc>
        <w:tc>
          <w:tcPr>
            <w:tcW w:w="60" w:type="dxa"/>
            <w:vAlign w:val="bottom"/>
          </w:tcPr>
          <w:p>
            <w:pPr>
              <w:spacing w:after="0"/>
              <w:rPr>
                <w:sz w:val="16"/>
                <w:szCs w:val="16"/>
                <w:color w:val="auto"/>
              </w:rPr>
            </w:pPr>
          </w:p>
        </w:tc>
        <w:tc>
          <w:tcPr>
            <w:tcW w:w="134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9"/>
              </w:rPr>
              <w:t>Vesting-Date</w:t>
            </w:r>
          </w:p>
        </w:tc>
        <w:tc>
          <w:tcPr>
            <w:tcW w:w="1580" w:type="dxa"/>
            <w:vAlign w:val="bottom"/>
            <w:gridSpan w:val="4"/>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Value from Last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120"/>
              <w:spacing w:after="0" w:line="189" w:lineRule="exact"/>
              <w:rPr>
                <w:sz w:val="20"/>
                <w:szCs w:val="20"/>
                <w:color w:val="auto"/>
              </w:rPr>
            </w:pPr>
            <w:r>
              <w:rPr>
                <w:rFonts w:ascii="Arial" w:cs="Arial" w:eastAsia="Arial" w:hAnsi="Arial"/>
                <w:sz w:val="18"/>
                <w:szCs w:val="18"/>
                <w:b w:val="1"/>
                <w:bCs w:val="1"/>
                <w:color w:val="auto"/>
              </w:rPr>
              <w:t>Dividends or</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Value of Equity</w:t>
            </w:r>
          </w:p>
        </w:tc>
        <w:tc>
          <w:tcPr>
            <w:tcW w:w="1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Day of Prior</w:t>
            </w:r>
          </w:p>
        </w:tc>
        <w:tc>
          <w:tcPr>
            <w:tcW w:w="20" w:type="dxa"/>
            <w:vAlign w:val="bottom"/>
          </w:tcPr>
          <w:p>
            <w:pPr>
              <w:spacing w:after="0"/>
              <w:rPr>
                <w:sz w:val="15"/>
                <w:szCs w:val="15"/>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8"/>
              </w:rPr>
              <w:t>Fair Value at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20"/>
              <w:spacing w:after="0" w:line="176" w:lineRule="exact"/>
              <w:rPr>
                <w:sz w:val="20"/>
                <w:szCs w:val="20"/>
                <w:color w:val="auto"/>
              </w:rPr>
            </w:pPr>
            <w:r>
              <w:rPr>
                <w:rFonts w:ascii="Arial" w:cs="Arial" w:eastAsia="Arial" w:hAnsi="Arial"/>
                <w:sz w:val="18"/>
                <w:szCs w:val="18"/>
                <w:b w:val="1"/>
                <w:bCs w:val="1"/>
                <w:color w:val="auto"/>
              </w:rPr>
              <w:t>Awards</w:t>
            </w:r>
          </w:p>
        </w:tc>
        <w:tc>
          <w:tcPr>
            <w:tcW w:w="154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Value from Last</w:t>
            </w:r>
          </w:p>
        </w:tc>
        <w:tc>
          <w:tcPr>
            <w:tcW w:w="60" w:type="dxa"/>
            <w:vAlign w:val="bottom"/>
          </w:tcPr>
          <w:p>
            <w:pPr>
              <w:spacing w:after="0"/>
              <w:rPr>
                <w:sz w:val="15"/>
                <w:szCs w:val="15"/>
                <w:color w:val="auto"/>
              </w:rPr>
            </w:pPr>
          </w:p>
        </w:tc>
        <w:tc>
          <w:tcPr>
            <w:tcW w:w="134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98"/>
              </w:rPr>
              <w:t>Fair Value of</w:t>
            </w:r>
          </w:p>
        </w:tc>
        <w:tc>
          <w:tcPr>
            <w:tcW w:w="120" w:type="dxa"/>
            <w:vAlign w:val="bottom"/>
          </w:tcPr>
          <w:p>
            <w:pPr>
              <w:spacing w:after="0"/>
              <w:rPr>
                <w:sz w:val="15"/>
                <w:szCs w:val="15"/>
                <w:color w:val="auto"/>
              </w:rPr>
            </w:pPr>
          </w:p>
        </w:tc>
        <w:tc>
          <w:tcPr>
            <w:tcW w:w="146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7"/>
              </w:rPr>
              <w:t>Year</w:t>
            </w:r>
          </w:p>
        </w:tc>
        <w:tc>
          <w:tcPr>
            <w:tcW w:w="2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Granted During</w:t>
            </w:r>
          </w:p>
        </w:tc>
        <w:tc>
          <w:tcPr>
            <w:tcW w:w="120" w:type="dxa"/>
            <w:vAlign w:val="bottom"/>
          </w:tcPr>
          <w:p>
            <w:pPr>
              <w:spacing w:after="0"/>
              <w:rPr>
                <w:sz w:val="16"/>
                <w:szCs w:val="16"/>
                <w:color w:val="auto"/>
              </w:rPr>
            </w:pPr>
          </w:p>
        </w:tc>
        <w:tc>
          <w:tcPr>
            <w:tcW w:w="1420" w:type="dxa"/>
            <w:vAlign w:val="bottom"/>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9"/>
              </w:rPr>
              <w:t>Day of Prior</w:t>
            </w:r>
          </w:p>
        </w:tc>
        <w:tc>
          <w:tcPr>
            <w:tcW w:w="1400" w:type="dxa"/>
            <w:vAlign w:val="bottom"/>
            <w:gridSpan w:val="4"/>
          </w:tcPr>
          <w:p>
            <w:pPr>
              <w:jc w:val="center"/>
              <w:ind w:right="100"/>
              <w:spacing w:after="0" w:line="189" w:lineRule="exact"/>
              <w:rPr>
                <w:sz w:val="20"/>
                <w:szCs w:val="20"/>
                <w:color w:val="auto"/>
              </w:rPr>
            </w:pPr>
            <w:r>
              <w:rPr>
                <w:rFonts w:ascii="Arial" w:cs="Arial" w:eastAsia="Arial" w:hAnsi="Arial"/>
                <w:sz w:val="18"/>
                <w:szCs w:val="18"/>
                <w:b w:val="1"/>
                <w:bCs w:val="1"/>
                <w:color w:val="auto"/>
              </w:rPr>
              <w:t>Equity Awards</w:t>
            </w:r>
          </w:p>
        </w:tc>
        <w:tc>
          <w:tcPr>
            <w:tcW w:w="1580" w:type="dxa"/>
            <w:vAlign w:val="bottom"/>
            <w:gridSpan w:val="4"/>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to Vesting Date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60"/>
              <w:spacing w:after="0" w:line="189" w:lineRule="exact"/>
              <w:rPr>
                <w:sz w:val="20"/>
                <w:szCs w:val="20"/>
                <w:color w:val="auto"/>
              </w:rPr>
            </w:pPr>
            <w:r>
              <w:rPr>
                <w:rFonts w:ascii="Arial" w:cs="Arial" w:eastAsia="Arial" w:hAnsi="Arial"/>
                <w:sz w:val="18"/>
                <w:szCs w:val="18"/>
                <w:b w:val="1"/>
                <w:bCs w:val="1"/>
                <w:color w:val="auto"/>
                <w:w w:val="98"/>
              </w:rPr>
              <w:t>Last Day of</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rPr>
              <w:t>Paid on</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Year That</w:t>
            </w:r>
          </w:p>
        </w:tc>
        <w:tc>
          <w:tcPr>
            <w:tcW w:w="154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Year to Last Day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Granted</w:t>
            </w:r>
          </w:p>
        </w:tc>
        <w:tc>
          <w:tcPr>
            <w:tcW w:w="120" w:type="dxa"/>
            <w:vAlign w:val="bottom"/>
          </w:tcPr>
          <w:p>
            <w:pPr>
              <w:spacing w:after="0"/>
              <w:rPr>
                <w:sz w:val="15"/>
                <w:szCs w:val="15"/>
                <w:color w:val="auto"/>
              </w:rPr>
            </w:pPr>
          </w:p>
        </w:tc>
        <w:tc>
          <w:tcPr>
            <w:tcW w:w="146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3"/>
              </w:rPr>
              <w:t>of</w:t>
            </w:r>
          </w:p>
        </w:tc>
        <w:tc>
          <w:tcPr>
            <w:tcW w:w="20" w:type="dxa"/>
            <w:vAlign w:val="bottom"/>
          </w:tcPr>
          <w:p>
            <w:pPr>
              <w:spacing w:after="0"/>
              <w:rPr>
                <w:sz w:val="15"/>
                <w:szCs w:val="15"/>
                <w:color w:val="auto"/>
              </w:rPr>
            </w:pPr>
          </w:p>
        </w:tc>
        <w:tc>
          <w:tcPr>
            <w:tcW w:w="1360" w:type="dxa"/>
            <w:vAlign w:val="bottom"/>
            <w:gridSpan w:val="4"/>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Prior Year of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Equity</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Remained</w:t>
            </w:r>
          </w:p>
        </w:tc>
        <w:tc>
          <w:tcPr>
            <w:tcW w:w="120" w:type="dxa"/>
            <w:vAlign w:val="bottom"/>
          </w:tcPr>
          <w:p>
            <w:pPr>
              <w:spacing w:after="0"/>
              <w:rPr>
                <w:sz w:val="15"/>
                <w:szCs w:val="15"/>
                <w:color w:val="auto"/>
              </w:rPr>
            </w:pPr>
          </w:p>
        </w:tc>
        <w:tc>
          <w:tcPr>
            <w:tcW w:w="142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8"/>
              </w:rPr>
              <w:t>of Year of</w:t>
            </w:r>
          </w:p>
        </w:tc>
        <w:tc>
          <w:tcPr>
            <w:tcW w:w="60" w:type="dxa"/>
            <w:vAlign w:val="bottom"/>
          </w:tcPr>
          <w:p>
            <w:pPr>
              <w:spacing w:after="0"/>
              <w:rPr>
                <w:sz w:val="15"/>
                <w:szCs w:val="15"/>
                <w:color w:val="auto"/>
              </w:rPr>
            </w:pPr>
          </w:p>
        </w:tc>
        <w:tc>
          <w:tcPr>
            <w:tcW w:w="134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During Year</w:t>
            </w:r>
          </w:p>
        </w:tc>
        <w:tc>
          <w:tcPr>
            <w:tcW w:w="158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Unvested Equity</w:t>
            </w:r>
          </w:p>
        </w:tc>
        <w:tc>
          <w:tcPr>
            <w:tcW w:w="138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Equity Awards</w:t>
            </w:r>
          </w:p>
        </w:tc>
        <w:tc>
          <w:tcPr>
            <w:tcW w:w="2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Awards Not</w:t>
            </w: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Total – Inclusion</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Unvested as of</w:t>
            </w:r>
          </w:p>
        </w:tc>
        <w:tc>
          <w:tcPr>
            <w:tcW w:w="120" w:type="dxa"/>
            <w:vAlign w:val="bottom"/>
          </w:tcPr>
          <w:p>
            <w:pPr>
              <w:spacing w:after="0"/>
              <w:rPr>
                <w:sz w:val="16"/>
                <w:szCs w:val="16"/>
                <w:color w:val="auto"/>
              </w:rPr>
            </w:pPr>
          </w:p>
        </w:tc>
        <w:tc>
          <w:tcPr>
            <w:tcW w:w="1420" w:type="dxa"/>
            <w:vAlign w:val="bottom"/>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98"/>
              </w:rPr>
              <w:t>Unvested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8"/>
              </w:rPr>
              <w:t>that Vested</w:t>
            </w:r>
          </w:p>
        </w:tc>
        <w:tc>
          <w:tcPr>
            <w:tcW w:w="120" w:type="dxa"/>
            <w:vAlign w:val="bottom"/>
          </w:tcPr>
          <w:p>
            <w:pPr>
              <w:spacing w:after="0"/>
              <w:rPr>
                <w:sz w:val="16"/>
                <w:szCs w:val="16"/>
                <w:color w:val="auto"/>
              </w:rPr>
            </w:pPr>
          </w:p>
        </w:tc>
        <w:tc>
          <w:tcPr>
            <w:tcW w:w="1460" w:type="dxa"/>
            <w:vAlign w:val="bottom"/>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8"/>
              </w:rPr>
              <w:t>Awards that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60"/>
              <w:spacing w:after="0" w:line="189" w:lineRule="exact"/>
              <w:rPr>
                <w:sz w:val="20"/>
                <w:szCs w:val="20"/>
                <w:color w:val="auto"/>
              </w:rPr>
            </w:pPr>
            <w:r>
              <w:rPr>
                <w:rFonts w:ascii="Arial" w:cs="Arial" w:eastAsia="Arial" w:hAnsi="Arial"/>
                <w:sz w:val="18"/>
                <w:szCs w:val="18"/>
                <w:b w:val="1"/>
                <w:bCs w:val="1"/>
                <w:color w:val="auto"/>
                <w:w w:val="98"/>
              </w:rPr>
              <w:t>Forfeited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8"/>
              </w:rPr>
              <w:t>Otherwise</w:t>
            </w: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20"/>
              <w:spacing w:after="0" w:line="176" w:lineRule="exact"/>
              <w:rPr>
                <w:sz w:val="20"/>
                <w:szCs w:val="20"/>
                <w:color w:val="auto"/>
              </w:rPr>
            </w:pPr>
            <w:r>
              <w:rPr>
                <w:rFonts w:ascii="Arial" w:cs="Arial" w:eastAsia="Arial" w:hAnsi="Arial"/>
                <w:sz w:val="18"/>
                <w:szCs w:val="18"/>
                <w:b w:val="1"/>
                <w:bCs w:val="1"/>
                <w:color w:val="auto"/>
              </w:rPr>
              <w:t>Last Day of</w:t>
            </w:r>
          </w:p>
        </w:tc>
        <w:tc>
          <w:tcPr>
            <w:tcW w:w="154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Equity Awards</w:t>
            </w:r>
          </w:p>
        </w:tc>
        <w:tc>
          <w:tcPr>
            <w:tcW w:w="60" w:type="dxa"/>
            <w:vAlign w:val="bottom"/>
          </w:tcPr>
          <w:p>
            <w:pPr>
              <w:spacing w:after="0"/>
              <w:rPr>
                <w:sz w:val="15"/>
                <w:szCs w:val="15"/>
                <w:color w:val="auto"/>
              </w:rPr>
            </w:pPr>
          </w:p>
        </w:tc>
        <w:tc>
          <w:tcPr>
            <w:tcW w:w="134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During Year</w:t>
            </w:r>
          </w:p>
        </w:tc>
        <w:tc>
          <w:tcPr>
            <w:tcW w:w="120" w:type="dxa"/>
            <w:vAlign w:val="bottom"/>
          </w:tcPr>
          <w:p>
            <w:pPr>
              <w:spacing w:after="0"/>
              <w:rPr>
                <w:sz w:val="15"/>
                <w:szCs w:val="15"/>
                <w:color w:val="auto"/>
              </w:rPr>
            </w:pPr>
          </w:p>
        </w:tc>
        <w:tc>
          <w:tcPr>
            <w:tcW w:w="146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8"/>
              </w:rPr>
              <w:t>Vested During</w:t>
            </w:r>
          </w:p>
        </w:tc>
        <w:tc>
          <w:tcPr>
            <w:tcW w:w="20" w:type="dxa"/>
            <w:vAlign w:val="bottom"/>
          </w:tcPr>
          <w:p>
            <w:pPr>
              <w:spacing w:after="0"/>
              <w:rPr>
                <w:sz w:val="15"/>
                <w:szCs w:val="15"/>
                <w:color w:val="auto"/>
              </w:rPr>
            </w:pPr>
          </w:p>
        </w:tc>
        <w:tc>
          <w:tcPr>
            <w:tcW w:w="1360" w:type="dxa"/>
            <w:vAlign w:val="bottom"/>
            <w:gridSpan w:val="4"/>
          </w:tcPr>
          <w:p>
            <w:pPr>
              <w:jc w:val="center"/>
              <w:ind w:right="120"/>
              <w:spacing w:after="0" w:line="176" w:lineRule="exact"/>
              <w:rPr>
                <w:sz w:val="20"/>
                <w:szCs w:val="20"/>
                <w:color w:val="auto"/>
              </w:rPr>
            </w:pPr>
            <w:r>
              <w:rPr>
                <w:rFonts w:ascii="Arial" w:cs="Arial" w:eastAsia="Arial" w:hAnsi="Arial"/>
                <w:sz w:val="18"/>
                <w:szCs w:val="18"/>
                <w:b w:val="1"/>
                <w:bCs w:val="1"/>
                <w:color w:val="auto"/>
                <w:w w:val="97"/>
              </w:rPr>
              <w:t>During Year</w:t>
            </w:r>
          </w:p>
        </w:tc>
        <w:tc>
          <w:tcPr>
            <w:tcW w:w="20" w:type="dxa"/>
            <w:vAlign w:val="bottom"/>
          </w:tcPr>
          <w:p>
            <w:pPr>
              <w:spacing w:after="0"/>
              <w:rPr>
                <w:sz w:val="15"/>
                <w:szCs w:val="15"/>
                <w:color w:val="auto"/>
              </w:rPr>
            </w:pPr>
          </w:p>
        </w:tc>
        <w:tc>
          <w:tcPr>
            <w:tcW w:w="13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Included for</w:t>
            </w:r>
          </w:p>
        </w:tc>
        <w:tc>
          <w:tcPr>
            <w:tcW w:w="15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of Equity Values</w:t>
            </w:r>
          </w:p>
        </w:tc>
        <w:tc>
          <w:tcPr>
            <w:tcW w:w="0" w:type="dxa"/>
            <w:vAlign w:val="bottom"/>
          </w:tcPr>
          <w:p>
            <w:pPr>
              <w:spacing w:after="0"/>
              <w:rPr>
                <w:sz w:val="1"/>
                <w:szCs w:val="1"/>
                <w:color w:val="auto"/>
              </w:rPr>
            </w:pPr>
          </w:p>
        </w:tc>
      </w:tr>
      <w:tr>
        <w:trPr>
          <w:trHeight w:val="176"/>
        </w:trPr>
        <w:tc>
          <w:tcPr>
            <w:tcW w:w="9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5"/>
                <w:szCs w:val="15"/>
                <w:color w:val="auto"/>
              </w:rPr>
            </w:pPr>
          </w:p>
        </w:tc>
        <w:tc>
          <w:tcPr>
            <w:tcW w:w="1360" w:type="dxa"/>
            <w:vAlign w:val="bottom"/>
            <w:gridSpan w:val="4"/>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Year for PEO</w:t>
            </w:r>
          </w:p>
        </w:tc>
        <w:tc>
          <w:tcPr>
            <w:tcW w:w="120" w:type="dxa"/>
            <w:vAlign w:val="bottom"/>
          </w:tcPr>
          <w:p>
            <w:pPr>
              <w:spacing w:after="0"/>
              <w:rPr>
                <w:sz w:val="15"/>
                <w:szCs w:val="15"/>
                <w:color w:val="auto"/>
              </w:rPr>
            </w:pPr>
          </w:p>
        </w:tc>
        <w:tc>
          <w:tcPr>
            <w:tcW w:w="142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rPr>
              <w:t>for PEO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8"/>
              </w:rPr>
              <w:t>for PEO</w:t>
            </w:r>
          </w:p>
        </w:tc>
        <w:tc>
          <w:tcPr>
            <w:tcW w:w="120" w:type="dxa"/>
            <w:vAlign w:val="bottom"/>
          </w:tcPr>
          <w:p>
            <w:pPr>
              <w:spacing w:after="0"/>
              <w:rPr>
                <w:sz w:val="15"/>
                <w:szCs w:val="15"/>
                <w:color w:val="auto"/>
              </w:rPr>
            </w:pPr>
          </w:p>
        </w:tc>
        <w:tc>
          <w:tcPr>
            <w:tcW w:w="146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Year for PEO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300"/>
              <w:spacing w:after="0" w:line="176" w:lineRule="exact"/>
              <w:rPr>
                <w:sz w:val="20"/>
                <w:szCs w:val="20"/>
                <w:color w:val="auto"/>
              </w:rPr>
            </w:pPr>
            <w:r>
              <w:rPr>
                <w:rFonts w:ascii="Arial" w:cs="Arial" w:eastAsia="Arial" w:hAnsi="Arial"/>
                <w:sz w:val="18"/>
                <w:szCs w:val="18"/>
                <w:b w:val="1"/>
                <w:bCs w:val="1"/>
                <w:color w:val="auto"/>
              </w:rPr>
              <w:t>for PEO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PEO</w:t>
            </w:r>
          </w:p>
        </w:tc>
        <w:tc>
          <w:tcPr>
            <w:tcW w:w="18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8"/>
              </w:rPr>
              <w:t>for PEO</w:t>
            </w:r>
          </w:p>
        </w:tc>
        <w:tc>
          <w:tcPr>
            <w:tcW w:w="0" w:type="dxa"/>
            <w:vAlign w:val="bottom"/>
          </w:tcPr>
          <w:p>
            <w:pPr>
              <w:spacing w:after="0"/>
              <w:rPr>
                <w:sz w:val="1"/>
                <w:szCs w:val="1"/>
                <w:color w:val="auto"/>
              </w:rPr>
            </w:pPr>
          </w:p>
        </w:tc>
      </w:tr>
      <w:tr>
        <w:trPr>
          <w:trHeight w:val="243"/>
        </w:trPr>
        <w:tc>
          <w:tcPr>
            <w:tcW w:w="9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(18,251,455)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9"/>
              </w:rPr>
              <w:t>(5,856,365)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(24,059,254)</w:t>
            </w:r>
          </w:p>
        </w:tc>
        <w:tc>
          <w:tcPr>
            <w:tcW w:w="0" w:type="dxa"/>
            <w:vAlign w:val="bottom"/>
          </w:tcPr>
          <w:p>
            <w:pPr>
              <w:spacing w:after="0"/>
              <w:rPr>
                <w:sz w:val="1"/>
                <w:szCs w:val="1"/>
                <w:color w:val="auto"/>
              </w:rPr>
            </w:pPr>
          </w:p>
        </w:tc>
      </w:tr>
      <w:tr>
        <w:trPr>
          <w:trHeight w:val="239"/>
        </w:trPr>
        <w:tc>
          <w:tcPr>
            <w:tcW w:w="860" w:type="dxa"/>
            <w:vAlign w:val="bottom"/>
          </w:tcPr>
          <w:p>
            <w:pPr>
              <w:ind w:left="2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40,728,160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27,481,122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left="310"/>
              <w:spacing w:after="0"/>
              <w:rPr>
                <w:sz w:val="20"/>
                <w:szCs w:val="20"/>
                <w:color w:val="auto"/>
              </w:rPr>
            </w:pPr>
            <w:r>
              <w:rPr>
                <w:rFonts w:ascii="Arial" w:cs="Arial" w:eastAsia="Arial" w:hAnsi="Arial"/>
                <w:sz w:val="18"/>
                <w:szCs w:val="18"/>
                <w:color w:val="auto"/>
                <w:w w:val="99"/>
              </w:rPr>
              <w:t>1,736,535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69,945,816</w:t>
            </w:r>
          </w:p>
        </w:tc>
        <w:tc>
          <w:tcPr>
            <w:tcW w:w="0" w:type="dxa"/>
            <w:vAlign w:val="bottom"/>
          </w:tcPr>
          <w:p>
            <w:pPr>
              <w:spacing w:after="0"/>
              <w:rPr>
                <w:sz w:val="1"/>
                <w:szCs w:val="1"/>
                <w:color w:val="auto"/>
              </w:rPr>
            </w:pPr>
          </w:p>
        </w:tc>
      </w:tr>
      <w:tr>
        <w:trPr>
          <w:trHeight w:val="45"/>
        </w:trPr>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Year-End Fair</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8"/>
              </w:rPr>
              <w:t>Vesting-Date</w:t>
            </w:r>
          </w:p>
        </w:tc>
        <w:tc>
          <w:tcPr>
            <w:tcW w:w="120" w:type="dxa"/>
            <w:vAlign w:val="bottom"/>
          </w:tcPr>
          <w:p>
            <w:pPr>
              <w:spacing w:after="0"/>
              <w:rPr>
                <w:sz w:val="15"/>
                <w:szCs w:val="15"/>
                <w:color w:val="auto"/>
              </w:rPr>
            </w:pPr>
          </w:p>
        </w:tc>
        <w:tc>
          <w:tcPr>
            <w:tcW w:w="146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99"/>
              </w:rPr>
              <w:t>Change in Fair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7"/>
              </w:rPr>
              <w:t>Value of</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vMerge w:val="restart"/>
          </w:tcPr>
          <w:p>
            <w:pPr>
              <w:jc w:val="center"/>
              <w:ind w:right="60"/>
              <w:spacing w:after="0"/>
              <w:rPr>
                <w:sz w:val="20"/>
                <w:szCs w:val="20"/>
                <w:color w:val="auto"/>
              </w:rPr>
            </w:pPr>
            <w:r>
              <w:rPr>
                <w:rFonts w:ascii="Arial" w:cs="Arial" w:eastAsia="Arial" w:hAnsi="Arial"/>
                <w:sz w:val="18"/>
                <w:szCs w:val="18"/>
                <w:b w:val="1"/>
                <w:bCs w:val="1"/>
                <w:color w:val="auto"/>
                <w:w w:val="98"/>
              </w:rPr>
              <w:t>Fair Value at</w:t>
            </w:r>
          </w:p>
        </w:tc>
        <w:tc>
          <w:tcPr>
            <w:tcW w:w="2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Dividends or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98"/>
              </w:rPr>
              <w:t>Value of Equity</w:t>
            </w:r>
          </w:p>
        </w:tc>
        <w:tc>
          <w:tcPr>
            <w:tcW w:w="120" w:type="dxa"/>
            <w:vAlign w:val="bottom"/>
          </w:tcPr>
          <w:p>
            <w:pPr>
              <w:spacing w:after="0"/>
              <w:rPr>
                <w:sz w:val="16"/>
                <w:szCs w:val="16"/>
                <w:color w:val="auto"/>
              </w:rPr>
            </w:pPr>
          </w:p>
        </w:tc>
        <w:tc>
          <w:tcPr>
            <w:tcW w:w="142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99"/>
              </w:rPr>
              <w:t>Change in Fair</w:t>
            </w:r>
          </w:p>
        </w:tc>
        <w:tc>
          <w:tcPr>
            <w:tcW w:w="60" w:type="dxa"/>
            <w:vAlign w:val="bottom"/>
          </w:tcPr>
          <w:p>
            <w:pPr>
              <w:spacing w:after="0"/>
              <w:rPr>
                <w:sz w:val="16"/>
                <w:szCs w:val="16"/>
                <w:color w:val="auto"/>
              </w:rPr>
            </w:pPr>
          </w:p>
        </w:tc>
        <w:tc>
          <w:tcPr>
            <w:tcW w:w="134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Fair Value of</w:t>
            </w:r>
          </w:p>
        </w:tc>
        <w:tc>
          <w:tcPr>
            <w:tcW w:w="1580" w:type="dxa"/>
            <w:vAlign w:val="bottom"/>
            <w:gridSpan w:val="4"/>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Value from Last</w:t>
            </w:r>
          </w:p>
        </w:tc>
        <w:tc>
          <w:tcPr>
            <w:tcW w:w="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Awards</w:t>
            </w:r>
          </w:p>
        </w:tc>
        <w:tc>
          <w:tcPr>
            <w:tcW w:w="1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rPr>
              <w:t>Equity</w:t>
            </w:r>
          </w:p>
        </w:tc>
        <w:tc>
          <w:tcPr>
            <w:tcW w:w="158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8"/>
              </w:rPr>
              <w:t>Day of Prior Year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8"/>
              </w:rPr>
              <w:t>Last Day of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Earnings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Granted During</w:t>
            </w:r>
          </w:p>
        </w:tc>
        <w:tc>
          <w:tcPr>
            <w:tcW w:w="1540" w:type="dxa"/>
            <w:vAlign w:val="bottom"/>
            <w:gridSpan w:val="4"/>
          </w:tcPr>
          <w:p>
            <w:pPr>
              <w:jc w:val="center"/>
              <w:ind w:right="40"/>
              <w:spacing w:after="0" w:line="189" w:lineRule="exact"/>
              <w:rPr>
                <w:sz w:val="20"/>
                <w:szCs w:val="20"/>
                <w:color w:val="auto"/>
              </w:rPr>
            </w:pPr>
            <w:r>
              <w:rPr>
                <w:rFonts w:ascii="Arial" w:cs="Arial" w:eastAsia="Arial" w:hAnsi="Arial"/>
                <w:sz w:val="18"/>
                <w:szCs w:val="18"/>
                <w:b w:val="1"/>
                <w:bCs w:val="1"/>
                <w:color w:val="auto"/>
                <w:w w:val="99"/>
              </w:rPr>
              <w:t>Value from Last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8"/>
              </w:rPr>
              <w:t>Awards</w:t>
            </w:r>
          </w:p>
        </w:tc>
        <w:tc>
          <w:tcPr>
            <w:tcW w:w="1580" w:type="dxa"/>
            <w:vAlign w:val="bottom"/>
            <w:gridSpan w:val="4"/>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to Vesting Date</w:t>
            </w:r>
          </w:p>
        </w:tc>
        <w:tc>
          <w:tcPr>
            <w:tcW w:w="20" w:type="dxa"/>
            <w:vAlign w:val="bottom"/>
          </w:tcPr>
          <w:p>
            <w:pPr>
              <w:spacing w:after="0"/>
              <w:rPr>
                <w:sz w:val="16"/>
                <w:szCs w:val="16"/>
                <w:color w:val="auto"/>
              </w:rPr>
            </w:pPr>
          </w:p>
        </w:tc>
        <w:tc>
          <w:tcPr>
            <w:tcW w:w="1360" w:type="dxa"/>
            <w:vAlign w:val="bottom"/>
            <w:gridSpan w:val="4"/>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Prior Year of</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8"/>
              </w:rPr>
              <w:t>Paid on</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40"/>
              <w:spacing w:after="0" w:line="176" w:lineRule="exact"/>
              <w:rPr>
                <w:sz w:val="20"/>
                <w:szCs w:val="20"/>
                <w:color w:val="auto"/>
              </w:rPr>
            </w:pPr>
            <w:r>
              <w:rPr>
                <w:rFonts w:ascii="Arial" w:cs="Arial" w:eastAsia="Arial" w:hAnsi="Arial"/>
                <w:sz w:val="18"/>
                <w:szCs w:val="18"/>
                <w:b w:val="1"/>
                <w:bCs w:val="1"/>
                <w:color w:val="auto"/>
                <w:w w:val="97"/>
              </w:rPr>
              <w:t>Year That</w:t>
            </w:r>
          </w:p>
        </w:tc>
        <w:tc>
          <w:tcPr>
            <w:tcW w:w="154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8"/>
              </w:rPr>
              <w:t>Day of Prior Year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8"/>
              </w:rPr>
              <w:t>Granted</w:t>
            </w:r>
          </w:p>
        </w:tc>
        <w:tc>
          <w:tcPr>
            <w:tcW w:w="120" w:type="dxa"/>
            <w:vAlign w:val="bottom"/>
          </w:tcPr>
          <w:p>
            <w:pPr>
              <w:spacing w:after="0"/>
              <w:rPr>
                <w:sz w:val="15"/>
                <w:szCs w:val="15"/>
                <w:color w:val="auto"/>
              </w:rPr>
            </w:pPr>
          </w:p>
        </w:tc>
        <w:tc>
          <w:tcPr>
            <w:tcW w:w="146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3"/>
              </w:rPr>
              <w:t>of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Remained</w:t>
            </w:r>
          </w:p>
        </w:tc>
        <w:tc>
          <w:tcPr>
            <w:tcW w:w="120" w:type="dxa"/>
            <w:vAlign w:val="bottom"/>
          </w:tcPr>
          <w:p>
            <w:pPr>
              <w:spacing w:after="0"/>
              <w:rPr>
                <w:sz w:val="15"/>
                <w:szCs w:val="15"/>
                <w:color w:val="auto"/>
              </w:rPr>
            </w:pPr>
          </w:p>
        </w:tc>
        <w:tc>
          <w:tcPr>
            <w:tcW w:w="142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rPr>
              <w:t>to Last Day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During Year</w:t>
            </w:r>
          </w:p>
        </w:tc>
        <w:tc>
          <w:tcPr>
            <w:tcW w:w="158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9"/>
              </w:rPr>
              <w:t>Unvested Equity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8"/>
              </w:rPr>
              <w:t>Awards</w:t>
            </w:r>
          </w:p>
        </w:tc>
        <w:tc>
          <w:tcPr>
            <w:tcW w:w="2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Awards Not</w:t>
            </w: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Total – Inclusion</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Unvested as of</w:t>
            </w:r>
          </w:p>
        </w:tc>
        <w:tc>
          <w:tcPr>
            <w:tcW w:w="1540" w:type="dxa"/>
            <w:vAlign w:val="bottom"/>
            <w:gridSpan w:val="4"/>
          </w:tcPr>
          <w:p>
            <w:pPr>
              <w:jc w:val="center"/>
              <w:ind w:right="40"/>
              <w:spacing w:after="0" w:line="189" w:lineRule="exact"/>
              <w:rPr>
                <w:sz w:val="20"/>
                <w:szCs w:val="20"/>
                <w:color w:val="auto"/>
              </w:rPr>
            </w:pPr>
            <w:r>
              <w:rPr>
                <w:rFonts w:ascii="Arial" w:cs="Arial" w:eastAsia="Arial" w:hAnsi="Arial"/>
                <w:sz w:val="18"/>
                <w:szCs w:val="18"/>
                <w:b w:val="1"/>
                <w:bCs w:val="1"/>
                <w:color w:val="auto"/>
                <w:w w:val="99"/>
              </w:rPr>
              <w:t>Year of Unvested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8"/>
              </w:rPr>
              <w:t>that Vested</w:t>
            </w:r>
          </w:p>
        </w:tc>
        <w:tc>
          <w:tcPr>
            <w:tcW w:w="120" w:type="dxa"/>
            <w:vAlign w:val="bottom"/>
          </w:tcPr>
          <w:p>
            <w:pPr>
              <w:spacing w:after="0"/>
              <w:rPr>
                <w:sz w:val="16"/>
                <w:szCs w:val="16"/>
                <w:color w:val="auto"/>
              </w:rPr>
            </w:pPr>
          </w:p>
        </w:tc>
        <w:tc>
          <w:tcPr>
            <w:tcW w:w="1460" w:type="dxa"/>
            <w:vAlign w:val="bottom"/>
            <w:gridSpan w:val="3"/>
          </w:tcPr>
          <w:p>
            <w:pPr>
              <w:jc w:val="center"/>
              <w:ind w:right="180"/>
              <w:spacing w:after="0" w:line="189" w:lineRule="exact"/>
              <w:rPr>
                <w:sz w:val="20"/>
                <w:szCs w:val="20"/>
                <w:color w:val="auto"/>
              </w:rPr>
            </w:pPr>
            <w:r>
              <w:rPr>
                <w:rFonts w:ascii="Arial" w:cs="Arial" w:eastAsia="Arial" w:hAnsi="Arial"/>
                <w:sz w:val="18"/>
                <w:szCs w:val="18"/>
                <w:b w:val="1"/>
                <w:bCs w:val="1"/>
                <w:color w:val="auto"/>
              </w:rPr>
              <w:t>Awards that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98"/>
              </w:rPr>
              <w:t>Forfeited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rPr>
              <w:t>Otherwise</w:t>
            </w: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Last Day of</w:t>
            </w:r>
          </w:p>
        </w:tc>
        <w:tc>
          <w:tcPr>
            <w:tcW w:w="120" w:type="dxa"/>
            <w:vAlign w:val="bottom"/>
          </w:tcPr>
          <w:p>
            <w:pPr>
              <w:spacing w:after="0"/>
              <w:rPr>
                <w:sz w:val="15"/>
                <w:szCs w:val="15"/>
                <w:color w:val="auto"/>
              </w:rPr>
            </w:pPr>
          </w:p>
        </w:tc>
        <w:tc>
          <w:tcPr>
            <w:tcW w:w="142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Equity Awards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During Year</w:t>
            </w:r>
          </w:p>
        </w:tc>
        <w:tc>
          <w:tcPr>
            <w:tcW w:w="120" w:type="dxa"/>
            <w:vAlign w:val="bottom"/>
          </w:tcPr>
          <w:p>
            <w:pPr>
              <w:spacing w:after="0"/>
              <w:rPr>
                <w:sz w:val="15"/>
                <w:szCs w:val="15"/>
                <w:color w:val="auto"/>
              </w:rPr>
            </w:pPr>
          </w:p>
        </w:tc>
        <w:tc>
          <w:tcPr>
            <w:tcW w:w="146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8"/>
              </w:rPr>
              <w:t>Vested During</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7"/>
              </w:rPr>
              <w:t>During Year</w:t>
            </w:r>
          </w:p>
        </w:tc>
        <w:tc>
          <w:tcPr>
            <w:tcW w:w="2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Included for</w:t>
            </w:r>
          </w:p>
        </w:tc>
        <w:tc>
          <w:tcPr>
            <w:tcW w:w="15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of Equity Values</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Year for Non-</w:t>
            </w:r>
          </w:p>
        </w:tc>
        <w:tc>
          <w:tcPr>
            <w:tcW w:w="120" w:type="dxa"/>
            <w:vAlign w:val="bottom"/>
          </w:tcPr>
          <w:p>
            <w:pPr>
              <w:spacing w:after="0"/>
              <w:rPr>
                <w:sz w:val="15"/>
                <w:szCs w:val="15"/>
                <w:color w:val="auto"/>
              </w:rPr>
            </w:pPr>
          </w:p>
        </w:tc>
        <w:tc>
          <w:tcPr>
            <w:tcW w:w="142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for Non-PEO</w:t>
            </w:r>
          </w:p>
        </w:tc>
        <w:tc>
          <w:tcPr>
            <w:tcW w:w="60" w:type="dxa"/>
            <w:vAlign w:val="bottom"/>
          </w:tcPr>
          <w:p>
            <w:pPr>
              <w:spacing w:after="0"/>
              <w:rPr>
                <w:sz w:val="15"/>
                <w:szCs w:val="15"/>
                <w:color w:val="auto"/>
              </w:rPr>
            </w:pPr>
          </w:p>
        </w:tc>
        <w:tc>
          <w:tcPr>
            <w:tcW w:w="134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for Non-PEO</w:t>
            </w:r>
          </w:p>
        </w:tc>
        <w:tc>
          <w:tcPr>
            <w:tcW w:w="120" w:type="dxa"/>
            <w:vAlign w:val="bottom"/>
          </w:tcPr>
          <w:p>
            <w:pPr>
              <w:spacing w:after="0"/>
              <w:rPr>
                <w:sz w:val="15"/>
                <w:szCs w:val="15"/>
                <w:color w:val="auto"/>
              </w:rPr>
            </w:pPr>
          </w:p>
        </w:tc>
        <w:tc>
          <w:tcPr>
            <w:tcW w:w="146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8"/>
              </w:rPr>
              <w:t>Year for Non-</w:t>
            </w:r>
          </w:p>
        </w:tc>
        <w:tc>
          <w:tcPr>
            <w:tcW w:w="20" w:type="dxa"/>
            <w:vAlign w:val="bottom"/>
          </w:tcPr>
          <w:p>
            <w:pPr>
              <w:spacing w:after="0"/>
              <w:rPr>
                <w:sz w:val="15"/>
                <w:szCs w:val="15"/>
                <w:color w:val="auto"/>
              </w:rPr>
            </w:pPr>
          </w:p>
        </w:tc>
        <w:tc>
          <w:tcPr>
            <w:tcW w:w="13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for Non-PEO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Non-PEO</w:t>
            </w:r>
          </w:p>
        </w:tc>
        <w:tc>
          <w:tcPr>
            <w:tcW w:w="180" w:type="dxa"/>
            <w:vAlign w:val="bottom"/>
          </w:tcPr>
          <w:p>
            <w:pPr>
              <w:spacing w:after="0"/>
              <w:rPr>
                <w:sz w:val="15"/>
                <w:szCs w:val="15"/>
                <w:color w:val="auto"/>
              </w:rPr>
            </w:pPr>
          </w:p>
        </w:tc>
        <w:tc>
          <w:tcPr>
            <w:tcW w:w="14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for Non-PEO</w:t>
            </w:r>
          </w:p>
        </w:tc>
        <w:tc>
          <w:tcPr>
            <w:tcW w:w="0" w:type="dxa"/>
            <w:vAlign w:val="bottom"/>
          </w:tcPr>
          <w:p>
            <w:pPr>
              <w:spacing w:after="0"/>
              <w:rPr>
                <w:sz w:val="1"/>
                <w:szCs w:val="1"/>
                <w:color w:val="auto"/>
              </w:rPr>
            </w:pPr>
          </w:p>
        </w:tc>
      </w:tr>
      <w:tr>
        <w:trPr>
          <w:trHeight w:val="188"/>
        </w:trPr>
        <w:tc>
          <w:tcPr>
            <w:tcW w:w="9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6"/>
                <w:szCs w:val="16"/>
                <w:color w:val="auto"/>
              </w:rPr>
            </w:pPr>
          </w:p>
        </w:tc>
        <w:tc>
          <w:tcPr>
            <w:tcW w:w="1360" w:type="dxa"/>
            <w:vAlign w:val="bottom"/>
            <w:gridSpan w:val="4"/>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PEO NEOs</w:t>
            </w:r>
          </w:p>
        </w:tc>
        <w:tc>
          <w:tcPr>
            <w:tcW w:w="120" w:type="dxa"/>
            <w:vAlign w:val="bottom"/>
          </w:tcPr>
          <w:p>
            <w:pPr>
              <w:spacing w:after="0"/>
              <w:rPr>
                <w:sz w:val="16"/>
                <w:szCs w:val="16"/>
                <w:color w:val="auto"/>
              </w:rPr>
            </w:pPr>
          </w:p>
        </w:tc>
        <w:tc>
          <w:tcPr>
            <w:tcW w:w="1420" w:type="dxa"/>
            <w:vAlign w:val="bottom"/>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97"/>
              </w:rPr>
              <w:t>NEOs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rPr>
              <w:t>NEOs</w:t>
            </w:r>
          </w:p>
        </w:tc>
        <w:tc>
          <w:tcPr>
            <w:tcW w:w="120" w:type="dxa"/>
            <w:vAlign w:val="bottom"/>
          </w:tcPr>
          <w:p>
            <w:pPr>
              <w:spacing w:after="0"/>
              <w:rPr>
                <w:sz w:val="16"/>
                <w:szCs w:val="16"/>
                <w:color w:val="auto"/>
              </w:rPr>
            </w:pPr>
          </w:p>
        </w:tc>
        <w:tc>
          <w:tcPr>
            <w:tcW w:w="1460" w:type="dxa"/>
            <w:vAlign w:val="bottom"/>
            <w:gridSpan w:val="3"/>
          </w:tcPr>
          <w:p>
            <w:pPr>
              <w:jc w:val="center"/>
              <w:ind w:right="180"/>
              <w:spacing w:after="0" w:line="189" w:lineRule="exact"/>
              <w:rPr>
                <w:sz w:val="20"/>
                <w:szCs w:val="20"/>
                <w:color w:val="auto"/>
              </w:rPr>
            </w:pPr>
            <w:r>
              <w:rPr>
                <w:rFonts w:ascii="Arial" w:cs="Arial" w:eastAsia="Arial" w:hAnsi="Arial"/>
                <w:sz w:val="18"/>
                <w:szCs w:val="18"/>
                <w:b w:val="1"/>
                <w:bCs w:val="1"/>
                <w:color w:val="auto"/>
                <w:w w:val="99"/>
              </w:rPr>
              <w:t>PEO NEOs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60"/>
              <w:spacing w:after="0" w:line="189" w:lineRule="exact"/>
              <w:rPr>
                <w:sz w:val="20"/>
                <w:szCs w:val="20"/>
                <w:color w:val="auto"/>
              </w:rPr>
            </w:pPr>
            <w:r>
              <w:rPr>
                <w:rFonts w:ascii="Arial" w:cs="Arial" w:eastAsia="Arial" w:hAnsi="Arial"/>
                <w:sz w:val="18"/>
                <w:szCs w:val="18"/>
                <w:b w:val="1"/>
                <w:bCs w:val="1"/>
                <w:color w:val="auto"/>
                <w:w w:val="97"/>
              </w:rPr>
              <w:t>NEOs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rPr>
              <w:t>NEOs</w:t>
            </w:r>
          </w:p>
        </w:tc>
        <w:tc>
          <w:tcPr>
            <w:tcW w:w="180" w:type="dxa"/>
            <w:vAlign w:val="bottom"/>
          </w:tcPr>
          <w:p>
            <w:pPr>
              <w:spacing w:after="0"/>
              <w:rPr>
                <w:sz w:val="16"/>
                <w:szCs w:val="16"/>
                <w:color w:val="auto"/>
              </w:rPr>
            </w:pPr>
          </w:p>
        </w:tc>
        <w:tc>
          <w:tcPr>
            <w:tcW w:w="140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rPr>
              <w:t>NEOs</w:t>
            </w:r>
          </w:p>
        </w:tc>
        <w:tc>
          <w:tcPr>
            <w:tcW w:w="0" w:type="dxa"/>
            <w:vAlign w:val="bottom"/>
          </w:tcPr>
          <w:p>
            <w:pPr>
              <w:spacing w:after="0"/>
              <w:rPr>
                <w:sz w:val="1"/>
                <w:szCs w:val="1"/>
                <w:color w:val="auto"/>
              </w:rPr>
            </w:pPr>
          </w:p>
        </w:tc>
      </w:tr>
      <w:tr>
        <w:trPr>
          <w:trHeight w:val="230"/>
        </w:trPr>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(3,970,814)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9"/>
              </w:rPr>
              <w:t>(1,416,344)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(5,381,247)</w:t>
            </w:r>
          </w:p>
        </w:tc>
        <w:tc>
          <w:tcPr>
            <w:tcW w:w="0" w:type="dxa"/>
            <w:vAlign w:val="bottom"/>
          </w:tcPr>
          <w:p>
            <w:pPr>
              <w:spacing w:after="0"/>
              <w:rPr>
                <w:sz w:val="1"/>
                <w:szCs w:val="1"/>
                <w:color w:val="auto"/>
              </w:rPr>
            </w:pPr>
          </w:p>
        </w:tc>
      </w:tr>
      <w:tr>
        <w:trPr>
          <w:trHeight w:val="239"/>
        </w:trPr>
        <w:tc>
          <w:tcPr>
            <w:tcW w:w="860" w:type="dxa"/>
            <w:vAlign w:val="bottom"/>
          </w:tcPr>
          <w:p>
            <w:pPr>
              <w:ind w:left="2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9,984,040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6,600,611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520"/>
              <w:spacing w:after="0"/>
              <w:rPr>
                <w:sz w:val="20"/>
                <w:szCs w:val="20"/>
                <w:color w:val="auto"/>
              </w:rPr>
            </w:pPr>
            <w:r>
              <w:rPr>
                <w:rFonts w:ascii="Arial" w:cs="Arial" w:eastAsia="Arial" w:hAnsi="Arial"/>
                <w:sz w:val="18"/>
                <w:szCs w:val="18"/>
                <w:color w:val="auto"/>
              </w:rPr>
              <w:t>1,282,142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17,866,792</w:t>
            </w:r>
          </w:p>
        </w:tc>
        <w:tc>
          <w:tcPr>
            <w:tcW w:w="0" w:type="dxa"/>
            <w:vAlign w:val="bottom"/>
          </w:tcPr>
          <w:p>
            <w:pPr>
              <w:spacing w:after="0"/>
              <w:rPr>
                <w:sz w:val="1"/>
                <w:szCs w:val="1"/>
                <w:color w:val="auto"/>
              </w:rPr>
            </w:pPr>
          </w:p>
        </w:tc>
      </w:tr>
      <w:tr>
        <w:trPr>
          <w:trHeight w:val="45"/>
        </w:trPr>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60" w:hanging="332"/>
        <w:spacing w:after="0" w:line="264" w:lineRule="auto"/>
        <w:tabs>
          <w:tab w:leader="none" w:pos="343"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Peer Group TSR set forth in this table utilizes S&amp;P 500 Information Technology Index, which we also utilize in the stock performance graph required by Item 201(e) of Regulation S-K included in our Annual Report for the year ended December 31, 2022. The comparison assumes $100 was invested for the period starting November 9, 2021, the date of the Company’s direct listing, through the end of the listed year in each of the Company and in the S&amp;P 500 Information Technology Index, respectively. Historical stock performance is not necessarily indicative of future stock performance.</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Compensation Actually Paid to our PEO and Non-PEO NEOs in 2022 was not directly tied to any performance metric.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And Performance</w:t>
      </w:r>
    </w:p>
    <w:p>
      <w:pPr>
        <w:spacing w:after="0" w:line="15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below charts show the graphical relationship between Compensation Actually Paid to our PEO and the average of our Non-PEO NEOs (as shown in the above Pay versus Performance Table), and the following: Net Income (Loss), TSR, and Peer Group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797560</wp:posOffset>
            </wp:positionV>
            <wp:extent cx="5254625" cy="6660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54625" cy="666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Equity Compensation Plan Information</w:t>
      </w:r>
    </w:p>
    <w:p>
      <w:pPr>
        <w:spacing w:after="0" w:line="3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information as of as of December 31, 2022, with respect to the shares of the Company’s common stock that may be issued under the Company’s existing compensation plans.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Number of</w:t>
            </w:r>
          </w:p>
        </w:tc>
        <w:tc>
          <w:tcPr>
            <w:tcW w:w="3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8"/>
                <w:szCs w:val="18"/>
                <w:color w:val="auto"/>
                <w:w w:val="99"/>
              </w:rPr>
              <w:t>Weighted</w:t>
            </w:r>
          </w:p>
        </w:tc>
        <w:tc>
          <w:tcPr>
            <w:tcW w:w="2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00"/>
              <w:spacing w:after="0" w:line="181" w:lineRule="exact"/>
              <w:rPr>
                <w:sz w:val="20"/>
                <w:szCs w:val="20"/>
                <w:color w:val="auto"/>
              </w:rPr>
            </w:pPr>
            <w:r>
              <w:rPr>
                <w:rFonts w:ascii="Arial" w:cs="Arial" w:eastAsia="Arial" w:hAnsi="Arial"/>
                <w:sz w:val="18"/>
                <w:szCs w:val="18"/>
                <w:color w:val="auto"/>
                <w:w w:val="98"/>
              </w:rPr>
              <w:t>Securities</w:t>
            </w:r>
          </w:p>
        </w:tc>
        <w:tc>
          <w:tcPr>
            <w:tcW w:w="36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to be Issued</w:t>
            </w:r>
          </w:p>
        </w:tc>
        <w:tc>
          <w:tcPr>
            <w:tcW w:w="360" w:type="dxa"/>
            <w:vAlign w:val="bottom"/>
          </w:tcPr>
          <w:p>
            <w:pPr>
              <w:spacing w:after="0"/>
              <w:rPr>
                <w:sz w:val="15"/>
                <w:szCs w:val="15"/>
                <w:color w:val="auto"/>
              </w:rPr>
            </w:pPr>
          </w:p>
        </w:tc>
        <w:tc>
          <w:tcPr>
            <w:tcW w:w="194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rPr>
              <w:t>Average</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9"/>
              </w:rPr>
              <w:t>Number of</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7"/>
              </w:rPr>
              <w:t>Upon</w:t>
            </w:r>
          </w:p>
        </w:tc>
        <w:tc>
          <w:tcPr>
            <w:tcW w:w="360" w:type="dxa"/>
            <w:vAlign w:val="bottom"/>
          </w:tcPr>
          <w:p>
            <w:pPr>
              <w:spacing w:after="0"/>
              <w:rPr>
                <w:sz w:val="15"/>
                <w:szCs w:val="15"/>
                <w:color w:val="auto"/>
              </w:rPr>
            </w:pPr>
          </w:p>
        </w:tc>
        <w:tc>
          <w:tcPr>
            <w:tcW w:w="194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w w:val="98"/>
              </w:rPr>
              <w:t>Exercise</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Exercise of</w:t>
            </w:r>
          </w:p>
        </w:tc>
        <w:tc>
          <w:tcPr>
            <w:tcW w:w="360" w:type="dxa"/>
            <w:vAlign w:val="bottom"/>
          </w:tcPr>
          <w:p>
            <w:pPr>
              <w:spacing w:after="0"/>
              <w:rPr>
                <w:sz w:val="16"/>
                <w:szCs w:val="16"/>
                <w:color w:val="auto"/>
              </w:rPr>
            </w:pPr>
          </w:p>
        </w:tc>
        <w:tc>
          <w:tcPr>
            <w:tcW w:w="1940" w:type="dxa"/>
            <w:vAlign w:val="bottom"/>
            <w:gridSpan w:val="2"/>
          </w:tcPr>
          <w:p>
            <w:pPr>
              <w:jc w:val="center"/>
              <w:ind w:right="460"/>
              <w:spacing w:after="0" w:line="189" w:lineRule="exact"/>
              <w:rPr>
                <w:sz w:val="20"/>
                <w:szCs w:val="20"/>
                <w:color w:val="auto"/>
              </w:rPr>
            </w:pPr>
            <w:r>
              <w:rPr>
                <w:rFonts w:ascii="Arial" w:cs="Arial" w:eastAsia="Arial" w:hAnsi="Arial"/>
                <w:sz w:val="18"/>
                <w:szCs w:val="18"/>
                <w:color w:val="auto"/>
                <w:w w:val="98"/>
              </w:rPr>
              <w:t>Price of</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8"/>
              </w:rPr>
              <w:t>Securities</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15"/>
                <w:szCs w:val="15"/>
                <w:color w:val="auto"/>
              </w:rPr>
            </w:pPr>
          </w:p>
        </w:tc>
        <w:tc>
          <w:tcPr>
            <w:tcW w:w="194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w w:val="98"/>
              </w:rPr>
              <w:t>Outstanding</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9"/>
              </w:rPr>
              <w:t>Remaining Available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8"/>
              </w:rPr>
              <w:t>Options,</w:t>
            </w:r>
          </w:p>
        </w:tc>
        <w:tc>
          <w:tcPr>
            <w:tcW w:w="360" w:type="dxa"/>
            <w:vAlign w:val="bottom"/>
          </w:tcPr>
          <w:p>
            <w:pPr>
              <w:spacing w:after="0"/>
              <w:rPr>
                <w:sz w:val="15"/>
                <w:szCs w:val="15"/>
                <w:color w:val="auto"/>
              </w:rPr>
            </w:pPr>
          </w:p>
        </w:tc>
        <w:tc>
          <w:tcPr>
            <w:tcW w:w="194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rPr>
              <w:t>Options,</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9"/>
              </w:rPr>
              <w:t>for Future</w:t>
            </w:r>
          </w:p>
        </w:tc>
        <w:tc>
          <w:tcPr>
            <w:tcW w:w="0" w:type="dxa"/>
            <w:vAlign w:val="bottom"/>
          </w:tcPr>
          <w:p>
            <w:pPr>
              <w:spacing w:after="0"/>
              <w:rPr>
                <w:sz w:val="1"/>
                <w:szCs w:val="1"/>
                <w:color w:val="auto"/>
              </w:rPr>
            </w:pPr>
          </w:p>
        </w:tc>
      </w:tr>
      <w:tr>
        <w:trPr>
          <w:trHeight w:val="189"/>
        </w:trPr>
        <w:tc>
          <w:tcPr>
            <w:tcW w:w="4480" w:type="dxa"/>
            <w:vAlign w:val="bottom"/>
            <w:gridSpan w:val="2"/>
            <w:vMerge w:val="restart"/>
          </w:tcPr>
          <w:p>
            <w:pPr>
              <w:ind w:left="20"/>
              <w:spacing w:after="0"/>
              <w:rPr>
                <w:sz w:val="20"/>
                <w:szCs w:val="20"/>
                <w:color w:val="auto"/>
              </w:rPr>
            </w:pPr>
            <w:r>
              <w:rPr>
                <w:rFonts w:ascii="Arial" w:cs="Arial" w:eastAsia="Arial" w:hAnsi="Arial"/>
                <w:sz w:val="18"/>
                <w:szCs w:val="18"/>
                <w:color w:val="auto"/>
              </w:rPr>
              <w:t>Plan Category</w:t>
            </w:r>
          </w:p>
        </w:tc>
        <w:tc>
          <w:tcPr>
            <w:tcW w:w="22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16"/>
                <w:szCs w:val="16"/>
                <w:color w:val="auto"/>
              </w:rPr>
            </w:pPr>
          </w:p>
        </w:tc>
        <w:tc>
          <w:tcPr>
            <w:tcW w:w="1940" w:type="dxa"/>
            <w:vAlign w:val="bottom"/>
            <w:gridSpan w:val="2"/>
          </w:tcPr>
          <w:p>
            <w:pPr>
              <w:jc w:val="center"/>
              <w:ind w:right="460"/>
              <w:spacing w:after="0" w:line="189" w:lineRule="exact"/>
              <w:rPr>
                <w:sz w:val="20"/>
                <w:szCs w:val="20"/>
                <w:color w:val="auto"/>
              </w:rPr>
            </w:pPr>
            <w:r>
              <w:rPr>
                <w:rFonts w:ascii="Arial" w:cs="Arial" w:eastAsia="Arial" w:hAnsi="Arial"/>
                <w:sz w:val="18"/>
                <w:szCs w:val="18"/>
                <w:color w:val="auto"/>
                <w:w w:val="98"/>
              </w:rPr>
              <w:t>Warrants</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rPr>
              <w:t>Issuance Under Equity</w:t>
            </w:r>
          </w:p>
        </w:tc>
        <w:tc>
          <w:tcPr>
            <w:tcW w:w="0" w:type="dxa"/>
            <w:vAlign w:val="bottom"/>
          </w:tcPr>
          <w:p>
            <w:pPr>
              <w:spacing w:after="0"/>
              <w:rPr>
                <w:sz w:val="1"/>
                <w:szCs w:val="1"/>
                <w:color w:val="auto"/>
              </w:rPr>
            </w:pPr>
          </w:p>
        </w:tc>
      </w:tr>
      <w:tr>
        <w:trPr>
          <w:trHeight w:val="229"/>
        </w:trPr>
        <w:tc>
          <w:tcPr>
            <w:tcW w:w="4480" w:type="dxa"/>
            <w:vAlign w:val="bottom"/>
            <w:gridSpan w:val="2"/>
            <w:vMerge w:val="continue"/>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and Rights</w:t>
            </w:r>
          </w:p>
        </w:tc>
        <w:tc>
          <w:tcPr>
            <w:tcW w:w="360" w:type="dxa"/>
            <w:vAlign w:val="bottom"/>
          </w:tcPr>
          <w:p>
            <w:pPr>
              <w:spacing w:after="0"/>
              <w:rPr>
                <w:sz w:val="19"/>
                <w:szCs w:val="19"/>
                <w:color w:val="auto"/>
              </w:rPr>
            </w:pPr>
          </w:p>
        </w:tc>
        <w:tc>
          <w:tcPr>
            <w:tcW w:w="1940" w:type="dxa"/>
            <w:vAlign w:val="bottom"/>
            <w:gridSpan w:val="2"/>
          </w:tcPr>
          <w:p>
            <w:pPr>
              <w:jc w:val="center"/>
              <w:ind w:right="460"/>
              <w:spacing w:after="0" w:line="230" w:lineRule="exact"/>
              <w:rPr>
                <w:sz w:val="20"/>
                <w:szCs w:val="20"/>
                <w:color w:val="auto"/>
              </w:rPr>
            </w:pPr>
            <w:r>
              <w:rPr>
                <w:rFonts w:ascii="Arial" w:cs="Arial" w:eastAsia="Arial" w:hAnsi="Arial"/>
                <w:sz w:val="18"/>
                <w:szCs w:val="18"/>
                <w:color w:val="auto"/>
                <w:w w:val="95"/>
              </w:rPr>
              <w:t>and Rights</w:t>
            </w:r>
            <w:r>
              <w:rPr>
                <w:rFonts w:ascii="Arial" w:cs="Arial" w:eastAsia="Arial" w:hAnsi="Arial"/>
                <w:sz w:val="23"/>
                <w:szCs w:val="23"/>
                <w:color w:val="auto"/>
                <w:w w:val="95"/>
                <w:vertAlign w:val="superscript"/>
              </w:rPr>
              <w:t>(1)</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Compensation Plans</w:t>
            </w:r>
          </w:p>
        </w:tc>
        <w:tc>
          <w:tcPr>
            <w:tcW w:w="0" w:type="dxa"/>
            <w:vAlign w:val="bottom"/>
          </w:tcPr>
          <w:p>
            <w:pPr>
              <w:spacing w:after="0"/>
              <w:rPr>
                <w:sz w:val="1"/>
                <w:szCs w:val="1"/>
                <w:color w:val="auto"/>
              </w:rPr>
            </w:pPr>
          </w:p>
        </w:tc>
      </w:tr>
      <w:tr>
        <w:trPr>
          <w:trHeight w:val="177"/>
        </w:trPr>
        <w:tc>
          <w:tcPr>
            <w:tcW w:w="438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Equity compensation plans approved by security</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12,985,950</w:t>
            </w:r>
            <w:r>
              <w:rPr>
                <w:rFonts w:ascii="Arial" w:cs="Arial" w:eastAsia="Arial" w:hAnsi="Arial"/>
                <w:sz w:val="23"/>
                <w:szCs w:val="23"/>
                <w:color w:val="auto"/>
                <w:vertAlign w:val="superscript"/>
              </w:rPr>
              <w:t>(2)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17,336,973</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5"/>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Equity compensation plans not approved by security</w:t>
            </w:r>
          </w:p>
        </w:tc>
        <w:tc>
          <w:tcPr>
            <w:tcW w:w="2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228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12,985,950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17,336,973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340" w:right="140" w:hanging="332"/>
        <w:spacing w:after="0" w:line="269" w:lineRule="auto"/>
        <w:tabs>
          <w:tab w:leader="none" w:pos="37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weighted average exercise price is calculated based solely on the exercise prices of the outstanding options and does not reflect the shares that will be issued upon the vesting of outstanding RSUs, which have no exercise price.</w:t>
      </w: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shares subject to outstanding awards granted, of which 6,301,650 shares are subject to outstanding options and 6,684,300 shares are subject to outstanding RSUs.</w:t>
      </w:r>
    </w:p>
    <w:p>
      <w:pPr>
        <w:spacing w:after="0" w:line="12" w:lineRule="exact"/>
        <w:rPr>
          <w:rFonts w:ascii="Arial" w:cs="Arial" w:eastAsia="Arial" w:hAnsi="Arial"/>
          <w:sz w:val="13"/>
          <w:szCs w:val="13"/>
          <w:color w:val="auto"/>
        </w:rPr>
      </w:pPr>
    </w:p>
    <w:p>
      <w:pPr>
        <w:ind w:left="340" w:right="200" w:hanging="332"/>
        <w:spacing w:after="0" w:line="271" w:lineRule="auto"/>
        <w:tabs>
          <w:tab w:leader="none" w:pos="343"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17,336,973 shares available for future issuance under our 2021 Incentive Award Plan or our 2021 Stock Purchase and Matching Plan. The share reserve will be increased annually on January 1 of each year through January 1, 2031 by a number of shares equal to 6% of the aggregate number of shares of all classes of the Company’s common stock outstanding on the last day of the immediately preceding calendar year, or such lesser number of shares as determined by our Board or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Security Ownership of Certain Beneficial Owners and Management</w:t>
      </w:r>
    </w:p>
    <w:p>
      <w:pPr>
        <w:spacing w:after="0" w:line="3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sets forth information with respect to beneficial ownership of our common stock as of April 24, 2023 for (i) each of our directors, (ii) each person known to us to be the beneficial owner of more than five percent of any class of our voting securities, (iii) each of our named executive officers, and (iv) all of our current executive officers and directors as a group.</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April 24, 2023, subject to community property laws where applicable. We have deemed shares of our common stock subject to stock options that are currently exercisable or will be exercisable within 60 days of April 24, 2023 or net issuable pursuant to RSUs which are subject to vesting and settlement conditions expected to occur within 60 days of April 24, 2023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 The percentage of shares beneficially owned is based on 68,507,268 shares of Class A common stock, 7,335,456 shares of LT10 common stock and 6,975,375 shares of LT50 common stock outstanding as of April 24, 2023.</w:t>
      </w:r>
    </w:p>
    <w:p>
      <w:pPr>
        <w:spacing w:after="0" w:line="112"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Unless otherwise indicated, the address of each beneficial owner listed in the table below is c/o Expensify, Inc.,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Class A</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LT10</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LT50</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580" w:type="dxa"/>
            <w:vAlign w:val="bottom"/>
            <w:vMerge w:val="restart"/>
          </w:tcPr>
          <w:p>
            <w:pPr>
              <w:ind w:left="20"/>
              <w:spacing w:after="0"/>
              <w:rPr>
                <w:sz w:val="20"/>
                <w:szCs w:val="20"/>
                <w:color w:val="auto"/>
              </w:rPr>
            </w:pPr>
            <w:r>
              <w:rPr>
                <w:rFonts w:ascii="Arial" w:cs="Arial" w:eastAsia="Arial" w:hAnsi="Arial"/>
                <w:sz w:val="14"/>
                <w:szCs w:val="14"/>
                <w:color w:val="auto"/>
              </w:rPr>
              <w:t>Name of Beneficial Owner</w:t>
            </w:r>
          </w:p>
        </w:tc>
        <w:tc>
          <w:tcPr>
            <w:tcW w:w="8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color w:val="auto"/>
              </w:rPr>
              <w:t>Shares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rPr>
              <w:t>% of voting</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power</w:t>
            </w:r>
          </w:p>
        </w:tc>
        <w:tc>
          <w:tcPr>
            <w:tcW w:w="0" w:type="dxa"/>
            <w:vAlign w:val="bottom"/>
          </w:tcPr>
          <w:p>
            <w:pPr>
              <w:spacing w:after="0"/>
              <w:rPr>
                <w:sz w:val="1"/>
                <w:szCs w:val="1"/>
                <w:color w:val="auto"/>
              </w:rPr>
            </w:pPr>
          </w:p>
        </w:tc>
      </w:tr>
      <w:tr>
        <w:trPr>
          <w:trHeight w:val="146"/>
        </w:trPr>
        <w:tc>
          <w:tcPr>
            <w:tcW w:w="3580" w:type="dxa"/>
            <w:vAlign w:val="bottom"/>
            <w:tcBorders>
              <w:top w:val="single" w:sz="8" w:color="auto"/>
            </w:tcBorders>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Named Executive Officers, Directors and Director</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Nominees:</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80" w:type="dxa"/>
            <w:vAlign w:val="bottom"/>
          </w:tcPr>
          <w:p>
            <w:pPr>
              <w:ind w:left="20"/>
              <w:spacing w:after="0"/>
              <w:rPr>
                <w:sz w:val="20"/>
                <w:szCs w:val="20"/>
                <w:color w:val="auto"/>
              </w:rPr>
            </w:pPr>
            <w:r>
              <w:rPr>
                <w:rFonts w:ascii="Arial" w:cs="Arial" w:eastAsia="Arial" w:hAnsi="Arial"/>
                <w:sz w:val="14"/>
                <w:szCs w:val="14"/>
                <w:color w:val="auto"/>
              </w:rPr>
              <w:t>David Barrett</w:t>
            </w:r>
            <w:r>
              <w:rPr>
                <w:rFonts w:ascii="Arial" w:cs="Arial" w:eastAsia="Arial" w:hAnsi="Arial"/>
                <w:sz w:val="9"/>
                <w:szCs w:val="9"/>
                <w:color w:val="auto"/>
              </w:rPr>
              <w:t>(1)</w:t>
            </w:r>
          </w:p>
        </w:tc>
        <w:tc>
          <w:tcPr>
            <w:tcW w:w="1280" w:type="dxa"/>
            <w:vAlign w:val="bottom"/>
            <w:gridSpan w:val="2"/>
          </w:tcPr>
          <w:p>
            <w:pPr>
              <w:jc w:val="center"/>
              <w:ind w:left="8"/>
              <w:spacing w:after="0"/>
              <w:rPr>
                <w:sz w:val="20"/>
                <w:szCs w:val="20"/>
                <w:color w:val="auto"/>
              </w:rPr>
            </w:pPr>
            <w:r>
              <w:rPr>
                <w:rFonts w:ascii="Arial" w:cs="Arial" w:eastAsia="Arial" w:hAnsi="Arial"/>
                <w:sz w:val="14"/>
                <w:szCs w:val="14"/>
                <w:color w:val="auto"/>
              </w:rPr>
              <w:t>6,388,574</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3,600,066</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3,671,383</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Ryan Schaffer</w:t>
            </w:r>
            <w:r>
              <w:rPr>
                <w:rFonts w:ascii="Arial" w:cs="Arial" w:eastAsia="Arial" w:hAnsi="Arial"/>
                <w:sz w:val="9"/>
                <w:szCs w:val="9"/>
                <w:color w:val="auto"/>
              </w:rPr>
              <w:t>(2)</w:t>
            </w:r>
          </w:p>
        </w:tc>
        <w:tc>
          <w:tcPr>
            <w:tcW w:w="12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496,588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498,090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23,535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2"/>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3580" w:type="dxa"/>
            <w:vAlign w:val="bottom"/>
          </w:tcPr>
          <w:p>
            <w:pPr>
              <w:ind w:left="20"/>
              <w:spacing w:after="0"/>
              <w:rPr>
                <w:sz w:val="20"/>
                <w:szCs w:val="20"/>
                <w:color w:val="auto"/>
              </w:rPr>
            </w:pPr>
            <w:r>
              <w:rPr>
                <w:rFonts w:ascii="Arial" w:cs="Arial" w:eastAsia="Arial" w:hAnsi="Arial"/>
                <w:sz w:val="14"/>
                <w:szCs w:val="14"/>
                <w:color w:val="auto"/>
              </w:rPr>
              <w:t>Anu Muralidharan</w:t>
            </w:r>
            <w:r>
              <w:rPr>
                <w:rFonts w:ascii="Arial" w:cs="Arial" w:eastAsia="Arial" w:hAnsi="Arial"/>
                <w:sz w:val="9"/>
                <w:szCs w:val="9"/>
                <w:color w:val="auto"/>
              </w:rPr>
              <w:t>(3)</w:t>
            </w:r>
          </w:p>
        </w:tc>
        <w:tc>
          <w:tcPr>
            <w:tcW w:w="1280" w:type="dxa"/>
            <w:vAlign w:val="bottom"/>
            <w:gridSpan w:val="2"/>
          </w:tcPr>
          <w:p>
            <w:pPr>
              <w:jc w:val="center"/>
              <w:ind w:left="8"/>
              <w:spacing w:after="0"/>
              <w:rPr>
                <w:sz w:val="20"/>
                <w:szCs w:val="20"/>
                <w:color w:val="auto"/>
              </w:rPr>
            </w:pPr>
            <w:r>
              <w:rPr>
                <w:rFonts w:ascii="Arial" w:cs="Arial" w:eastAsia="Arial" w:hAnsi="Arial"/>
                <w:sz w:val="14"/>
                <w:szCs w:val="14"/>
                <w:color w:val="auto"/>
              </w:rPr>
              <w:t>99,457</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114,140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108,861</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Jason Mills</w:t>
            </w:r>
            <w:r>
              <w:rPr>
                <w:rFonts w:ascii="Arial" w:cs="Arial" w:eastAsia="Arial" w:hAnsi="Arial"/>
                <w:sz w:val="9"/>
                <w:szCs w:val="9"/>
                <w:color w:val="auto"/>
              </w:rPr>
              <w:t>(4)</w:t>
            </w:r>
          </w:p>
        </w:tc>
        <w:tc>
          <w:tcPr>
            <w:tcW w:w="12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103,816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582,885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542,568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8"/>
        </w:trPr>
        <w:tc>
          <w:tcPr>
            <w:tcW w:w="3580" w:type="dxa"/>
            <w:vAlign w:val="bottom"/>
          </w:tcPr>
          <w:p>
            <w:pPr>
              <w:ind w:left="20"/>
              <w:spacing w:after="0"/>
              <w:rPr>
                <w:sz w:val="20"/>
                <w:szCs w:val="20"/>
                <w:color w:val="auto"/>
              </w:rPr>
            </w:pPr>
            <w:r>
              <w:rPr>
                <w:rFonts w:ascii="Arial" w:cs="Arial" w:eastAsia="Arial" w:hAnsi="Arial"/>
                <w:sz w:val="14"/>
                <w:szCs w:val="14"/>
                <w:color w:val="auto"/>
              </w:rPr>
              <w:t>Daniel Vidal</w:t>
            </w:r>
            <w:r>
              <w:rPr>
                <w:rFonts w:ascii="Arial" w:cs="Arial" w:eastAsia="Arial" w:hAnsi="Arial"/>
                <w:sz w:val="9"/>
                <w:szCs w:val="9"/>
                <w:color w:val="auto"/>
              </w:rPr>
              <w:t>(5)</w:t>
            </w:r>
          </w:p>
        </w:tc>
        <w:tc>
          <w:tcPr>
            <w:tcW w:w="1280" w:type="dxa"/>
            <w:vAlign w:val="bottom"/>
            <w:gridSpan w:val="2"/>
          </w:tcPr>
          <w:p>
            <w:pPr>
              <w:jc w:val="center"/>
              <w:ind w:left="8"/>
              <w:spacing w:after="0"/>
              <w:rPr>
                <w:sz w:val="20"/>
                <w:szCs w:val="20"/>
                <w:color w:val="auto"/>
              </w:rPr>
            </w:pPr>
            <w:r>
              <w:rPr>
                <w:rFonts w:ascii="Arial" w:cs="Arial" w:eastAsia="Arial" w:hAnsi="Arial"/>
                <w:sz w:val="14"/>
                <w:szCs w:val="14"/>
                <w:color w:val="auto"/>
              </w:rPr>
              <w:t>294,243</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112,650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129,592</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L. Christen</w:t>
            </w:r>
          </w:p>
        </w:tc>
        <w:tc>
          <w:tcPr>
            <w:tcW w:w="12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21,173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580" w:type="dxa"/>
            <w:vAlign w:val="bottom"/>
          </w:tcPr>
          <w:p>
            <w:pPr>
              <w:ind w:left="20"/>
              <w:spacing w:after="0"/>
              <w:rPr>
                <w:sz w:val="20"/>
                <w:szCs w:val="20"/>
                <w:color w:val="auto"/>
              </w:rPr>
            </w:pPr>
            <w:r>
              <w:rPr>
                <w:rFonts w:ascii="Arial" w:cs="Arial" w:eastAsia="Arial" w:hAnsi="Arial"/>
                <w:sz w:val="14"/>
                <w:szCs w:val="14"/>
                <w:color w:val="auto"/>
              </w:rPr>
              <w:t>Ying (Vivian) Liu</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7"/>
              </w:rPr>
              <w:t>20,119</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Ellen Pao</w:t>
            </w:r>
          </w:p>
        </w:tc>
        <w:tc>
          <w:tcPr>
            <w:tcW w:w="12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19,291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580" w:type="dxa"/>
            <w:vAlign w:val="bottom"/>
          </w:tcPr>
          <w:p>
            <w:pPr>
              <w:ind w:left="20"/>
              <w:spacing w:after="0" w:line="151" w:lineRule="exact"/>
              <w:rPr>
                <w:sz w:val="20"/>
                <w:szCs w:val="20"/>
                <w:color w:val="auto"/>
              </w:rPr>
            </w:pPr>
            <w:r>
              <w:rPr>
                <w:rFonts w:ascii="Arial" w:cs="Arial" w:eastAsia="Arial" w:hAnsi="Arial"/>
                <w:sz w:val="14"/>
                <w:szCs w:val="14"/>
                <w:color w:val="auto"/>
              </w:rPr>
              <w:t>All current executive officers, directors and director</w:t>
            </w:r>
          </w:p>
        </w:tc>
        <w:tc>
          <w:tcPr>
            <w:tcW w:w="128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7,443,261</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4,907,831</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4,475,939</w:t>
            </w: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01"/>
        </w:trPr>
        <w:tc>
          <w:tcPr>
            <w:tcW w:w="3580" w:type="dxa"/>
            <w:vAlign w:val="bottom"/>
          </w:tcPr>
          <w:p>
            <w:pPr>
              <w:ind w:left="20"/>
              <w:spacing w:after="0" w:line="201" w:lineRule="exact"/>
              <w:rPr>
                <w:sz w:val="20"/>
                <w:szCs w:val="20"/>
                <w:color w:val="auto"/>
              </w:rPr>
            </w:pPr>
            <w:r>
              <w:rPr>
                <w:rFonts w:ascii="Arial" w:cs="Arial" w:eastAsia="Arial" w:hAnsi="Arial"/>
                <w:sz w:val="14"/>
                <w:szCs w:val="14"/>
                <w:color w:val="auto"/>
              </w:rPr>
              <w:t>nominees as a group (8 persons)</w:t>
            </w:r>
            <w:r>
              <w:rPr>
                <w:rFonts w:ascii="Arial" w:cs="Arial" w:eastAsia="Arial" w:hAnsi="Arial"/>
                <w:sz w:val="18"/>
                <w:szCs w:val="18"/>
                <w:color w:val="auto"/>
                <w:vertAlign w:val="superscript"/>
              </w:rPr>
              <w:t>(6)</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80" w:type="dxa"/>
            <w:vAlign w:val="bottom"/>
          </w:tcPr>
          <w:p>
            <w:pPr>
              <w:ind w:left="20"/>
              <w:spacing w:after="0"/>
              <w:rPr>
                <w:sz w:val="20"/>
                <w:szCs w:val="20"/>
                <w:color w:val="auto"/>
              </w:rPr>
            </w:pPr>
            <w:r>
              <w:rPr>
                <w:rFonts w:ascii="Arial" w:cs="Arial" w:eastAsia="Arial" w:hAnsi="Arial"/>
                <w:sz w:val="14"/>
                <w:szCs w:val="14"/>
                <w:color w:val="auto"/>
              </w:rPr>
              <w:t>Expensify Voting Trust</w:t>
            </w:r>
            <w:r>
              <w:rPr>
                <w:rFonts w:ascii="Arial" w:cs="Arial" w:eastAsia="Arial" w:hAnsi="Arial"/>
                <w:sz w:val="9"/>
                <w:szCs w:val="9"/>
                <w:color w:val="auto"/>
              </w:rPr>
              <w:t>(7)</w:t>
            </w: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7,335,456</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6,975,375</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Octopus Head Inc.</w:t>
            </w:r>
            <w:r>
              <w:rPr>
                <w:rFonts w:ascii="Arial" w:cs="Arial" w:eastAsia="Arial" w:hAnsi="Arial"/>
                <w:sz w:val="9"/>
                <w:szCs w:val="9"/>
                <w:color w:val="auto"/>
              </w:rPr>
              <w:t>(8)</w:t>
            </w:r>
          </w:p>
        </w:tc>
        <w:tc>
          <w:tcPr>
            <w:tcW w:w="128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6,456,400</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358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20"/>
              <w:spacing w:after="0"/>
              <w:rPr>
                <w:sz w:val="20"/>
                <w:szCs w:val="20"/>
                <w:color w:val="auto"/>
              </w:rPr>
            </w:pPr>
            <w:r>
              <w:rPr>
                <w:rFonts w:ascii="Arial" w:cs="Arial" w:eastAsia="Arial" w:hAnsi="Arial"/>
                <w:sz w:val="14"/>
                <w:szCs w:val="14"/>
                <w:color w:val="auto"/>
              </w:rPr>
              <w:t>Entities affiliated with OpenView Venture Partners</w:t>
            </w:r>
            <w:r>
              <w:rPr>
                <w:rFonts w:ascii="Arial" w:cs="Arial" w:eastAsia="Arial" w:hAnsi="Arial"/>
                <w:sz w:val="9"/>
                <w:szCs w:val="9"/>
                <w:color w:val="auto"/>
              </w:rPr>
              <w:t>(9)</w:t>
            </w:r>
          </w:p>
        </w:tc>
        <w:tc>
          <w:tcPr>
            <w:tcW w:w="128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10,044,250</w:t>
            </w:r>
          </w:p>
        </w:tc>
        <w:tc>
          <w:tcPr>
            <w:tcW w:w="10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8"/>
                <w:szCs w:val="18"/>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PJC</w:t>
            </w:r>
            <w:r>
              <w:rPr>
                <w:rFonts w:ascii="Arial" w:cs="Arial" w:eastAsia="Arial" w:hAnsi="Arial"/>
                <w:sz w:val="9"/>
                <w:szCs w:val="9"/>
                <w:color w:val="auto"/>
              </w:rPr>
              <w:t>(10)</w:t>
            </w:r>
          </w:p>
        </w:tc>
        <w:tc>
          <w:tcPr>
            <w:tcW w:w="128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5,229,194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7"/>
        </w:trPr>
        <w:tc>
          <w:tcPr>
            <w:tcW w:w="358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20"/>
              <w:spacing w:after="0"/>
              <w:rPr>
                <w:sz w:val="20"/>
                <w:szCs w:val="20"/>
                <w:color w:val="auto"/>
              </w:rPr>
            </w:pPr>
            <w:r>
              <w:rPr>
                <w:rFonts w:ascii="Arial" w:cs="Arial" w:eastAsia="Arial" w:hAnsi="Arial"/>
                <w:sz w:val="14"/>
                <w:szCs w:val="14"/>
                <w:color w:val="auto"/>
              </w:rPr>
              <w:t>Steve McLaughlin</w:t>
            </w:r>
            <w:r>
              <w:rPr>
                <w:rFonts w:ascii="Arial" w:cs="Arial" w:eastAsia="Arial" w:hAnsi="Arial"/>
                <w:sz w:val="9"/>
                <w:szCs w:val="9"/>
                <w:color w:val="auto"/>
              </w:rPr>
              <w:t>(11)</w:t>
            </w:r>
          </w:p>
        </w:tc>
        <w:tc>
          <w:tcPr>
            <w:tcW w:w="128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5,575,636</w:t>
            </w:r>
          </w:p>
        </w:tc>
        <w:tc>
          <w:tcPr>
            <w:tcW w:w="10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9"/>
                <w:szCs w:val="9"/>
                <w:color w:val="auto"/>
              </w:rPr>
              <w:t>(12)</w:t>
            </w:r>
          </w:p>
        </w:tc>
        <w:tc>
          <w:tcPr>
            <w:tcW w:w="128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3,981,436</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5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Represents less than 1%.</w:t>
      </w:r>
    </w:p>
    <w:p>
      <w:pPr>
        <w:spacing w:after="0" w:line="25" w:lineRule="exact"/>
        <w:rPr>
          <w:sz w:val="20"/>
          <w:szCs w:val="20"/>
          <w:color w:val="auto"/>
        </w:rPr>
      </w:pPr>
    </w:p>
    <w:p>
      <w:pPr>
        <w:ind w:left="340" w:hanging="332"/>
        <w:spacing w:after="0" w:line="260" w:lineRule="auto"/>
        <w:tabs>
          <w:tab w:leader="none" w:pos="37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(i) 2,929,910 shares of Class A common stock that may be acquired pursuant to the exercise of stock options within 60 days of April 24, 2023, (ii) 75,988 shares of Class A common stock held directly by Mr. Barrett, 11,426 shares of LT10 common stock and 86,779 shares of LT50 common stock held directly by Mr. Barrett through the Expensify Voting Trust and (iii) 3,382,676 shares of Class A common stock held directly by Barrett Trust LLC, 3,588,640 shares of LT10 common stock and 3,584,604 shares of LT50 common stock held directly by Barrett Trust LLC through the Expensify Voting Trust. Barrett Trust LLC is a manager-managed limited liability company. The investment and voting decisions of Barrett Trust LLC are made by its manager, Mr. Barrett, and its controlling member is the Barrett Family Trust, for which Mr. Barrett serves as trustee. In such capacities, Mr. Barrett may be deemed to beneficially own such shares beneficially owned by Barrett Trust LLC.</w:t>
      </w: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421,543 shares of Class A common stock that may be acquired pursuant to the exercise of stock options within 60 days of April 24, 2023.</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36,300 shares of Class A common stock that may be acquired pursuant to the exercise of stock options within 60 days of April 24, 2023.</w:t>
      </w:r>
    </w:p>
    <w:p>
      <w:pPr>
        <w:spacing w:after="0" w:line="12" w:lineRule="exact"/>
        <w:rPr>
          <w:rFonts w:ascii="Arial" w:cs="Arial" w:eastAsia="Arial" w:hAnsi="Arial"/>
          <w:sz w:val="13"/>
          <w:szCs w:val="13"/>
          <w:color w:val="auto"/>
        </w:rPr>
      </w:pPr>
    </w:p>
    <w:p>
      <w:pPr>
        <w:ind w:left="340" w:hanging="332"/>
        <w:spacing w:after="0" w:line="260" w:lineRule="auto"/>
        <w:tabs>
          <w:tab w:leader="none" w:pos="3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(i) 10,130 shares of Class A common stock that may be acquired pursuant to the exercise of stock options within 60 days of April 24, 2023, (ii) 93,686 shares of Class A common stock held directly by Mr. Mills, 6,165 shares of LT10 common stock and 7,643 shares of LT50 common stock held directly by Mr. Mills through the Expensify Voting Trust and (iii) 576,720 shares of LT10 common stock and 534,925 shares of LT50 common stock held directly by LILJK LLC through the Expensify Voting Trust. LILIJK LLC is a manager-managed limited liability company. The investment and voting decisions of LILIJK LLC are made by its manager, Mr. Mills, and its controlling member is the Figueroa-Mills Family Revocable Trust, for which Mr. Mills serves as trustee. In such capacities, Mr. Mills may be deemed to beneficially own such shares beneficially owned by LILIJK LLC.</w:t>
      </w: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201,420 shares of Class A common stock that may be acquired pursuant to the exercise of stock options within 60 days of April 24, 2023.</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3,599,303 shares of Class A common stock that may be acquired pursuant to the exercise of stock options within 60 days of April 24, 2023.</w:t>
      </w:r>
    </w:p>
    <w:p>
      <w:pPr>
        <w:spacing w:after="0" w:line="12" w:lineRule="exact"/>
        <w:rPr>
          <w:rFonts w:ascii="Arial" w:cs="Arial" w:eastAsia="Arial" w:hAnsi="Arial"/>
          <w:sz w:val="13"/>
          <w:szCs w:val="13"/>
          <w:color w:val="auto"/>
        </w:rPr>
      </w:pPr>
    </w:p>
    <w:p>
      <w:pPr>
        <w:ind w:left="340" w:right="160" w:hanging="332"/>
        <w:spacing w:after="0" w:line="271" w:lineRule="auto"/>
        <w:tabs>
          <w:tab w:leader="none" w:pos="3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shares of LT10 and LT50 common stock held indirectly by the Trust Beneficiaries through a voting trust of which David Barrett, Ryan Schaffer and Jason Mills are the trustees. On February 13, 2023, Ryan Schaffer submitted his resignation as one of the three trustees of the Voting Trust, effective as of May 14, 2023 or, if earlier, the date on which certain applicable state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160"/>
        <w:spacing w:after="0" w:line="277" w:lineRule="auto"/>
        <w:rPr>
          <w:sz w:val="20"/>
          <w:szCs w:val="20"/>
          <w:color w:val="auto"/>
        </w:rPr>
      </w:pPr>
      <w:r>
        <w:rPr>
          <w:rFonts w:ascii="Arial" w:cs="Arial" w:eastAsia="Arial" w:hAnsi="Arial"/>
          <w:sz w:val="13"/>
          <w:szCs w:val="13"/>
          <w:color w:val="auto"/>
        </w:rPr>
        <w:t>approvals have been received. Mr. Garrett Knight will succeed Mr. Schaffer as trustee upon the effectiveness of Mr. Schaffer’s resignation.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spacing w:after="0" w:line="142" w:lineRule="exact"/>
        <w:rPr>
          <w:sz w:val="20"/>
          <w:szCs w:val="20"/>
          <w:color w:val="auto"/>
        </w:rPr>
      </w:pPr>
    </w:p>
    <w:p>
      <w:pPr>
        <w:ind w:left="340" w:right="60" w:hanging="332"/>
        <w:spacing w:after="0" w:line="266" w:lineRule="auto"/>
        <w:tabs>
          <w:tab w:leader="none" w:pos="329"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January 26, 2023. Consists of 6,456,400 shares of Class A common stock held beneficially owned by Octopus Head, Inc. ("Octopus Head"). 415 Foundation is the sole stockholder of Octopus Head and in such capacity may be deemed to share voting and dispositive power over such shares. Witold Stankiewicz is the sole director of Octopus Head and the controlling person of 415 Foundation, and in such capacity may be deemed to share voting and dispositive power over such shares. The address for Octopus Head, 415 Foundation and Mr. Stankiewicz is PH Panamera Residences, Apt. 2806, Calle 47 Este, Bella Vista, Panama City, Panama.</w:t>
      </w:r>
    </w:p>
    <w:p>
      <w:pPr>
        <w:spacing w:after="0" w:line="147" w:lineRule="exact"/>
        <w:rPr>
          <w:rFonts w:ascii="Arial" w:cs="Arial" w:eastAsia="Arial" w:hAnsi="Arial"/>
          <w:sz w:val="13"/>
          <w:szCs w:val="13"/>
          <w:color w:val="auto"/>
        </w:rPr>
      </w:pPr>
    </w:p>
    <w:p>
      <w:pPr>
        <w:ind w:left="340" w:hanging="332"/>
        <w:spacing w:after="0" w:line="260" w:lineRule="auto"/>
        <w:tabs>
          <w:tab w:leader="none" w:pos="343"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9, 2022. Consists of (i) 9,726,290 shares of Class A common stock held by OpenView Venture Partners IV, L.P. and (ii) 317,960 shares of Class A common stock held by OpenView Affiliates Fund IV, L.P. OpenView General Partner IV, L.P. is the general partner of each of OpenView Venture Partners IV, L.P. and OpenView Affiliates Fund IV, L.P. and in such capacity may be deemed to share voting and investment power over the shares held by these entities. OpenView Management, LLC is the general partner of OpenView General Partner IV, L.P. and in such capacity may be deemed to share voting and investment power over such shares. The address of each of these entities is 303 Congress Street, 7th Floor, Boston, MA 02210.</w:t>
      </w:r>
    </w:p>
    <w:p>
      <w:pPr>
        <w:ind w:left="340" w:right="20" w:hanging="332"/>
        <w:spacing w:after="0" w:line="260" w:lineRule="auto"/>
        <w:tabs>
          <w:tab w:leader="none" w:pos="364"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May 3, 2022 and a Form 4 filed with the SEC on June 6, 2022. Consists of (i) 429,544 shares of Class A common stock held by DMM SPV Management LLC, (ii) 230,140 shares of Class A common stock held by PJC-DV II LLC, (iii) 255,270 shares of Class A common stock held by Point Judith Venture Fund III, L.P., (iv) 3,281,880 shares of Class A common stock held by Point Judith Venture Fund III (QP), L.P., (v) 922,000 shares of Class A common stock held by Point Judith Venture Fund IV, L.P., and (v) 110,360 shares of Class A common stock held by MKC Holdings Group LLC. Point Judith Capital Partners III LLC is the general partner of each of Point Judith Venture Fund III, L.P. and Point Judith Venture Fund III (QP), L.P. Point Judith Capital Partners IV LLC is the general partner of Point Judith Venture Fund IV, L.P. David Martirano is the Manager of Point Judith Capital Partners III LLC, Point Judith Capital Partners IV LLC, DMM SPV Management LLC and MKC Holdings Group, LLC, and in such capacity may be deemed to beneficially own all such shares. The address for each of these entities and for Mr. Martirano is 15 Humboldt Ave, Providence, RI 02906.</w:t>
      </w:r>
    </w:p>
    <w:p>
      <w:pPr>
        <w:ind w:left="340" w:right="420" w:hanging="332"/>
        <w:spacing w:after="0" w:line="260" w:lineRule="auto"/>
        <w:tabs>
          <w:tab w:leader="none" w:pos="381"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14, 2023. The address of Mr. McLaughlin is 1521 Alton Road, #345, Miami Beach, FL 33139.</w:t>
      </w:r>
    </w:p>
    <w:p>
      <w:pPr>
        <w:ind w:left="340" w:right="100" w:hanging="332"/>
        <w:spacing w:after="0" w:line="271" w:lineRule="auto"/>
        <w:tabs>
          <w:tab w:leader="none" w:pos="378"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9, 2023. According to the 13G, The Vanguard Group beneficially owns 3,981,436 shares of Class A common stock, with shared power to vote 3,410 of such shares, sole power to dispose of 3,954,587 of such shares and shared power to dispose of 26,849 of such shares. The principal business address of The Vanguard Group is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w:t>
      </w:r>
    </w:p>
    <w:p>
      <w:pPr>
        <w:spacing w:after="0" w:line="14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From January 1, 2022 through March 31, 2023, William Barrett, the brother of David Barrett, has received an aggregate of $114,631 cash compensation and $75,666 stock based compensation in connection with his employment with us as a Success Coach. William Barrett’s compensation is commensurate with other employees with his title and tenure. David Barrett plays no personal role in determining his brother’s compensation or reviewing his brother’s performance.</w:t>
      </w:r>
    </w:p>
    <w:p>
      <w:pPr>
        <w:spacing w:after="0" w:line="1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From January 1, 2022 through March 31, 2023, Mr. Mills has received an aggregate of $1,831,183 cash compensation and $642,839 stock based compensation in connection with his employment with us as Chief Product Officer.</w:t>
      </w:r>
    </w:p>
    <w:p>
      <w:pPr>
        <w:spacing w:after="0" w:line="8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From January 1, 2022 through March 31, 2023, Mr. Vidal has received an aggregate of $900,511 cash compensation and $361,443 stock based compensation in connection with his employment with us as a Chief Strategy Officer.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TRUST AND VOTING TRUST AGREEMENT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exchange offer, we entered into the Voting Trust Agreement, dated as of November 9, 2021, with all LT Holders and the Trustees.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All of the outstanding shares of our LT10 and LT50 common stock are held by the Voting Trust, and will be for the foreseeable future pursuant to the terms of the Voting Trust Agreement and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Shares of Class A common stock held by the Voting Trust may be withdrawn by their beneficial holder in certain circumstances.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current Trustees of the Voting Trust are David Barrett, our director and CEO, Ryan Schaffer, our director and CFO, and Jason Mills, our director, each of whom has been a Trustee since the formation of the Voting Trust. On February 13, 2023, Mr. Schaffer submitted his resignation as a Trustee, effective as of May 14, 2023 or, if earlier, the date on which certain applicable state regulatory approvals have been received, due to his no longer satisfying the beneficial ownership requirements of Section 1(b)(iii) of the Voting Trust Agreement. Pursuant to that section, the remaining Trustees voted to appoint Garrett Knight, and Mr. Knight consented, to succeed Mr. Schaffer as Trustee upon the effectiveness of Mr. Schaffer’s resignation. Mr. Knight has also agreed to execute a joinder to become a party to the Voting Trust Agreement, as Trustee, in connection with the effectiveness of his appointment.</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at any time a Trustee (i) is unable or unwilling to serve as a Trustee by reason of death, incapacity or otherwise, (ii) ceases to be an Expensify employee or other service provider to Expensify, or (iii) is, after November 9, 2022,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is to offer the opportunity to serve as such Trustee to the holder of voting securities held by the Voting Trust who is then an employee of or service provider to Expensify and beneficially owns voting securities with the highest voting power (other than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existing Trustees). The policy of the Trustees is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(as defined in our amended and restated certificate of incorporation)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Voting Trust Agreement, the Trustees make all decisions with respect to the voting (but not the disposition) of the shares of common stock contributed to the Voting Trust, together with any future voting securities received in respect of such common stock by way of a stock dividend, distribution, conversion or exchange,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precludes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As of April 24, 2023, the Voting Trust controlled approximately 86.0% of the total voting power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EXPENSIFY.ORG</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party to an Amended and Restated Investors’ Rights Agreement, dated as of January 22, 2015, with certain holders of our capital stock, including entities affiliated with OpenView Venture Partners (“OpenView”), a beneficial owner of more than 5% of our Class A common stock. Blake Bartlett, a member of our Board of Directors until immediately prior to the consummation of our IPO in November 2021, is an affiliate of OpenView. This agreement provides, among other things, that certain holders of our capital stock have the right to request that we file a registration statement and/or request that their shares be covered by a registration statement that we are otherwise filing, subject to certain exceptions.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4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have entered into indemnification agreements with each of our current directors and officers. Our amended and restated certificate of incorporation provides rights to indemnification and advancement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expenses to our current and former officers, directors, employees and agents and to any person who is or was serving at the request of the Company as a director, officer, employee or agent of another corporation, partnership, joint venture, trust or other enterprise. Our amended and restated bylaws provide that we will indemnify our directors and officers to the fullest extent permitted by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Board has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Stockholder Proposals</w:t>
      </w:r>
    </w:p>
    <w:p>
      <w:pPr>
        <w:spacing w:after="0" w:line="3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Stockholders may present proposals for action at a future meeting only if they comply with the requirements of the proxy rules established by the SEC and our amended and restated bylaws.</w:t>
      </w:r>
    </w:p>
    <w:p>
      <w:pPr>
        <w:spacing w:after="0" w:line="7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Pursuant to Rule 14a-8 under the Exchange Act, stockholder proposals that are intended to be presented at our 2024 Annual Meeting and included in the proxy statement, form of proxy and other proxy solicitation materials related to that meeting must be received by us no later than December 30, 2023.</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Stockholders intending to present a proposal at our 2024 Annual Meeting, but not include the proposal in our proxy statement, or to nominate a person for election as a director must comply with the requirements set forth in our amended and restated bylaws, including requirements with respect to advance notice of stockholder proposals and director nominations. Under our amended and restated bylaws, the deadline for submitting such a stockholder proposal or a nomination for a director that you intend to present at our 2024 Annual Meeting is no later than the close of business on March 23, 2024, nor earlier than February 22, 2024.</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 proposals must comply with all requirements and applicable rules of the SEC, be in writing and be addressed to our Secretary, at our principal executive offices at 401 SW 5th Ave, Portland, OR 97204. It is recommended that stockholders submitting proposals utilize certified mail, return receipt requested, in order to provide proof of timely receipt. The Chairman of the 2024 Annual Meeting reserves the right to reject, rule out of order or take other appropriate action with respect to any proposal or director nominee that does not comply with these and other applicable requirements, including conditions set forth in our amended and restated bylaws and requirements established by the SEC.</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satisfying the requirements under our amended and restated bylaws, to comply with the universal proxy rules, stockholders who intend to solicit proxies in support of director nominees other than our nominees must provide notice to the Company that sets forth the information required by Rule 14a-19 under the Exchange Act no later than April 22, 2024.</w:t>
      </w:r>
    </w:p>
    <w:p>
      <w:pPr>
        <w:spacing w:after="0" w:line="10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intend to file a proxy statement and WHITE proxy card with the SEC in connection with the solicitation of proxies for our 2024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Delinquent Section 16(a) Reports</w:t>
      </w:r>
    </w:p>
    <w:p>
      <w:pPr>
        <w:spacing w:after="0" w:line="3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Section 16(a)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To our knowledge, based solely on our review of the copies of such forms furnished to us and written representations from our directors and executive officers, we believe that all Section 16(a) filing requirements were timely met in the year ended December 31, 2022, except for three Form 4s representing multiple transactions for Mr. Barrett, one Form 4 representing one transaction for Mr. Schaffer, one Form 4 representing one transaction for Ms. Muralidharan, one Form 4 representing one transaction for Mr. Mills, one Form 4 representing two transactions for Mr. Vidal, one Form 4 representing one transaction for Mr. Christen, one Form 4 representing one transaction for Ms. Pao, one Form 4 representing one transaction for Ms. Liu and one Form 4 representing one transaction for Hillsven LLC.</w:t>
      </w:r>
    </w:p>
    <w:p>
      <w:pPr>
        <w:spacing w:after="0" w:line="1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Other Matters</w:t>
      </w:r>
    </w:p>
    <w:p>
      <w:pPr>
        <w:spacing w:after="0" w:line="31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do not know of any business, other than as described in this Proxy Statement, that should be considered at the Annual Meeting. If any other matters should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it is the intention of the persons named in the accompanying form of proxy to vote the proxies held by them in accordance with their best judgment.</w:t>
      </w:r>
    </w:p>
    <w:p>
      <w:pPr>
        <w:spacing w:after="0" w:line="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Report on Form 10-K</w:t>
      </w:r>
    </w:p>
    <w:p>
      <w:pPr>
        <w:spacing w:after="0" w:line="31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stockholders receiving paper copies of this Proxy Statement, a copy of our Annual Report (which includes our Form 10-K for the fiscal year ended December 31, 2022) will accompany the proxy statement. For stockholders receiving the Notice only, this Proxy Statement and our Annual Report (which includes our Form 10-K for the fiscal year ended December 31, 2022) will be available electronically.</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Copies of our Annual Report on Form 10-K for the fiscal year ended December 31, 2022 are also available on our website, ir.expensify.com as well as www.proxyvote.com, or you may request a paper copy of the Annual Report on Form 10-K (exclusive of exhibits and documents incorporated by reference), without charge, by writing to Expensify Investor Relations department at investors@expensify.com or by mail at EXFY Investor Relations, 401 SW 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Ave, Portland, OR 97204. </w:t>
      </w:r>
      <w:r>
        <w:rPr>
          <w:rFonts w:ascii="Arial" w:cs="Arial" w:eastAsia="Arial" w:hAnsi="Arial"/>
          <w:sz w:val="18"/>
          <w:szCs w:val="18"/>
          <w:color w:val="auto"/>
        </w:rPr>
        <w:t>Copies of exhibits and basic</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filed with the Annual Report on Form 10-K or referenced therein will be furnished to stockholders upon written request and payment of a nominal fee in connection with the furnishing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804545</wp:posOffset>
            </wp:positionV>
            <wp:extent cx="5349240" cy="6892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804545</wp:posOffset>
            </wp:positionV>
            <wp:extent cx="5349240" cy="6917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45</w:t>
      </w:r>
    </w:p>
    <w:sectPr>
      <w:pgSz w:w="11900" w:h="16838" w:orient="portrait"/>
      <w:cols w:equalWidth="0" w:num="1">
        <w:col w:w="10139"/>
      </w:cols>
      <w:pgMar w:left="320" w:top="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lowerLetter"/>
      <w:start w:val="1"/>
    </w:lvl>
    <w:lvl w:ilvl="1">
      <w:lvlJc w:val="left"/>
      <w:lvlText w:val="%2."/>
      <w:numFmt w:val="lowerRoman"/>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2"/>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4"/>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2023-04-28T15:20:38Z</dcterms:created>
  <dcterms:modified xsi:type="dcterms:W3CDTF">2023-04-28T15:20:38Z</dcterms:modified>
</cp:coreProperties>
</file>