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Expensify Neue;sans-serif" w:hAnsi="Expensify Neue;sans-serif"/>
          <w:b/>
          <w:color w:val="000000"/>
          <w:sz w:val="40"/>
        </w:rPr>
      </w:pPr>
      <w:r>
        <w:rPr>
          <w:rFonts w:ascii="Expensify Neue;sans-serif" w:hAnsi="Expensify Neue;sans-serif"/>
          <w:b/>
          <w:color w:val="000000"/>
          <w:sz w:val="40"/>
        </w:rPr>
        <w:t xml:space="preserve">UNITED STATES </w:t>
      </w:r>
    </w:p>
    <w:p>
      <w:pPr>
        <w:pStyle w:val="TextBody"/>
        <w:bidi w:val="0"/>
        <w:spacing w:lineRule="auto" w:line="288" w:before="0" w:after="0"/>
        <w:jc w:val="center"/>
        <w:rPr>
          <w:rFonts w:ascii="Expensify Neue;sans-serif" w:hAnsi="Expensify Neue;sans-serif"/>
          <w:b/>
          <w:color w:val="000000"/>
          <w:sz w:val="40"/>
        </w:rPr>
      </w:pPr>
      <w:r>
        <w:rPr>
          <w:rFonts w:ascii="Expensify Neue;sans-serif" w:hAnsi="Expensify Neue;sans-serif"/>
          <w:b/>
          <w:color w:val="000000"/>
          <w:sz w:val="40"/>
        </w:rPr>
        <w:t xml:space="preserve">SECURITIES AND EXCHANGE COMMISSION </w:t>
      </w:r>
    </w:p>
    <w:p>
      <w:pPr>
        <w:pStyle w:val="TextBody"/>
        <w:bidi w:val="0"/>
        <w:spacing w:lineRule="auto" w:line="288" w:before="0" w:after="320"/>
        <w:jc w:val="center"/>
        <w:rPr>
          <w:rFonts w:ascii="Expensify Neue;sans-serif" w:hAnsi="Expensify Neue;sans-serif"/>
          <w:b/>
          <w:color w:val="000000"/>
          <w:sz w:val="28"/>
        </w:rPr>
      </w:pPr>
      <w:r>
        <w:rPr>
          <w:rFonts w:ascii="Expensify Neue;sans-serif" w:hAnsi="Expensify Neue;sans-serif"/>
          <w:b/>
          <w:color w:val="000000"/>
          <w:sz w:val="28"/>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Expensify Neue;sans-serif" w:hAnsi="Expensify Neue;sans-serif"/>
          <w:b/>
          <w:color w:val="000000"/>
          <w:sz w:val="40"/>
        </w:rPr>
      </w:pPr>
      <w:r>
        <w:rPr>
          <w:rFonts w:ascii="Expensify Neue;sans-serif" w:hAnsi="Expensify Neue;sans-serif"/>
          <w:b/>
          <w:color w:val="000000"/>
          <w:sz w:val="40"/>
        </w:rPr>
        <w:t>SCHEDULE 14A</w:t>
      </w:r>
    </w:p>
    <w:p>
      <w:pPr>
        <w:pStyle w:val="TextBody"/>
        <w:bidi w:val="0"/>
        <w:spacing w:lineRule="auto" w:line="288" w:before="0" w:after="0"/>
        <w:jc w:val="center"/>
        <w:rPr>
          <w:rFonts w:ascii="Expensify Neue;sans-serif" w:hAnsi="Expensify Neue;sans-serif"/>
          <w:b/>
          <w:color w:val="000000"/>
          <w:sz w:val="28"/>
        </w:rPr>
      </w:pPr>
      <w:r>
        <w:rPr>
          <w:rFonts w:ascii="Expensify Neue;sans-serif" w:hAnsi="Expensify Neue;sans-serif"/>
          <w:b/>
          <w:color w:val="000000"/>
          <w:sz w:val="28"/>
        </w:rPr>
        <w:t>Proxy Statement Pursuant to Section 14(a) of the</w:t>
      </w:r>
    </w:p>
    <w:p>
      <w:pPr>
        <w:pStyle w:val="TextBody"/>
        <w:bidi w:val="0"/>
        <w:spacing w:lineRule="auto" w:line="288" w:before="0" w:after="0"/>
        <w:jc w:val="center"/>
        <w:rPr>
          <w:rFonts w:ascii="Expensify Neue;sans-serif" w:hAnsi="Expensify Neue;sans-serif"/>
          <w:b/>
          <w:color w:val="000000"/>
          <w:sz w:val="28"/>
        </w:rPr>
      </w:pPr>
      <w:r>
        <w:rPr>
          <w:rFonts w:ascii="Expensify Neue;sans-serif" w:hAnsi="Expensify Neue;sans-serif"/>
          <w:b/>
          <w:color w:val="000000"/>
          <w:sz w:val="28"/>
        </w:rPr>
        <w:t>Securities Exchange Act of 1934</w:t>
      </w:r>
    </w:p>
    <w:p>
      <w:pPr>
        <w:pStyle w:val="TextBody"/>
        <w:bidi w:val="0"/>
        <w:spacing w:lineRule="auto" w:line="288" w:before="0" w:after="320"/>
        <w:jc w:val="center"/>
        <w:rPr>
          <w:rFonts w:ascii="Expensify Neue;sans-serif" w:hAnsi="Expensify Neue;sans-serif"/>
          <w:b/>
          <w:color w:val="000000"/>
          <w:sz w:val="28"/>
        </w:rPr>
      </w:pPr>
      <w:r>
        <w:rPr>
          <w:rFonts w:ascii="Expensify Neue;sans-serif" w:hAnsi="Expensify Neue;sans-serif"/>
          <w:b/>
          <w:color w:val="000000"/>
          <w:sz w:val="28"/>
        </w:rPr>
        <w:t>(Amendment No.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Filed by the Registrant ☒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Filed by a Party other than the Registrant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Check the appropriate box:</w:t>
      </w:r>
    </w:p>
    <w:tbl>
      <w:tblPr>
        <w:tblW w:w="9356" w:type="dxa"/>
        <w:jc w:val="left"/>
        <w:tblInd w:w="0" w:type="dxa"/>
        <w:tblLayout w:type="fixed"/>
        <w:tblCellMar>
          <w:top w:w="28" w:type="dxa"/>
          <w:left w:w="28" w:type="dxa"/>
          <w:bottom w:w="28" w:type="dxa"/>
          <w:right w:w="28" w:type="dxa"/>
        </w:tblCellMar>
      </w:tblPr>
      <w:tblGrid>
        <w:gridCol w:w="124"/>
        <w:gridCol w:w="109"/>
        <w:gridCol w:w="109"/>
        <w:gridCol w:w="2634"/>
        <w:gridCol w:w="2634"/>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Soliciting Material under §240.14a-12</w:t>
            </w:r>
          </w:p>
        </w:tc>
      </w:tr>
    </w:tbl>
    <w:p>
      <w:pPr>
        <w:pStyle w:val="TextBody"/>
        <w:bidi w:val="0"/>
        <w:spacing w:lineRule="auto" w:line="288" w:before="0" w:after="160"/>
        <w:jc w:val="center"/>
        <w:rPr>
          <w:rFonts w:ascii="Expensify Neue;sans-serif" w:hAnsi="Expensify Neue;sans-serif"/>
          <w:b/>
          <w:color w:val="000000"/>
          <w:sz w:val="56"/>
        </w:rPr>
      </w:pPr>
      <w:r>
        <w:rPr>
          <w:rFonts w:ascii="Expensify Neue;sans-serif" w:hAnsi="Expensify Neue;sans-serif"/>
          <w:b/>
          <w:color w:val="000000"/>
          <w:sz w:val="56"/>
        </w:rPr>
        <w:t>EXPENSIFY, INC.</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(Name of the Registrant as Specified In Its Charter)</w:t>
      </w:r>
    </w:p>
    <w:p>
      <w:pPr>
        <w:pStyle w:val="TextBody"/>
        <w:bidi w:val="0"/>
        <w:spacing w:before="0" w:after="0"/>
        <w:jc w:val="center"/>
        <w:rPr/>
      </w:pPr>
      <w:r>
        <w:rPr/>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(Name of Person(s) Filing Proxy Statement, if other than the Registrant)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0"/>
        <w:gridCol w:w="1530"/>
        <w:gridCol w:w="1529"/>
        <w:gridCol w:w="1528"/>
        <w:gridCol w:w="1528"/>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Fee computed on table in exhibit required by Item 25(b) per Exchange Act Rules 14a-6(i)(1) and 0-11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tbl>
      <w:tblPr>
        <w:tblW w:w="5482" w:type="dxa"/>
        <w:jc w:val="left"/>
        <w:tblInd w:w="0" w:type="dxa"/>
        <w:tblLayout w:type="fixed"/>
        <w:tblCellMar>
          <w:top w:w="28" w:type="dxa"/>
          <w:left w:w="28" w:type="dxa"/>
          <w:bottom w:w="28" w:type="dxa"/>
          <w:right w:w="28" w:type="dxa"/>
        </w:tblCellMar>
      </w:tblPr>
      <w:tblGrid>
        <w:gridCol w:w="668"/>
        <w:gridCol w:w="586"/>
        <w:gridCol w:w="590"/>
        <w:gridCol w:w="1088"/>
        <w:gridCol w:w="1088"/>
        <w:gridCol w:w="1090"/>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tc>
        <w:tc>
          <w:tcPr>
            <w:tcW w:w="32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19300"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019300" cy="4762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April 26,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Dear Stockholder,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cordially invite you to attend our 2024 Annual Meeting of Stockholders, to be held on Friday, June 14, 2024 at 10:00 a.m. (Pacific Time). The annual meeting will be a completely “virtual” meeting, conducted via live audio webcast, and you will not be able to attend the meeting in person. We believe the environmentally friendly virtual meeting format will provide expanded access, improved communication and cost savings for us and our stockholders. You will be able to attend the annual meeting, as well as vote and submit your questions during the live webcast of the meeting, by visiting www.virtualshareholdermeeting.com/EXFY2024 and entering the company number and control number included on your proxy card or in the instructions that accompany your proxy materials.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Notice of Annual Meeting of Stockholders and the proxy statement that follow describe the business to be conducted at the meeting.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Whether or not you plan to attend the virtual annual meeting, your vote is very important and we encourage you to vote promptly. You may vote in advance by either marking, signing and returning the enclosed proxy card or using telephone or internet voting. For specific instructions on voting, please refer to the instructions on your enclosed proxy card if you received paper copies of the proxy materials, or on the Notice of Internet Availability of Proxy Materials. If you are a record holder and attend the virtual annual meeting, you will have the right to revoke your proxy and vote your shares virtually at the meeting. If you hold your shares through an account with a brokerage firm, bank, broker-dealer or other nominee, please follow the instructions you receive from them.</w: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Sincerely,</w:t>
      </w:r>
    </w:p>
    <w:p>
      <w:pPr>
        <w:pStyle w:val="TextBody"/>
        <w:bidi w:val="0"/>
        <w:spacing w:before="0" w:after="160"/>
        <w:jc w:val="left"/>
        <w:rPr/>
      </w:pPr>
      <w:r>
        <w:rPr/>
      </w:r>
    </w:p>
    <w:p>
      <w:pPr>
        <w:pStyle w:val="TextBody"/>
        <w:bidi w:val="0"/>
        <w:spacing w:before="0" w:after="160"/>
        <w:jc w:val="left"/>
        <w:rPr/>
      </w:pPr>
      <w:r>
        <w:rPr/>
        <w:drawing>
          <wp:inline distT="0" distB="0" distL="0" distR="0">
            <wp:extent cx="1400175" cy="5334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00175" cy="533400"/>
                    </a:xfrm>
                    <a:prstGeom prst="rect">
                      <a:avLst/>
                    </a:prstGeom>
                  </pic:spPr>
                </pic:pic>
              </a:graphicData>
            </a:graphic>
          </wp:inline>
        </w:drawing>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Founder, CEO and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0"/>
        <w:jc w:val="left"/>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401 SW 5th Ave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Portland, OR 92704</w:t>
      </w:r>
    </w:p>
    <w:p>
      <w:pPr>
        <w:pStyle w:val="TextBody"/>
        <w:bidi w:val="0"/>
        <w:spacing w:lineRule="auto" w:line="288" w:before="0" w:after="160"/>
        <w:jc w:val="left"/>
        <w:rPr>
          <w:rFonts w:ascii="Expensify New Kansas Medium;sans-serif" w:hAnsi="Expensify New Kansas Medium;sans-serif"/>
          <w:b w:val="false"/>
          <w:color w:val="000000"/>
          <w:sz w:val="32"/>
        </w:rPr>
      </w:pPr>
      <w:r>
        <w:rPr>
          <w:rFonts w:ascii="Expensify New Kansas Medium;sans-serif" w:hAnsi="Expensify New Kansas Medium;sans-serif"/>
          <w:b w:val="false"/>
          <w:color w:val="000000"/>
          <w:sz w:val="32"/>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460"/>
        <w:gridCol w:w="404"/>
        <w:gridCol w:w="412"/>
        <w:gridCol w:w="961"/>
        <w:gridCol w:w="961"/>
        <w:gridCol w:w="961"/>
        <w:gridCol w:w="961"/>
        <w:gridCol w:w="961"/>
        <w:gridCol w:w="961"/>
        <w:gridCol w:w="961"/>
        <w:gridCol w:w="961"/>
        <w:gridCol w:w="1241"/>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When</w:t>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Friday, June 14, 2024 at 10:00 a.m. PDT</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Where</w:t>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Virtually at www.virtualshareholdermeeting.com/EXFY2024</w:t>
            </w:r>
          </w:p>
        </w:tc>
      </w:tr>
      <w:tr>
        <w:trPr/>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Items of Business</w:t>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1.Election of the eight director nominees named in this Proxy Statement to serve on our Board of Directors until the 2025 Annual Meeting of Stockholders and until their respective successors shall have been duly elected and qualified. The Executive Committee of the Board of Directors (the “Executive Committee”) on behalf of the Board of Directors recommends a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each nominee.</w:t>
            </w:r>
          </w:p>
        </w:tc>
      </w:tr>
      <w:tr>
        <w:trPr/>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2.Ratification of the appointment of Ernst &amp; Young LLP as our independent registered public accounting firm for the fiscal year ended December 31, 2024. The Executive Committee on behalf of the Board of Directors recommends a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this proposal.</w:t>
            </w:r>
          </w:p>
        </w:tc>
      </w:tr>
      <w:tr>
        <w:trPr/>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3.Approval, on an advisory basis, of the compensation of our named executive officers. The Executive Committee on behalf of the Board of Directors recommends a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this proposal.</w:t>
            </w:r>
          </w:p>
        </w:tc>
      </w:tr>
      <w:tr>
        <w:trPr/>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4.Transaction of any other business which may properly come before the 2024 Annual Meeting of Stockholders (the “Annual Meeting”) or any adjournment, continuation or postponement of the Annual Meeting.</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Who Can Vote</w:t>
            </w:r>
          </w:p>
        </w:tc>
        <w:tc>
          <w:tcPr>
            <w:tcW w:w="892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Only stockholders of record as of the close of business on April 22, 2024 will be entitled to notice of, and to vote at the Annual Meeting.</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As permitted by the rules of the Securities and Exchange Commission, we have elected to furnish our proxy materials to stockholders by providing access to the proxy materials on the internet. Accordingly, we are sending our stockholders a Notice of Internet Availability of Proxy Materials (the “Notice”) rather than a paper set of the proxy materials, unless a stockholder has previously requested printed materials. The Notice includes instructions on how to access our proxy materials over the internet, as well as how to request the materials in paper form.</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Your vote is important. We encourage you to vote by proxy in advance of the meeting, whether or not you plan to attend the virtual meeting. The Notice includes instructions on how to vote, including by internet or telephone. If you hold your shares through a brokerage firm, bank, broker-dealer or other nominee, please follow the instructions you receive from them.</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IMPORTANT NOTICE REGARDING THE AVAILABILITY OF PROXY MATERIALS FOR THE ANNUAL MEETING OF STOCKHOLDERS TO BE HELD ON JUNE 14,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This notice of the Annual Meeting, the Proxy Statement and the form of proxy are being distributed and made available on or about April 26, 2024. The Proxy Statement and our Annual Report on Form 10-K for the year ended December 31, 2023 are also available on our website, ir.expensify.com, as well as www.proxyvote.com.</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By order of the Board of Directors,</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6000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28750" cy="600075"/>
                          </a:xfrm>
                          <a:prstGeom prst="rect">
                            <a:avLst/>
                          </a:prstGeom>
                        </pic:spPr>
                      </pic:pic>
                    </a:graphicData>
                  </a:graphic>
                </wp:inline>
              </w:drawing>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Cole Eason</w:t>
            </w:r>
          </w:p>
        </w:tc>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April 26, 2024</w:t>
            </w:r>
          </w:p>
        </w:tc>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Corporate Secretary</w:t>
            </w:r>
          </w:p>
        </w:tc>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Table of Contents</w:t>
      </w:r>
    </w:p>
    <w:tbl>
      <w:tblPr>
        <w:tblW w:w="9571" w:type="dxa"/>
        <w:jc w:val="left"/>
        <w:tblInd w:w="0" w:type="dxa"/>
        <w:tblLayout w:type="fixed"/>
        <w:tblCellMar>
          <w:top w:w="28" w:type="dxa"/>
          <w:left w:w="28" w:type="dxa"/>
          <w:bottom w:w="28" w:type="dxa"/>
          <w:right w:w="28" w:type="dxa"/>
        </w:tblCellMar>
      </w:tblPr>
      <w:tblGrid>
        <w:gridCol w:w="3212"/>
        <w:gridCol w:w="2821"/>
        <w:gridCol w:w="2832"/>
        <w:gridCol w:w="206"/>
        <w:gridCol w:w="206"/>
        <w:gridCol w:w="294"/>
      </w:tblGrid>
      <w:tr>
        <w:trPr/>
        <w:tc>
          <w:tcPr>
            <w:tcW w:w="3212"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16">
              <w:r>
                <w:rPr>
                  <w:rStyle w:val="InternetLink"/>
                  <w:rFonts w:ascii="Expensify Neue;sans-serif" w:hAnsi="Expensify Neue;sans-serif"/>
                  <w:b w:val="false"/>
                  <w:color w:val="0000FF"/>
                  <w:sz w:val="20"/>
                  <w:u w:val="single"/>
                </w:rPr>
                <w:t>General Information</w:t>
              </w:r>
            </w:hyperlink>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58c8840fa59d470a9bd1174bc29b0077_16">
              <w:r>
                <w:rPr>
                  <w:rStyle w:val="InternetLink"/>
                  <w:rFonts w:ascii="Expensify Neue;sans-serif" w:hAnsi="Expensify Neue;sans-serif"/>
                  <w:b w:val="false"/>
                  <w:color w:val="0000FF"/>
                  <w:sz w:val="20"/>
                  <w:u w:val="single"/>
                </w:rPr>
                <w:t>1</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19">
              <w:r>
                <w:rPr>
                  <w:rStyle w:val="InternetLink"/>
                  <w:rFonts w:ascii="Expensify Neue;sans-serif" w:hAnsi="Expensify Neue;sans-serif"/>
                  <w:b w:val="false"/>
                  <w:color w:val="0000FF"/>
                  <w:sz w:val="20"/>
                  <w:u w:val="single"/>
                </w:rPr>
                <w:t>Proposal 1: Election of Directors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19">
              <w:r>
                <w:rPr>
                  <w:rStyle w:val="InternetLink"/>
                  <w:rFonts w:ascii="Expensify Neue;sans-serif" w:hAnsi="Expensify Neue;sans-serif"/>
                  <w:b w:val="false"/>
                  <w:color w:val="0000FF"/>
                  <w:sz w:val="20"/>
                  <w:u w:val="single"/>
                </w:rPr>
                <w:t>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22">
              <w:r>
                <w:rPr>
                  <w:rStyle w:val="InternetLink"/>
                  <w:rFonts w:ascii="Expensify Neue;sans-serif" w:hAnsi="Expensify Neue;sans-serif"/>
                  <w:b w:val="false"/>
                  <w:color w:val="0000FF"/>
                  <w:sz w:val="20"/>
                  <w:u w:val="single"/>
                </w:rPr>
                <w:t>Corporate Governance</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22">
              <w:r>
                <w:rPr>
                  <w:rStyle w:val="InternetLink"/>
                  <w:rFonts w:ascii="Expensify Neue;sans-serif" w:hAnsi="Expensify Neue;sans-serif"/>
                  <w:b w:val="false"/>
                  <w:color w:val="0000FF"/>
                  <w:sz w:val="20"/>
                  <w:u w:val="single"/>
                </w:rPr>
                <w:t>8</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25">
              <w:r>
                <w:rPr>
                  <w:rStyle w:val="InternetLink"/>
                  <w:rFonts w:ascii="Expensify Neue;sans-serif" w:hAnsi="Expensify Neue;sans-serif"/>
                  <w:b w:val="false"/>
                  <w:color w:val="0000FF"/>
                  <w:sz w:val="20"/>
                  <w:u w:val="single"/>
                </w:rPr>
                <w:t>Environmental, Social, and Governance</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25">
              <w:r>
                <w:rPr>
                  <w:rStyle w:val="InternetLink"/>
                  <w:rFonts w:ascii="Expensify Neue;sans-serif" w:hAnsi="Expensify Neue;sans-serif"/>
                  <w:b w:val="false"/>
                  <w:color w:val="0000FF"/>
                  <w:sz w:val="20"/>
                  <w:u w:val="single"/>
                </w:rPr>
                <w:t>16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28">
              <w:r>
                <w:rPr>
                  <w:rStyle w:val="InternetLink"/>
                  <w:rFonts w:ascii="Expensify Neue;sans-serif" w:hAnsi="Expensify Neue;sans-serif"/>
                  <w:b w:val="false"/>
                  <w:color w:val="0000FF"/>
                  <w:sz w:val="20"/>
                  <w:u w:val="single"/>
                </w:rPr>
                <w:t>Proposal 2: Ratification of Appointment of Independent Registered Public Accounting Firm</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28">
              <w:r>
                <w:rPr>
                  <w:rStyle w:val="InternetLink"/>
                  <w:rFonts w:ascii="Expensify Neue;sans-serif" w:hAnsi="Expensify Neue;sans-serif"/>
                  <w:b w:val="false"/>
                  <w:color w:val="0000FF"/>
                  <w:sz w:val="20"/>
                  <w:u w:val="single"/>
                </w:rPr>
                <w:t>18</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34">
              <w:r>
                <w:rPr>
                  <w:rStyle w:val="InternetLink"/>
                  <w:rFonts w:ascii="Expensify Neue;sans-serif" w:hAnsi="Expensify Neue;sans-serif"/>
                  <w:b w:val="false"/>
                  <w:color w:val="0000FF"/>
                  <w:sz w:val="20"/>
                  <w:u w:val="single"/>
                </w:rPr>
                <w:t>Audit Committee Report</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34">
              <w:r>
                <w:rPr>
                  <w:rStyle w:val="InternetLink"/>
                  <w:rFonts w:ascii="Expensify Neue;sans-serif" w:hAnsi="Expensify Neue;sans-serif"/>
                  <w:b w:val="false"/>
                  <w:color w:val="0000FF"/>
                  <w:sz w:val="20"/>
                  <w:u w:val="single"/>
                </w:rPr>
                <w:t>20</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40">
              <w:r>
                <w:rPr>
                  <w:rStyle w:val="InternetLink"/>
                  <w:rFonts w:ascii="Expensify Neue;sans-serif" w:hAnsi="Expensify Neue;sans-serif"/>
                  <w:b w:val="false"/>
                  <w:color w:val="0000FF"/>
                  <w:sz w:val="20"/>
                  <w:u w:val="single"/>
                </w:rPr>
                <w:t>Director Compensation</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40">
              <w:r>
                <w:rPr>
                  <w:rStyle w:val="InternetLink"/>
                  <w:rFonts w:ascii="Expensify Neue;sans-serif" w:hAnsi="Expensify Neue;sans-serif"/>
                  <w:b w:val="false"/>
                  <w:color w:val="0000FF"/>
                  <w:sz w:val="20"/>
                  <w:u w:val="single"/>
                </w:rPr>
                <w:t>21</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43">
              <w:r>
                <w:rPr>
                  <w:rStyle w:val="InternetLink"/>
                  <w:rFonts w:ascii="Expensify Neue;sans-serif" w:hAnsi="Expensify Neue;sans-serif"/>
                  <w:b w:val="false"/>
                  <w:color w:val="0000FF"/>
                  <w:sz w:val="20"/>
                  <w:u w:val="single"/>
                </w:rPr>
                <w:t>Executive Compensation</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43">
              <w:r>
                <w:rPr>
                  <w:rStyle w:val="InternetLink"/>
                  <w:rFonts w:ascii="Expensify Neue;sans-serif" w:hAnsi="Expensify Neue;sans-serif"/>
                  <w:b w:val="false"/>
                  <w:color w:val="0000FF"/>
                  <w:sz w:val="20"/>
                  <w:u w:val="single"/>
                </w:rPr>
                <w:t>23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8c8840fa59d470a9bd1174bc29b0077_46">
              <w:r>
                <w:rPr>
                  <w:rStyle w:val="InternetLink"/>
                  <w:rFonts w:ascii="Expensify Neue;sans-serif" w:hAnsi="Expensify Neue;sans-serif"/>
                  <w:b w:val="false"/>
                  <w:color w:val="0000FF"/>
                  <w:sz w:val="20"/>
                  <w:u w:val="single"/>
                </w:rPr>
                <w:t>Compensation Discussion and Analysis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46">
              <w:r>
                <w:rPr>
                  <w:rStyle w:val="InternetLink"/>
                  <w:rFonts w:ascii="Expensify Neue;sans-serif" w:hAnsi="Expensify Neue;sans-serif"/>
                  <w:b w:val="false"/>
                  <w:color w:val="0000FF"/>
                  <w:sz w:val="20"/>
                  <w:u w:val="single"/>
                </w:rPr>
                <w:t>23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8c8840fa59d470a9bd1174bc29b0077_49">
              <w:r>
                <w:rPr>
                  <w:rStyle w:val="InternetLink"/>
                  <w:rFonts w:ascii="Expensify Neue;sans-serif" w:hAnsi="Expensify Neue;sans-serif"/>
                  <w:b w:val="false"/>
                  <w:color w:val="0000FF"/>
                  <w:sz w:val="20"/>
                  <w:u w:val="single"/>
                </w:rPr>
                <w:t>Compensation Committee Report</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49">
              <w:r>
                <w:rPr>
                  <w:rStyle w:val="InternetLink"/>
                  <w:rFonts w:ascii="Expensify Neue;sans-serif" w:hAnsi="Expensify Neue;sans-serif"/>
                  <w:b w:val="false"/>
                  <w:color w:val="0000FF"/>
                  <w:sz w:val="20"/>
                  <w:u w:val="single"/>
                </w:rPr>
                <w:t>27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8c8840fa59d470a9bd1174bc29b0077_55">
              <w:r>
                <w:rPr>
                  <w:rStyle w:val="InternetLink"/>
                  <w:rFonts w:ascii="Expensify Neue;sans-serif" w:hAnsi="Expensify Neue;sans-serif"/>
                  <w:b w:val="false"/>
                  <w:color w:val="0000FF"/>
                  <w:sz w:val="20"/>
                  <w:u w:val="single"/>
                </w:rPr>
                <w:t>Pay vs Performance</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55">
              <w:r>
                <w:rPr>
                  <w:rStyle w:val="InternetLink"/>
                  <w:rFonts w:ascii="Expensify Neue;sans-serif" w:hAnsi="Expensify Neue;sans-serif"/>
                  <w:b w:val="false"/>
                  <w:color w:val="0000FF"/>
                  <w:sz w:val="20"/>
                  <w:u w:val="single"/>
                </w:rPr>
                <w:t>33</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58">
              <w:r>
                <w:rPr>
                  <w:rStyle w:val="InternetLink"/>
                  <w:rFonts w:ascii="Expensify Neue;sans-serif" w:hAnsi="Expensify Neue;sans-serif"/>
                  <w:b w:val="false"/>
                  <w:color w:val="0000FF"/>
                  <w:sz w:val="20"/>
                  <w:u w:val="single"/>
                </w:rPr>
                <w:t>Proposal 3: Advisory Vote to Approve the Company’s Executive Compensation</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58">
              <w:r>
                <w:rPr>
                  <w:rStyle w:val="InternetLink"/>
                  <w:rFonts w:ascii="Expensify Neue;sans-serif" w:hAnsi="Expensify Neue;sans-serif"/>
                  <w:b w:val="false"/>
                  <w:color w:val="0000FF"/>
                  <w:sz w:val="20"/>
                  <w:u w:val="single"/>
                </w:rPr>
                <w:t>36</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61">
              <w:r>
                <w:rPr>
                  <w:rStyle w:val="InternetLink"/>
                  <w:rFonts w:ascii="Expensify Neue;sans-serif" w:hAnsi="Expensify Neue;sans-serif"/>
                  <w:b w:val="false"/>
                  <w:color w:val="0000FF"/>
                  <w:sz w:val="20"/>
                  <w:u w:val="single"/>
                </w:rPr>
                <w:t>Equity Compensation Plan Information</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61">
              <w:r>
                <w:rPr>
                  <w:rStyle w:val="InternetLink"/>
                  <w:rFonts w:ascii="Expensify Neue;sans-serif" w:hAnsi="Expensify Neue;sans-serif"/>
                  <w:b w:val="false"/>
                  <w:color w:val="0000FF"/>
                  <w:sz w:val="20"/>
                  <w:u w:val="single"/>
                </w:rPr>
                <w:t>37</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64">
              <w:r>
                <w:rPr>
                  <w:rStyle w:val="InternetLink"/>
                  <w:rFonts w:ascii="Expensify Neue;sans-serif" w:hAnsi="Expensify Neue;sans-serif"/>
                  <w:b w:val="false"/>
                  <w:color w:val="0000FF"/>
                  <w:sz w:val="20"/>
                  <w:u w:val="single"/>
                </w:rPr>
                <w:t>Stock Ownership of Certain Beneficial Owners and Management</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64">
              <w:r>
                <w:rPr>
                  <w:rStyle w:val="InternetLink"/>
                  <w:rFonts w:ascii="Expensify Neue;sans-serif" w:hAnsi="Expensify Neue;sans-serif"/>
                  <w:b w:val="false"/>
                  <w:color w:val="0000FF"/>
                  <w:sz w:val="20"/>
                  <w:u w:val="single"/>
                </w:rPr>
                <w:t>38</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67">
              <w:r>
                <w:rPr>
                  <w:rStyle w:val="InternetLink"/>
                  <w:rFonts w:ascii="Expensify Neue;sans-serif" w:hAnsi="Expensify Neue;sans-serif"/>
                  <w:b w:val="false"/>
                  <w:color w:val="0000FF"/>
                  <w:sz w:val="20"/>
                  <w:u w:val="single"/>
                </w:rPr>
                <w:t>Certain Relationships and Related Party Transactions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67">
              <w:r>
                <w:rPr>
                  <w:rStyle w:val="InternetLink"/>
                  <w:rFonts w:ascii="Expensify Neue;sans-serif" w:hAnsi="Expensify Neue;sans-serif"/>
                  <w:b w:val="false"/>
                  <w:color w:val="0000FF"/>
                  <w:sz w:val="20"/>
                  <w:u w:val="single"/>
                </w:rPr>
                <w:t>41</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70">
              <w:r>
                <w:rPr>
                  <w:rStyle w:val="InternetLink"/>
                  <w:rFonts w:ascii="Expensify Neue;sans-serif" w:hAnsi="Expensify Neue;sans-serif"/>
                  <w:b w:val="false"/>
                  <w:color w:val="0000FF"/>
                  <w:sz w:val="20"/>
                  <w:u w:val="single"/>
                </w:rPr>
                <w:t>Stockholder Proposals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70">
              <w:r>
                <w:rPr>
                  <w:rStyle w:val="InternetLink"/>
                  <w:rFonts w:ascii="Expensify Neue;sans-serif" w:hAnsi="Expensify Neue;sans-serif"/>
                  <w:b w:val="false"/>
                  <w:color w:val="0000FF"/>
                  <w:sz w:val="20"/>
                  <w:u w:val="single"/>
                </w:rPr>
                <w:t>44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73">
              <w:r>
                <w:rPr>
                  <w:rStyle w:val="InternetLink"/>
                  <w:rFonts w:ascii="Expensify Neue;sans-serif" w:hAnsi="Expensify Neue;sans-serif"/>
                  <w:b w:val="false"/>
                  <w:color w:val="0000FF"/>
                  <w:sz w:val="20"/>
                  <w:u w:val="single"/>
                </w:rPr>
                <w:t>Delinquent Section 16(a) Reports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73">
              <w:r>
                <w:rPr>
                  <w:rStyle w:val="InternetLink"/>
                  <w:rFonts w:ascii="Expensify Neue;sans-serif" w:hAnsi="Expensify Neue;sans-serif"/>
                  <w:b w:val="false"/>
                  <w:color w:val="0000FF"/>
                  <w:sz w:val="20"/>
                  <w:u w:val="single"/>
                </w:rPr>
                <w:t>44</w:t>
              </w:r>
            </w:hyperlink>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c8840fa59d470a9bd1174bc29b0077_76">
              <w:r>
                <w:rPr>
                  <w:rStyle w:val="InternetLink"/>
                  <w:rFonts w:ascii="Expensify Neue;sans-serif" w:hAnsi="Expensify Neue;sans-serif"/>
                  <w:b w:val="false"/>
                  <w:color w:val="0000FF"/>
                  <w:sz w:val="20"/>
                  <w:u w:val="single"/>
                </w:rPr>
                <w:t>Other Matters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c8840fa59d470a9bd1174bc29b0077_76">
              <w:r>
                <w:rPr>
                  <w:rStyle w:val="InternetLink"/>
                  <w:rFonts w:ascii="Expensify Neue;sans-serif" w:hAnsi="Expensify Neue;sans-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 xml:space="preserve">Proxy Statement </w:t>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For the 2024 Annual Meeting of Stockholders</w:t>
      </w:r>
    </w:p>
    <w:p>
      <w:pPr>
        <w:pStyle w:val="TextBody"/>
        <w:bidi w:val="0"/>
        <w:spacing w:lineRule="auto" w:line="288" w:before="0" w:after="160"/>
        <w:jc w:val="left"/>
        <w:rPr>
          <w:rFonts w:ascii="Expensify New Kansas Medium;sans-serif" w:hAnsi="Expensify New Kansas Medium;sans-serif"/>
          <w:b w:val="false"/>
          <w:color w:val="000000"/>
          <w:sz w:val="32"/>
        </w:rPr>
      </w:pPr>
      <w:r>
        <w:rPr>
          <w:rFonts w:ascii="Expensify New Kansas Medium;sans-serif" w:hAnsi="Expensify New Kansas Medium;sans-serif"/>
          <w:b w:val="false"/>
          <w:color w:val="000000"/>
          <w:sz w:val="32"/>
        </w:rPr>
        <w:t>General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Proxy Statement is furnished in connection with the solicitation of proxies by the Board of Directors (the “Board of Directors” or the “Board”) of Expensify, Inc., a Delaware corporation, for use at the 2024 Annual Meeting of Stockholders (the “Annual Meeting”). The Annual Meeting will take place virtually at www.virtualshareholdermeeting.com/EXFY2024 on Friday, June 14, 2024 at 10:00 a.m. (Pacific Time). You will not be able to attend in person. This Proxy Statement, form of proxy and other related materials are first being mailed to stockholders on or about April 26, 2024. References in this Proxy Statement to “we,” “us,” “our” or the “Company” refer to Expensify, Inc. and its consolidated subsidiaries. When we refer to the Company’s fiscal year, we mean the annual period ended on December 31. This Proxy Statement covers our 2023 fiscal year, which was from January 1, 2023 through December 31, 2023 (“fiscal 2023”). Certain information contained in this Proxy Statement is incorporated by reference into Part III of our Annual Report on Form 10-K for the fiscal year ended December 31, 2023, as filed by the Company with the U.S. Securities and Exchange Commission (the “SEC”) on February 26, 2024 (the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References to the “IPO” refer to the initial public offering of our Class A common stock in November 2021. We use the term “LT Holders” herein to refer to our current and former employees and service providers who hold shares of our LT10 common stock and/or our LT50 common stock through a voting trust (the “Voting Trust”) governed by a trust agreement, dated November 9, 2021, by and among the Company, each LT Holder and the trustees named therein (the “Voting Trust Agreement”). All outstanding shares of our LT10 common stock and LT50 common stock are held directly by the Voting Trust.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Below are answers to common questions stockholders may have about the Proxy Materials and the Annual Meeting.</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are the Proxy Materials?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“Proxy Materials” are a reference to the Proxy Statement and our Annual Report. If you request printed versions of the Proxy Materials, and you are entitled to vote at the Annual Meeting, you will also receive a proxy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Why did I receive a Notice of Internet Availability of Proxy Materials instead of a full set of materials?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rules adopted by the SEC, we are electing to furnish the Proxy Materials to our stockholders by providing access to the Proxy Materials on the internet, rather than mailing printed copies. If you received a Notice of Internet Availability of Proxy Materials (the “Notice”) by mail, you will not receive printed copies of the Proxy Materials unless you request them. Instead, the Notice will instruct you how to access and review the Proxy Materials on the internet. If you would like printed copies of the Proxy Materials, please follow the instructions in the Notice.</w:t>
      </w:r>
    </w:p>
    <w:p>
      <w:pPr>
        <w:pStyle w:val="TextBody"/>
        <w:bidi w:val="0"/>
        <w:spacing w:lineRule="auto" w:line="288" w:before="0" w:after="160"/>
        <w:jc w:val="left"/>
        <w:rPr/>
      </w:pPr>
      <w:r>
        <w:rPr>
          <w:rFonts w:ascii="Expensify Neue;sans-serif" w:hAnsi="Expensify Neue;sans-serif"/>
          <w:b/>
          <w:i/>
          <w:color w:val="000000"/>
          <w:sz w:val="20"/>
        </w:rPr>
        <w:t>Why</w:t>
      </w:r>
      <w:r>
        <w:rPr>
          <w:color w:val="000000"/>
        </w:rPr>
        <w:t xml:space="preserve"> </w:t>
      </w:r>
      <w:r>
        <w:rPr>
          <w:rFonts w:ascii="Expensify Neue;sans-serif" w:hAnsi="Expensify Neue;sans-serif"/>
          <w:b/>
          <w:i/>
          <w:color w:val="000000"/>
          <w:sz w:val="20"/>
        </w:rPr>
        <w:t>are you holding a virtual Annual Meeting?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holding our Annual Meeting via live webcast is an environmentally friendly way to provide expanded access, improved communication and cost savings for us and our stockholders. The virtual meeting provides the same rights to participate as an in-person meeting. Stockholders will not be permitted to physically attend the Annual Meeting.</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Who can participate in the Annual Meeting?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Persons with evidence of stock ownership as of the Record Date (as defined below), including both stockholders of record and stockholders whose shares are held in street name (as described below), can participate in the Annual Meeting by visiting www.virtualshareholdermeeting.com/EXFY2024. You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8"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need the 16-digit control number included on your Notice, on your proxy card or on the instructions that accompany your Proxy Materials. If you do not have a control number, please contact your brokerage firm, bank, broker-dealer or other nominee as soon as possible so that you can be provided with one. You may also submit pertinent questions in advance of the Annual Meeting by visiting www.proxyvote.com and entering your control number. Questions pertinent to meeting matters will be answered during the Annual Meeting, subject to time limitations. We will endeavor to answer as many questions submitted by stockholders as time permits. We reserve the right to edit profanity or other inappropriate language and to exclude questions regarding topics that are not pertinent to meeting matters or company business. If we receive substantially similar questions, we may group questions together and provide a single response to avoid repetition. Additional information regarding stockholder questions and participation, rules governing the conduct of the Annual Meeting, procedures and technical support can be viewed 15 minutes prior to the meeting at www.virtualshareholdermeeting.com/EXFY2024. If you encounter any difficulties while accessing the virtual meeting during the check-in or meeting time, you should call the technical assistance phone number that will be posted on the virtual stockholder meeting log in page, which will be made available 15 minutes prior to the start time of the meeting. We encourage you to access the meeting prior to the meeting start time.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Who may vote at the meeting?</w:t>
      </w:r>
    </w:p>
    <w:p>
      <w:pPr>
        <w:pStyle w:val="TextBody"/>
        <w:bidi w:val="0"/>
        <w:spacing w:lineRule="auto" w:line="288" w:before="0" w:after="160"/>
        <w:jc w:val="left"/>
        <w:rPr/>
      </w:pPr>
      <w:r>
        <w:rPr>
          <w:rFonts w:ascii="Expensify Neue;sans-serif" w:hAnsi="Expensify Neue;sans-serif"/>
          <w:b w:val="false"/>
          <w:color w:val="000000"/>
          <w:sz w:val="20"/>
        </w:rPr>
        <w:t xml:space="preserve">Holders of our Class A common stock, LT10 common stock and LT50 common stock as of the close of business on April 22, 2024 (the “Record Date”) may attend and vote at the Annual Meeting. Pursuant to the Voting Trust Agreement, each LT Holder has agreed that the trustees of the Voting Trust (the “Trustees”), currently David Barrett, Garrett Knight and Jason Mills, have full authority to vote his or her shares on all matters in the Trustees’ sole and absolute discretion. </w:t>
      </w:r>
      <w:r>
        <w:rPr>
          <w:rFonts w:ascii="Expensify Neue;sans-serif" w:hAnsi="Expensify Neue;sans-serif"/>
          <w:b/>
          <w:color w:val="000000"/>
          <w:sz w:val="20"/>
          <w:u w:val="single"/>
        </w:rPr>
        <w:t>Because all outstanding shares of LT10 common stock and LT50 common stock are held by the Voting Trust and voted by the Trustees of the Voting Trust, individual LT Holders will not receive proxy cards and are not eligible to cast votes at the Annual Meeting.</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How many votes do I have?</w:t>
      </w:r>
    </w:p>
    <w:p>
      <w:pPr>
        <w:pStyle w:val="TextBody"/>
        <w:bidi w:val="0"/>
        <w:spacing w:lineRule="auto" w:line="288" w:before="0" w:after="160"/>
        <w:jc w:val="left"/>
        <w:rPr/>
      </w:pPr>
      <w:r>
        <w:rPr>
          <w:rFonts w:ascii="Expensify Neue;sans-serif" w:hAnsi="Expensify Neue;sans-serif"/>
          <w:b w:val="false"/>
          <w:color w:val="000000"/>
          <w:sz w:val="20"/>
        </w:rPr>
        <w:t xml:space="preserve">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Pursuant to the Voting Trust Agreement, each LT Holder has agreed that the Trustees of the Voting Trust have full authority to vote his or her shares on all matters in the Trustees’ sole and absolute discretion at the Annual Meeting. </w:t>
      </w:r>
      <w:r>
        <w:rPr>
          <w:rFonts w:ascii="Expensify Neue;sans-serif" w:hAnsi="Expensify Neue;sans-serif"/>
          <w:b/>
          <w:color w:val="000000"/>
          <w:sz w:val="20"/>
          <w:u w:val="single"/>
        </w:rPr>
        <w:t>Because all outstanding shares of LT10 common stock and LT50 common stock are held by the Voting Trust and voted by the Trustees, individual LT Holders will not receive proxy cards and are not eligible to cast votes at the Annual Meeting.</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items will be voted on at the Annual Meeting and how does the Board of Directors recommend that I vote?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are three proposals to be voted on at the Annual Meeting:</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1.to elect eight directors to our Board of Directors;</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2.to ratify the appointment of Ernst &amp; Young LLP (“EY”) as our independent registered public accounting firm for the fiscal year ending December 31, 2024; and</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3.to approve, on an advisory basis, the compensation of our named executive officers.</w:t>
      </w:r>
    </w:p>
    <w:p>
      <w:pPr>
        <w:pStyle w:val="TextBody"/>
        <w:bidi w:val="0"/>
        <w:spacing w:lineRule="auto" w:line="288" w:before="0" w:after="160"/>
        <w:jc w:val="left"/>
        <w:rPr/>
      </w:pPr>
      <w:r>
        <w:rPr>
          <w:rFonts w:ascii="Expensify Neue;sans-serif" w:hAnsi="Expensify Neue;sans-serif"/>
          <w:b w:val="false"/>
          <w:color w:val="000000"/>
          <w:sz w:val="20"/>
        </w:rPr>
        <w:t>Our Executive Committee of the Board of Directors (the “Executive Committee”) on behalf of our Board of Directors recommends a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each nominee as a director for Proposal 1,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Proposal 2 and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 xml:space="preserve">Proposal 3. Our amended and restated bylaws require that we receive advance notice of any proposals to be brought before the Annual Meeting by our stockholders. We have not received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9"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proposals. We do not anticipate any other matters will come before the Annual Meeting. If any other matter properly comes before the Annual Meeting, the proxy holders appointed by our Executive Committee on behalf of our Board of Directors will have discretion to vote the shares subject to such proxies on those matters.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vote is required for each proposal?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Proposal 1, each director must be elected by a plurality of the votes cast. This means that the eight nominees receiving the largest number of “for” votes will be elected as directors. We do not have cumulative voting.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Proposal 2, the ratification of the appointment of our independent registered public accounting firm for the fiscal year ending December 31, 2024 will be determined by the affirmative vote of the holders of a majority in voting power of the votes cast (excluding abstentions and broker and non-votes).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Proposal 3, the advisory vote to approve the compensation of our named executive officers, will be determined by the affirmative vote of the holders of a majority in voting power of the votes cast (excluding abstentions and broker and non-votes).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How will Expensify’s multi-class ownership structure and Voting Trust impact the outcome of the Annual Meeting?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At the close of business on the Record Date, we had outstanding and entitled to vote 71,756,320 shares of Class A common stock, 7,333,335 shares of LT10 common stock and 7,292,587 shares of LT50 common stock. All outstanding shares of our LT10 common stock and LT50 common stock are held directly by the Voting Trust, and pursuant to the Voting Trust Agreement, each LT Holder has agreed that the Trustees of the Voting Trust have full authority to vote his or her shares on all matters at the Annual Meeting in the Trustees’ sole and absolute discretion. As a result, the Trustees of the Voting Trust will be entitled to an aggregate of 437,962,700 votes on all matters to be voted upon at the Annual Meeting, representing approximately 85.9% of the total voting power of our outstanding common stock. </w:t>
      </w:r>
    </w:p>
    <w:p>
      <w:pPr>
        <w:pStyle w:val="TextBody"/>
        <w:bidi w:val="0"/>
        <w:spacing w:lineRule="auto" w:line="288" w:before="0" w:after="160"/>
        <w:jc w:val="left"/>
        <w:rPr/>
      </w:pPr>
      <w:r>
        <w:rPr>
          <w:rFonts w:ascii="Expensify Neue;sans-serif" w:hAnsi="Expensify Neue;sans-serif"/>
          <w:b w:val="false"/>
          <w:color w:val="000000"/>
          <w:sz w:val="20"/>
        </w:rPr>
        <w:t>We expect the Voting Trust to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each of the nominees for director. As of the Record Date, the Voting Trust held sufficient shares of our common stock to ensure the election of such nominees at the Annual Meeting. We also expect the Voting Trust to vote “</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 xml:space="preserve">the ratification of our independent registered public accounting firm for the fiscal year ending December 31, 2024 and </w:t>
      </w:r>
      <w:r>
        <w:rPr>
          <w:color w:val="000000"/>
        </w:rPr>
        <w:t>”</w:t>
      </w:r>
      <w:r>
        <w:rPr>
          <w:rFonts w:ascii="Expensify Neue;sans-serif" w:hAnsi="Expensify Neue;sans-serif"/>
          <w:b/>
          <w:color w:val="000000"/>
          <w:sz w:val="20"/>
        </w:rPr>
        <w:t>FOR”</w:t>
      </w:r>
      <w:r>
        <w:rPr>
          <w:color w:val="000000"/>
        </w:rPr>
        <w:t xml:space="preserve"> </w:t>
      </w:r>
      <w:r>
        <w:rPr>
          <w:rFonts w:ascii="Expensify Neue;sans-serif" w:hAnsi="Expensify Neue;sans-serif"/>
          <w:b w:val="false"/>
          <w:color w:val="000000"/>
          <w:sz w:val="20"/>
        </w:rPr>
        <w:t>the compensation of our named executive officers.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is an abstention and how will votes withheld and abstentions be treated?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“vote withheld,” in the case of the proposal regarding the election of directors, or an “abstention,” in the case of the two other proposals to be voted on at the Annual Meeting, represents a stockholder’s affirmative choice to decline to vote on a proposal. Votes withheld and abstentions are counted as present and entitled to vote for purposes of determining a quorum. Votes withheld have no effect on the election of directors and abstentions are not counted as votes cast and as such will have no effect on the ratification of the appointment of EY or the advisory vote to approve the compensation of our named executive officers.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are broker non-votes?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0"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broker is entitled to vote shares held for a beneficial owner on routine matters, such as the ratification of the appointment of EY as our independent registered public accounting firm, without instructions from the beneficial owner of those shares, and therefore we do not expect any broker non-votes on this proposal. On the other hand, absent instructions from the beneficial owner of such shares, a broker is not entitled to vote shares held for a beneficial owner on non-routine matters, such as the election of directors and the advisory vote to approve the compensation of our named executive officers, and as such, broker non-votes will have no effect on those proposals. Broker non-votes count for purposes of determining whether a quorum is present.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is the difference between a stockholder of record and a beneficial owner of shares held in street name?</w:t>
      </w:r>
    </w:p>
    <w:p>
      <w:pPr>
        <w:pStyle w:val="TextBody"/>
        <w:bidi w:val="0"/>
        <w:spacing w:lineRule="auto" w:line="288" w:before="0" w:after="160"/>
        <w:jc w:val="left"/>
        <w:rPr/>
      </w:pPr>
      <w:r>
        <w:rPr>
          <w:rFonts w:ascii="Expensify Neue;sans-serif" w:hAnsi="Expensify Neue;sans-serif"/>
          <w:b w:val="false"/>
          <w:i/>
          <w:color w:val="000000"/>
          <w:sz w:val="20"/>
        </w:rPr>
        <w:t xml:space="preserve">Stockholder of Record. </w:t>
      </w:r>
      <w:r>
        <w:rPr>
          <w:rFonts w:ascii="Expensify Neue;sans-serif" w:hAnsi="Expensify Neue;sans-serif"/>
          <w:b w:val="false"/>
          <w:color w:val="000000"/>
          <w:sz w:val="20"/>
        </w:rPr>
        <w:t>If your shares are registered directly in your name with our transfer agent, Computershare Trust Company, N.A., you are a stockholder of record. Each LT Holder is not a stockholder of record by virtue of shares he or she beneficially holds through the Voting Trust.</w:t>
      </w:r>
    </w:p>
    <w:p>
      <w:pPr>
        <w:pStyle w:val="TextBody"/>
        <w:bidi w:val="0"/>
        <w:spacing w:lineRule="auto" w:line="288" w:before="0" w:after="160"/>
        <w:jc w:val="left"/>
        <w:rPr/>
      </w:pPr>
      <w:r>
        <w:rPr>
          <w:rFonts w:ascii="Expensify Neue;sans-serif" w:hAnsi="Expensify Neue;sans-serif"/>
          <w:b w:val="false"/>
          <w:i/>
          <w:color w:val="000000"/>
          <w:sz w:val="20"/>
        </w:rPr>
        <w:t xml:space="preserve">Beneficial Owner of Shares Held in Street Name. </w:t>
      </w:r>
      <w:r>
        <w:rPr>
          <w:rFonts w:ascii="Expensify Neue;sans-serif" w:hAnsi="Expensify Neue;sans-serif"/>
          <w:b w:val="false"/>
          <w:color w:val="000000"/>
          <w:sz w:val="20"/>
        </w:rPr>
        <w:t>If your shares are held in an account at a brokerage firm, bank, broker-dealer or other nominee, then you are a beneficial owner of shares held in “street name.” The organization holding your account is considered the stockholder of record for purposes of voting at the Annual Meeting. As a beneficial owner, you have the right to direct the organization holding your account on how to vote the shares you hold in your account.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How do stockholders of record vote?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are four ways for stockholders of record to vote:</w:t>
      </w:r>
    </w:p>
    <w:p>
      <w:pPr>
        <w:pStyle w:val="TextBody"/>
        <w:bidi w:val="0"/>
        <w:spacing w:lineRule="auto" w:line="288" w:before="0" w:after="160"/>
        <w:ind w:left="0" w:right="0" w:hanging="360"/>
        <w:jc w:val="left"/>
        <w:rPr/>
      </w:pPr>
      <w:r>
        <w:rPr>
          <w:rFonts w:ascii="Expensify Neue;sans-serif" w:hAnsi="Expensify Neue;sans-serif"/>
          <w:b w:val="false"/>
          <w:color w:val="000000"/>
          <w:sz w:val="20"/>
        </w:rPr>
        <w:t>a.</w:t>
      </w:r>
      <w:r>
        <w:rPr>
          <w:rFonts w:ascii="Expensify Neue;sans-serif" w:hAnsi="Expensify Neue;sans-serif"/>
          <w:b/>
          <w:color w:val="000000"/>
          <w:sz w:val="20"/>
        </w:rPr>
        <w:t>In Advance</w:t>
      </w:r>
    </w:p>
    <w:p>
      <w:pPr>
        <w:pStyle w:val="TextBody"/>
        <w:bidi w:val="0"/>
        <w:spacing w:lineRule="auto" w:line="288" w:before="0" w:after="160"/>
        <w:ind w:left="0" w:right="0" w:hanging="449"/>
        <w:jc w:val="left"/>
        <w:rPr/>
      </w:pPr>
      <w:r>
        <w:rPr>
          <w:rFonts w:ascii="Expensify Neue;sans-serif" w:hAnsi="Expensify Neue;sans-serif"/>
          <w:b w:val="false"/>
          <w:color w:val="000000"/>
          <w:sz w:val="20"/>
        </w:rPr>
        <w:t>i.</w:t>
      </w:r>
      <w:r>
        <w:rPr>
          <w:rFonts w:ascii="Expensify Neue;sans-serif" w:hAnsi="Expensify Neue;sans-serif"/>
          <w:b/>
          <w:color w:val="000000"/>
          <w:sz w:val="20"/>
        </w:rPr>
        <w:t>Via the internet:</w:t>
      </w:r>
      <w:r>
        <w:rPr>
          <w:color w:val="000000"/>
        </w:rPr>
        <w:t xml:space="preserve"> </w:t>
      </w:r>
      <w:r>
        <w:rPr>
          <w:rFonts w:ascii="Expensify Neue;sans-serif" w:hAnsi="Expensify Neue;sans-serif"/>
          <w:b w:val="false"/>
          <w:color w:val="000000"/>
          <w:sz w:val="20"/>
        </w:rPr>
        <w:t>You may vote via the internet until 11:59 p.m. (Eastern Time) on the day before the Annual Meeting by visiting www.proxyvote.com and entering the unique control number for your shares located on your Notice or proxy card. If you submit a proxy over the internet, you do not need to return a written proxy card or voting instructions by mail.</w:t>
      </w:r>
    </w:p>
    <w:p>
      <w:pPr>
        <w:pStyle w:val="TextBody"/>
        <w:bidi w:val="0"/>
        <w:spacing w:lineRule="auto" w:line="288" w:before="0" w:after="160"/>
        <w:ind w:left="0" w:right="0" w:hanging="498"/>
        <w:jc w:val="left"/>
        <w:rPr/>
      </w:pPr>
      <w:r>
        <w:rPr>
          <w:rFonts w:ascii="Expensify Neue;sans-serif" w:hAnsi="Expensify Neue;sans-serif"/>
          <w:b w:val="false"/>
          <w:color w:val="000000"/>
          <w:sz w:val="20"/>
        </w:rPr>
        <w:t>ii.</w:t>
      </w:r>
      <w:r>
        <w:rPr>
          <w:rFonts w:ascii="Expensify Neue;sans-serif" w:hAnsi="Expensify Neue;sans-serif"/>
          <w:b/>
          <w:color w:val="000000"/>
          <w:sz w:val="20"/>
        </w:rPr>
        <w:t>By telephone</w:t>
      </w:r>
      <w:r>
        <w:rPr>
          <w:rFonts w:ascii="Expensify Neue;sans-serif" w:hAnsi="Expensify Neue;sans-serif"/>
          <w:b w:val="false"/>
          <w:color w:val="000000"/>
          <w:sz w:val="20"/>
        </w:rPr>
        <w:t>: You may vote by phone until 11:59 p.m. (Eastern Time) on the day before the Annual Meeting by calling (800) 690-6903. You will need the control number from your Notice or proxy card. If you submit a proxy by telephone, you do not need to return a written proxy card or voting instructions by mail.</w:t>
      </w:r>
    </w:p>
    <w:p>
      <w:pPr>
        <w:pStyle w:val="TextBody"/>
        <w:bidi w:val="0"/>
        <w:spacing w:lineRule="auto" w:line="288" w:before="0" w:after="160"/>
        <w:ind w:left="0" w:right="0" w:hanging="547"/>
        <w:jc w:val="left"/>
        <w:rPr/>
      </w:pPr>
      <w:r>
        <w:rPr>
          <w:rFonts w:ascii="Expensify Neue;sans-serif" w:hAnsi="Expensify Neue;sans-serif"/>
          <w:b w:val="false"/>
          <w:color w:val="000000"/>
          <w:sz w:val="20"/>
        </w:rPr>
        <w:t>iii.</w:t>
      </w:r>
      <w:r>
        <w:rPr>
          <w:rFonts w:ascii="Expensify Neue;sans-serif" w:hAnsi="Expensify Neue;sans-serif"/>
          <w:b/>
          <w:color w:val="000000"/>
          <w:sz w:val="20"/>
        </w:rPr>
        <w:t>By mail:</w:t>
      </w:r>
      <w:r>
        <w:rPr>
          <w:color w:val="000000"/>
        </w:rPr>
        <w:t xml:space="preserve"> </w:t>
      </w:r>
      <w:r>
        <w:rPr>
          <w:rFonts w:ascii="Expensify Neue;sans-serif" w:hAnsi="Expensify Neue;sans-serif"/>
          <w:b w:val="false"/>
          <w:color w:val="000000"/>
          <w:sz w:val="20"/>
        </w:rPr>
        <w:t>If you requested that the Proxy Materials be mailed to you, you will receive a proxy card with your Proxy Materials. You may vote by filling out and signing the proxy card and returning it in the envelope provided. The proxy card must be received by 8:00 p.m. (Eastern Time) on the day before the Annual Meeting.</w:t>
      </w:r>
    </w:p>
    <w:p>
      <w:pPr>
        <w:pStyle w:val="TextBody"/>
        <w:bidi w:val="0"/>
        <w:spacing w:lineRule="auto" w:line="288" w:before="0" w:after="160"/>
        <w:ind w:left="0" w:right="0" w:hanging="360"/>
        <w:jc w:val="left"/>
        <w:rPr/>
      </w:pPr>
      <w:r>
        <w:rPr>
          <w:rFonts w:ascii="Expensify Neue;sans-serif" w:hAnsi="Expensify Neue;sans-serif"/>
          <w:b w:val="false"/>
          <w:color w:val="000000"/>
          <w:sz w:val="20"/>
        </w:rPr>
        <w:t>b.</w:t>
      </w:r>
      <w:r>
        <w:rPr>
          <w:rFonts w:ascii="Expensify Neue;sans-serif" w:hAnsi="Expensify Neue;sans-serif"/>
          <w:b/>
          <w:color w:val="000000"/>
          <w:sz w:val="20"/>
        </w:rPr>
        <w:t xml:space="preserve">During the Meeting: </w:t>
      </w:r>
      <w:r>
        <w:rPr>
          <w:rFonts w:ascii="Expensify Neue;sans-serif" w:hAnsi="Expensify Neue;sans-serif"/>
          <w:b w:val="false"/>
          <w:color w:val="000000"/>
          <w:sz w:val="20"/>
        </w:rPr>
        <w:t>You may also vote your shares during the live webcast of the Annual Meeting by visiting www.virtualshareholdermeeting.com/EXFY2024 and entering the company number and control number from your Notice or proxy card. Any previous votes that you submitted by mail, telephone or internet will be superseded.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How do beneficial owners of shares held in street name vote?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you hold your shares through a brokerage firm, bank, broker-dealer or other similar organization, please follow their instructions. You may also elect to participate in the Annual Meeting via live webcast, through which you may vote online during the Annual Meeting prior to the closing of the polls, and any previous votes that you submitted will be superseded.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Can I change my vote after submitting a proxy?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1"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pPr>
      <w:r>
        <w:rPr>
          <w:rFonts w:ascii="Expensify Neue;sans-serif" w:hAnsi="Expensify Neue;sans-serif"/>
          <w:b w:val="false"/>
          <w:color w:val="000000"/>
          <w:sz w:val="20"/>
        </w:rPr>
        <w:t>Stockholders of record may revoke their proxy before the Annual Meeting (1) by delivering to the Company’s Corporate Secretary at 401 SW 5</w:t>
      </w:r>
      <w:r>
        <w:rPr>
          <w:rFonts w:ascii="Expensify Neue;sans-serif" w:hAnsi="Expensify Neue;sans-serif"/>
          <w:b w:val="false"/>
          <w:color w:val="000000"/>
          <w:sz w:val="13"/>
        </w:rPr>
        <w:t>th</w:t>
      </w:r>
      <w:r>
        <w:rPr>
          <w:color w:val="000000"/>
        </w:rPr>
        <w:t xml:space="preserve"> </w:t>
      </w:r>
      <w:r>
        <w:rPr>
          <w:rFonts w:ascii="Expensify Neue;sans-serif" w:hAnsi="Expensify Neue;sans-serif"/>
          <w:b w:val="false"/>
          <w:color w:val="000000"/>
          <w:sz w:val="20"/>
        </w:rPr>
        <w:t>Ave, Portland, OR 97204 a written notice stating that a proxy is revoked, (2) by signing and delivering a proxy bearing a later date, (3) by voting again via the internet or by telephone or (4) by attending and voting during the Annual Meeting.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Beneficial owners of shares held in street name who wish to change their votes should contact the organization that holds their shares.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I hold shares in street name through a broker, can the broker vote my shares for me?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you hold your shares in street name and you do not vote, the broker or other organization holding your shares can vote on certain “routine” proposals but cannot vote on other proposals. Proposals 1 and 3 are not considered “routine” proposals. Proposal 2 is considered a “routine” proposal. If you hold shares in street name and do not vote on Proposals 1 or 3, your shares will be counted as “broker non-votes.” Because Proposal 2 is considered “routine,” brokerage firms, banks, broker-dealers and other nominees have discretionary authority to vote without receiving instructions.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What constitutes a quorum?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Presence at the Annual Meeting, virtually or by proxy, of the holders of a majority in voting power of the stock issued and outstanding and entitled to vote at the Annual Meeting will constitute a quorum, permitting the Annual Meeting to proceed and business to be conducted. Proxies received but with items marked as abstentions or containing broker non-votes will be included in the calculation of the number of votes considered to be present at the meeting for purposes of determining whether a quorum is present.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Who is paying for this proxy solicitation?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paying the costs of the solicitation of proxies. Members of our Board and officers and employees may solicit proxies by mail, telephone, fax, email or in person. We will not pay directors, officers or employees any extra amounts for soliciting proxies. We may, upon request, reimburse brokerage firms, banks, broker-dealers or other nominees representing street name holders for their expenses in forwarding Proxy Materials to their customers who are street name holders and obtaining their voting instructions.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Who will count the votes?</w:t>
      </w:r>
    </w:p>
    <w:p>
      <w:pPr>
        <w:pStyle w:val="TextBody"/>
        <w:bidi w:val="0"/>
        <w:spacing w:lineRule="auto" w:line="288" w:before="0" w:after="160"/>
        <w:jc w:val="left"/>
        <w:rPr/>
      </w:pPr>
      <w:r>
        <w:rPr>
          <w:rFonts w:ascii="Expensify Neue;sans-serif" w:hAnsi="Expensify Neue;sans-serif"/>
          <w:b w:val="false"/>
          <w:color w:val="000000"/>
          <w:sz w:val="20"/>
        </w:rPr>
        <w:t>Representatives of Broadridge Investor Communications Services (“Broadridge”) will tabulate the votes, and a representative of Broadridge will act as inspector of elections.</w:t>
      </w:r>
      <w:r>
        <w:rPr>
          <w:color w:val="000000"/>
        </w:rPr>
        <w:t xml:space="preserve">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Where can I find voting results?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will file a Current Report on Form 8-K with the SEC including the final voting results from the Annual Meeting within four business days of the Annual Meeting.</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 share an address with another stockholder. Why did we receive only one set of Proxy Materials?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Some brokerage firms, banks, broker-dealers and other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brokerage firm, bank, broker-dealer or other nominee that holds your shares. If your shares are registered in your own name and you want to receive separate copies of the Proxy Materials in the future, or if you are receiving multiple copies and would like to receive only one copy for your household, please contact our transfer agent by writing to them at Computershare Trust Company, N.A., P.O. Box 505000, Louisville, KY 40233-5000, or by calling 1-(800)-736-3001.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2"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pPr>
      <w:r>
        <w:rPr>
          <w:rFonts w:ascii="Expensify Neue;sans-serif" w:hAnsi="Expensify Neue;sans-serif"/>
          <w:b w:val="false"/>
          <w:color w:val="000000"/>
          <w:sz w:val="20"/>
        </w:rPr>
        <w:t>Upon written request, we will promptly deliver a separate copy of the Proxy Materials to any stockholder at a shared address to which a single copy of any of those documents was delivered. To receive a separate copy of the Proxy Materials, you can contact Expensify Investor Relations at investors@expensify.com or by mail at EXFY Investor Relations, 401 SW 5</w:t>
      </w:r>
      <w:r>
        <w:rPr>
          <w:rFonts w:ascii="Expensify Neue;sans-serif" w:hAnsi="Expensify Neue;sans-serif"/>
          <w:b w:val="false"/>
          <w:color w:val="000000"/>
          <w:sz w:val="13"/>
        </w:rPr>
        <w:t>th</w:t>
      </w:r>
      <w:r>
        <w:rPr>
          <w:color w:val="000000"/>
        </w:rPr>
        <w:t xml:space="preserve"> </w:t>
      </w:r>
      <w:r>
        <w:rPr>
          <w:rFonts w:ascii="Expensify Neue;sans-serif" w:hAnsi="Expensify Neue;sans-serif"/>
          <w:b w:val="false"/>
          <w:color w:val="000000"/>
          <w:sz w:val="20"/>
        </w:rPr>
        <w:t>Ave, Portland, OR 97204.</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Who should I contact if I have additional questions?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You can contact Expensify Investor Relations at investors@expensify.com if you have additional questions related to the Annual Meeting. Stockholders who hold their shares in street name should contact the organization that holds their shares for additional information related to the Annual Meeting on how to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3"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Proposal 1: Election of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amended and restated bylaws provide that our Board of Directors shall consist of such number of directors as shall from time to time be fixed by resolution of our Board of Directors. Currently, our Board of Directors is composed of eight members, three of whom have been determined by the Executive Committee on behalf of the Board of Directors to be independent directors as defined under the rules of The Nasdaq Stock Market LLC (“Nasdaq”). We do not have a classified board of directors. At each annual meeting of our stockholders, each of our directors will be elected by our stockholders to serve until the next annual meeting of our stockholders and until his or her successor is duly elected and qualified. </w:t>
      </w:r>
    </w:p>
    <w:p>
      <w:pPr>
        <w:pStyle w:val="TextBody"/>
        <w:bidi w:val="0"/>
        <w:spacing w:lineRule="auto" w:line="288" w:before="0" w:after="160"/>
        <w:jc w:val="left"/>
        <w:rPr/>
      </w:pPr>
      <w:r>
        <w:rPr>
          <w:rFonts w:ascii="Expensify Neue;sans-serif" w:hAnsi="Expensify Neue;sans-serif"/>
          <w:b w:val="false"/>
          <w:color w:val="000000"/>
          <w:sz w:val="20"/>
        </w:rPr>
        <w:t>At the Annual Meeting, the stockholders will vote on the election of the eight director nominees named in this Proxy Statement. Each of the directors elected at the Annual Meeting will hold office until the 2025 Annual Meeting of Stockholders (the “2025 Annual Meeting”) and until his or her successor has been duly elected and qualified. The Board of Directors has nominated Mr. David Barrett, Mr. Ryan Schaffer, Ms. Anu Muralidharan, Mr. Jason Mills, Mr. Daniel Vidal, Mr. Timothy L. Christen, Ms. Ellen Pao and Ms. Ying (Vivian) Liu</w:t>
      </w:r>
      <w:r>
        <w:rPr>
          <w:color w:val="000000"/>
        </w:rPr>
        <w:t xml:space="preserve"> </w:t>
      </w:r>
      <w:r>
        <w:rPr>
          <w:rFonts w:ascii="Expensify Neue;sans-serif" w:hAnsi="Expensify Neue;sans-serif"/>
          <w:b w:val="false"/>
          <w:color w:val="000000"/>
          <w:sz w:val="20"/>
        </w:rPr>
        <w:t>for re-election to serve as the directors of the Company. The persons named as proxies in the enclosed proxy card will vote to elect each director nominee named in this Proxy Statement unless a stockholder indicates that his or her shares should be withheld with respect to one or more of such nominees.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expect the Voting Trust to vote in favor of the eight nominees for directors. Please see “Certain Relationships and Related Party Transactions” below for a description of the Voting Trust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All of the nominees are currently serving as directors and we do not expect that any of the nominees will be unavailable or will decline to serve. Each of the nominees for director has agreed to be named in this Proxy Statement and to serve as a director if elected.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determining that each director should be nominated for re-election, our Board of Directors considered his or her service, business experience, prior directorships and the qualifications, attributes and skills described in the nominee’s biography set forth below under “Corporate Governance—Executive Officers and Directors.” We believe that our directors provide an appropriate mix of experience and skills relevant to the size and nature of our business.</w:t>
      </w:r>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985"/>
        <w:gridCol w:w="985"/>
        <w:gridCol w:w="985"/>
        <w:gridCol w:w="985"/>
        <w:gridCol w:w="985"/>
        <w:gridCol w:w="985"/>
        <w:gridCol w:w="985"/>
        <w:gridCol w:w="985"/>
        <w:gridCol w:w="1447"/>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285750" cy="2857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Our Executive Committee on behalf of our Board of Directors unanimously recommends that you vote “FOR” the election of each of Mr. Barrett, Mr. Schaffer, Ms. Muralidharan, Mr. Mills, Mr. Vidal, Mr. Christen, Ms. Pao and Ms. Liu.</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5"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Corporate Governance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EXECUTIVE OFFICERS AND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Below is a list of the names and ages, as of April 26, 2024, of our directors and executive officers, and a description of the business experience of each of them. There are no family relationships among any of our executive officers or directors.</w:t>
      </w:r>
    </w:p>
    <w:tbl>
      <w:tblPr>
        <w:tblW w:w="7209" w:type="dxa"/>
        <w:jc w:val="left"/>
        <w:tblInd w:w="0" w:type="dxa"/>
        <w:tblLayout w:type="fixed"/>
        <w:tblCellMar>
          <w:top w:w="28" w:type="dxa"/>
          <w:left w:w="28" w:type="dxa"/>
          <w:bottom w:w="28" w:type="dxa"/>
          <w:right w:w="28" w:type="dxa"/>
        </w:tblCellMar>
      </w:tblPr>
      <w:tblGrid>
        <w:gridCol w:w="860"/>
        <w:gridCol w:w="758"/>
        <w:gridCol w:w="766"/>
        <w:gridCol w:w="109"/>
        <w:gridCol w:w="109"/>
        <w:gridCol w:w="109"/>
        <w:gridCol w:w="175"/>
        <w:gridCol w:w="175"/>
        <w:gridCol w:w="176"/>
        <w:gridCol w:w="109"/>
        <w:gridCol w:w="109"/>
        <w:gridCol w:w="109"/>
        <w:gridCol w:w="1063"/>
        <w:gridCol w:w="1063"/>
        <w:gridCol w:w="1519"/>
      </w:tblGrid>
      <w:tr>
        <w:trPr/>
        <w:tc>
          <w:tcPr>
            <w:tcW w:w="8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Position</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 and Director</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and Director</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Anuradha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Operating Officer and Director</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Jason Mills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Daniel Vidal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Timothy Christen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Ying (Vivian)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r>
    </w:tbl>
    <w:p>
      <w:pPr>
        <w:pStyle w:val="TextBody"/>
        <w:bidi w:val="0"/>
        <w:spacing w:lineRule="auto" w:line="288" w:before="0" w:after="160"/>
        <w:jc w:val="left"/>
        <w:rPr/>
      </w:pPr>
      <w:r>
        <w:rPr>
          <w:rFonts w:ascii="Expensify Neue;sans-serif" w:hAnsi="Expensify Neue;sans-serif"/>
          <w:b/>
          <w:i/>
          <w:color w:val="000000"/>
          <w:sz w:val="20"/>
        </w:rPr>
        <w:t xml:space="preserve">David Barrett </w:t>
      </w:r>
      <w:r>
        <w:rPr>
          <w:rFonts w:ascii="Expensify Neue;sans-serif" w:hAnsi="Expensify Neue;sans-serif"/>
          <w:b w:val="false"/>
          <w:color w:val="000000"/>
          <w:sz w:val="20"/>
        </w:rPr>
        <w:t xml:space="preserve">founded Expensify and has served as our Chief Executive Officer and as a member of our board of directors since 2009. Prior 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 </w:t>
      </w:r>
    </w:p>
    <w:p>
      <w:pPr>
        <w:pStyle w:val="TextBody"/>
        <w:bidi w:val="0"/>
        <w:spacing w:lineRule="auto" w:line="288" w:before="0" w:after="160"/>
        <w:jc w:val="left"/>
        <w:rPr/>
      </w:pPr>
      <w:r>
        <w:rPr>
          <w:rFonts w:ascii="Expensify Neue;sans-serif" w:hAnsi="Expensify Neue;sans-serif"/>
          <w:b/>
          <w:i/>
          <w:color w:val="000000"/>
          <w:sz w:val="20"/>
        </w:rPr>
        <w:t xml:space="preserve">Ryan Schaffer </w:t>
      </w:r>
      <w:r>
        <w:rPr>
          <w:rFonts w:ascii="Expensify Neue;sans-serif" w:hAnsi="Expensify Neue;sans-serif"/>
          <w:b w:val="false"/>
          <w:color w:val="000000"/>
          <w:sz w:val="20"/>
        </w:rPr>
        <w:t xml:space="preserve">has served as our Chief Financial Officer and a member of our board of directors since 2017, and he previously served as 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 </w:t>
      </w:r>
    </w:p>
    <w:p>
      <w:pPr>
        <w:pStyle w:val="TextBody"/>
        <w:bidi w:val="0"/>
        <w:spacing w:lineRule="auto" w:line="288" w:before="0" w:after="160"/>
        <w:jc w:val="left"/>
        <w:rPr/>
      </w:pPr>
      <w:r>
        <w:rPr>
          <w:rFonts w:ascii="Expensify Neue;sans-serif" w:hAnsi="Expensify Neue;sans-serif"/>
          <w:b/>
          <w:i/>
          <w:color w:val="000000"/>
          <w:sz w:val="20"/>
        </w:rPr>
        <w:t xml:space="preserve">Anu Muralidharan </w:t>
      </w:r>
      <w:r>
        <w:rPr>
          <w:rFonts w:ascii="Expensify Neue;sans-serif" w:hAnsi="Expensify Neue;sans-serif"/>
          <w:b w:val="false"/>
          <w:color w:val="000000"/>
          <w:sz w:val="20"/>
        </w:rPr>
        <w:t xml:space="preserve">has served as our Chief Operating Officer since January 2021 and a member of our board of directors since our IPO. Ms. 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 </w:t>
      </w:r>
    </w:p>
    <w:p>
      <w:pPr>
        <w:pStyle w:val="TextBody"/>
        <w:bidi w:val="0"/>
        <w:spacing w:lineRule="auto" w:line="288" w:before="0" w:after="160"/>
        <w:jc w:val="left"/>
        <w:rPr/>
      </w:pPr>
      <w:r>
        <w:rPr>
          <w:rFonts w:ascii="Expensify Neue;sans-serif" w:hAnsi="Expensify Neue;sans-serif"/>
          <w:b/>
          <w:i/>
          <w:color w:val="000000"/>
          <w:sz w:val="20"/>
        </w:rPr>
        <w:t xml:space="preserve">Jason Mills </w:t>
      </w:r>
      <w:r>
        <w:rPr>
          <w:rFonts w:ascii="Expensify Neue;sans-serif" w:hAnsi="Expensify Neue;sans-serif"/>
          <w:b w:val="false"/>
          <w:color w:val="000000"/>
          <w:sz w:val="20"/>
        </w:rPr>
        <w:t xml:space="preserve">has served as a member of our board of directors since our IPO. Mr. Mills has served as our Chief Product Officer since May 2021, and he previously served as our Director of Product and Customers from January 2013 to May 2021. Prior to Expensify, Mr. Mills served as an 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6"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of directors due to his long history of leadership with our company, his perspective and experience as our Chief Product Officer and his comprehensive knowledge of our business. </w:t>
      </w:r>
    </w:p>
    <w:p>
      <w:pPr>
        <w:pStyle w:val="TextBody"/>
        <w:bidi w:val="0"/>
        <w:spacing w:lineRule="auto" w:line="288" w:before="0" w:after="160"/>
        <w:jc w:val="left"/>
        <w:rPr/>
      </w:pPr>
      <w:r>
        <w:rPr>
          <w:rFonts w:ascii="Expensify Neue;sans-serif" w:hAnsi="Expensify Neue;sans-serif"/>
          <w:b/>
          <w:i/>
          <w:color w:val="000000"/>
          <w:sz w:val="20"/>
        </w:rPr>
        <w:t xml:space="preserve">Daniel Vidal </w:t>
      </w:r>
      <w:r>
        <w:rPr>
          <w:rFonts w:ascii="Expensify Neue;sans-serif" w:hAnsi="Expensify Neue;sans-serif"/>
          <w:b w:val="false"/>
          <w:color w:val="000000"/>
          <w:sz w:val="20"/>
        </w:rPr>
        <w:t xml:space="preserve">has served as a member of our board of directors since our IPO. Mr. Vidal has served as our Chief Strategy Officer since May 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 </w:t>
      </w:r>
    </w:p>
    <w:p>
      <w:pPr>
        <w:pStyle w:val="TextBody"/>
        <w:bidi w:val="0"/>
        <w:spacing w:lineRule="auto" w:line="288" w:before="0" w:after="160"/>
        <w:jc w:val="left"/>
        <w:rPr/>
      </w:pPr>
      <w:r>
        <w:rPr>
          <w:rFonts w:ascii="Expensify Neue;sans-serif" w:hAnsi="Expensify Neue;sans-serif"/>
          <w:b/>
          <w:i/>
          <w:color w:val="000000"/>
          <w:sz w:val="20"/>
        </w:rPr>
        <w:t xml:space="preserve">Timothy L. Christen </w:t>
      </w:r>
      <w:r>
        <w:rPr>
          <w:rFonts w:ascii="Expensify Neue;sans-serif" w:hAnsi="Expensify Neue;sans-serif"/>
          <w:b w:val="false"/>
          <w:color w:val="000000"/>
          <w:sz w:val="20"/>
        </w:rPr>
        <w:t xml:space="preserve">has served on our board of directors since the effectiveness of our IPO registration statement. Mr. Christen has served as a director of Mayville Engineering Company, a publicly traded value added manufacturer, since June 2016 and serves as the Chairman of the Board and a member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 </w:t>
      </w:r>
    </w:p>
    <w:p>
      <w:pPr>
        <w:pStyle w:val="TextBody"/>
        <w:bidi w:val="0"/>
        <w:spacing w:lineRule="auto" w:line="288" w:before="0" w:after="160"/>
        <w:jc w:val="left"/>
        <w:rPr/>
      </w:pPr>
      <w:r>
        <w:rPr>
          <w:rFonts w:ascii="Expensify Neue;sans-serif" w:hAnsi="Expensify Neue;sans-serif"/>
          <w:b/>
          <w:i/>
          <w:color w:val="000000"/>
          <w:sz w:val="20"/>
        </w:rPr>
        <w:t xml:space="preserve">Ellen Pao </w:t>
      </w:r>
      <w:r>
        <w:rPr>
          <w:rFonts w:ascii="Expensify Neue;sans-serif" w:hAnsi="Expensify Neue;sans-serif"/>
          <w:b w:val="false"/>
          <w:color w:val="000000"/>
          <w:sz w:val="20"/>
        </w:rPr>
        <w:t xml:space="preserve">has served on our board of directors since our IPO. Ms. Pao cofounded and has lead Project Include, a nonprofit advocating for diversity, equity and inclusion in technology companies, since December 2015. Ms. Pao has served as Chief Executive Officer and as a board member of Project Include since January 2017. Prior to Project Include, Ms. Pao served as Interim Chief Executive Officer and Executive Vice President of Business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2005. </w:t>
      </w:r>
    </w:p>
    <w:p>
      <w:pPr>
        <w:pStyle w:val="TextBody"/>
        <w:bidi w:val="0"/>
        <w:spacing w:lineRule="auto" w:line="288" w:before="0" w:after="160"/>
        <w:jc w:val="left"/>
        <w:rPr/>
      </w:pPr>
      <w:r>
        <w:rPr>
          <w:rFonts w:ascii="Expensify Neue;sans-serif" w:hAnsi="Expensify Neue;sans-serif"/>
          <w:b/>
          <w:i/>
          <w:color w:val="000000"/>
          <w:sz w:val="20"/>
        </w:rPr>
        <w:t xml:space="preserve">Ying (Vivian) Liu </w:t>
      </w:r>
      <w:r>
        <w:rPr>
          <w:rFonts w:ascii="Expensify Neue;sans-serif" w:hAnsi="Expensify Neue;sans-serif"/>
          <w:b w:val="false"/>
          <w:color w:val="000000"/>
          <w:sz w:val="20"/>
        </w:rPr>
        <w:t xml:space="preserve">has served on our board of directors since our IPO. Ms. Liu has served as Chief Operating Officer and Chief Financial Officer of ContextLogic, Inc. (d/b/a Wish), a mobile ecommerce platform since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 </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CONTROLLED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7"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the Voting Trust controls more than 50% of the voting power of our outstanding common stock, we are considered a “controlled company” within the meaning of the corporate governance standards of Nasdaq. As a “controlled company,” we are permitted to and elect not to comply with certain corporate governance requirements of Nasdaq, including the requirements that (i) a majority of our Board of Directors consist of independent directors, (ii) we either establish a nominating and corporate governance committee composed entirely of independent directors or ensure that nominees for director are determined or recommended to the Board of Directors by a majority of the independent members of the Board of Directors and (iii) we establish a compensation committee composed entirely of independent directors. For an indeterminate period, we intend to utilize these exemptions. As a result, although the Audit Committee of our Board (the “Audit Committee”) is fully independent as required by Nasdaq listing standards, we do not have a nominating and corporate governance committee, and the members of our Board’s Compensation Committee (the “Compensation Committee”) are not independent directors. Additionally, a majority of our directors are not currently independent and we do not expect in the immediate future that the majority of our directors will be independent. Accordingly, although we may transition to a Board with a majority of independent directors prior to the time we cease to be a “controlled company,” for such period of time our stockholders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DIRECTOR INDEPENDENCE</w:t>
      </w:r>
    </w:p>
    <w:p>
      <w:pPr>
        <w:pStyle w:val="TextBody"/>
        <w:bidi w:val="0"/>
        <w:spacing w:lineRule="auto" w:line="288" w:before="0" w:after="160"/>
        <w:jc w:val="left"/>
        <w:rPr/>
      </w:pPr>
      <w:r>
        <w:rPr>
          <w:rFonts w:ascii="Expensify Neue;sans-serif" w:hAnsi="Expensify Neue;sans-serif"/>
          <w:b w:val="false"/>
          <w:color w:val="000000"/>
          <w:sz w:val="20"/>
        </w:rPr>
        <w:t>Our Executive Committee on behalf of our Board of Directors undertook a review of the Board of Directors’ composition, the composition of its committees and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our Executive Committee on behalf of our Board of Directors has affirmatively determined that Mr. Christen, Ms. Liu and Ms. Pao are each an “independent director,” as defined under the Securities Exchange Act of 1934, as amended</w:t>
      </w:r>
      <w:r>
        <w:rPr>
          <w:color w:val="000000"/>
        </w:rPr>
        <w:t xml:space="preserve"> </w:t>
      </w:r>
      <w:r>
        <w:rPr>
          <w:rFonts w:ascii="Expensify Neue;sans-serif" w:hAnsi="Expensify Neue;sans-serif"/>
          <w:b w:val="false"/>
          <w:color w:val="000000"/>
          <w:sz w:val="20"/>
        </w:rPr>
        <w:t xml:space="preserve">(the “Exchange Act”), and the rules of Nasdaq. </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DIRECTOR NOMINATION PROCESS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Executive Committee on behalf of the Board of Directors is responsible for identifying, evaluating and nominating candidates to serve on the Board of Directors and its committees. In evaluating director candidates, the Executive Committee considers the criteria set forth in our Corporate Governance Guidelines, as well as any other factors that they deem to be relevant, including: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candidate’s executive and directorial experience;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candidate’s professional and academic experience relevant to the Company’s industry;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strength of the candidate’s leadership skills;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candidate’s experience in finance and accounting and/or executive compensation practices;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whether the candidate has the time required for preparation, participation, and attendance at meetings of the Board of Directors and committee meetings, if applicable;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candidate’s geographic background, gender, age and ethnicity;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candidate’s experience at the Company, in the case of director candidates intended to sit on the Executive Committee.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Generally, the Executive Committee will consider candidates who have a high level of personal and professional integrity, strong ethics and the ability to make mature business judgments. The Executive Committee and the Board monitor the mix of specific experience, qualifications and skills of its directors in order to assure that the Board, as a whole, has the necessary tools to perform its oversight function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8"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effectively in light of the Company’s business and structure. Although the Executive Committee may consider whether nominees assist in achieving a mix of board members that represents a diversity of background and experience, which is not only limited to race, gender or national origin, we have no formal policy regarding board diversity.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Executive Committee will consider a candidate nominated by a stockholder in a manner consistent with its evaluation of potential nominees. Any recommendation submitted to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and must otherwise comply with the requirements under our amended and restated bylaws for stockholders to recommend director nominees.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Stockholder nominees should be submitted to the Company’s Corporate Secretary at the Company’s principal executive offices. All recommendations for director nominations received by the Corporate Secretary that satisfy requirements set forth in the SEC rules and in our amended and restated bylaws relating to such nominations will be presented to the Executive Committee for its consideration. Stockholders must also satisfy the notification, timeliness, consent and information requirements set forth in our amended and restated bylaws. These timing requirements are also described in this Proxy Statement under the caption “Stockholder Proposals.”</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MEETINGS OF BOARD OF DIRECTORS AND ATTENDANCE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fiscal 2023, our Board of Directors held five meetings, our Compensation Committee held four meetings and our Audit Committee held five meetings. During fiscal 2023, each director attended at least 75% of the total number of meetings of the Board of Directors and committees on which the director served. Members of our Board of Directors are encouraged to attend annual meetings of stockholders; however we do not have a formal policy regarding attendance of directors at our annual meetings of stockholders. All but one of our directors attended our 2023 Annual Meeting of Stockholders.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chair of the Audit Committee, or in his or her absence a director designated by the chair of the Audit Committee, presides over executive sessions of the independent directors, which are held on a regularly scheduled basis, not less than once per year.</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COMMUNICATION WITH THE BOARD OF DIRECTORS</w:t>
      </w:r>
    </w:p>
    <w:p>
      <w:pPr>
        <w:pStyle w:val="TextBody"/>
        <w:bidi w:val="0"/>
        <w:spacing w:lineRule="auto" w:line="288" w:before="0" w:after="160"/>
        <w:jc w:val="left"/>
        <w:rPr/>
      </w:pPr>
      <w:r>
        <w:rPr>
          <w:rFonts w:ascii="Expensify Neue;sans-serif" w:hAnsi="Expensify Neue;sans-serif"/>
          <w:b w:val="false"/>
          <w:color w:val="000000"/>
          <w:sz w:val="20"/>
        </w:rPr>
        <w:t>Any stockholder or other interested party who would like to communicate with the Board of Directors, the independent directors as a group or any specific member or members of the Board of Directors should send such communications to the attention of our Corporate Secretary at Expensify, Inc., 401 SW 5</w:t>
      </w:r>
      <w:r>
        <w:rPr>
          <w:rFonts w:ascii="Expensify Neue;sans-serif" w:hAnsi="Expensify Neue;sans-serif"/>
          <w:b w:val="false"/>
          <w:color w:val="000000"/>
          <w:sz w:val="13"/>
        </w:rPr>
        <w:t>th</w:t>
      </w:r>
      <w:r>
        <w:rPr>
          <w:color w:val="000000"/>
        </w:rPr>
        <w:t xml:space="preserve"> </w:t>
      </w:r>
      <w:r>
        <w:rPr>
          <w:rFonts w:ascii="Expensify Neue;sans-serif" w:hAnsi="Expensify Neue;sans-serif"/>
          <w:b w:val="false"/>
          <w:color w:val="000000"/>
          <w:sz w:val="20"/>
        </w:rPr>
        <w:t>Ave, Portland, OR 97204. Communications should contain instructions specifying for which member or members of the Board of Directors the communication is intended. Such communications generally will be forwarded to the intended recipients. However, our Corporate Secretary may, in his sole discretion, decline to forward any communications that are inappropriate.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BOARD DIVERSITY MATRIX</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table below provides certain highlights of the composition of our Board members and nominees as of April 26, 2024. Each of the categories listed in the table below has the meaning as it is used in Nasdaq Rule 5605(f).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9"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47"/>
        <w:gridCol w:w="1710"/>
        <w:gridCol w:w="1617"/>
        <w:gridCol w:w="324"/>
        <w:gridCol w:w="265"/>
        <w:gridCol w:w="255"/>
        <w:gridCol w:w="324"/>
        <w:gridCol w:w="324"/>
        <w:gridCol w:w="277"/>
        <w:gridCol w:w="400"/>
        <w:gridCol w:w="400"/>
        <w:gridCol w:w="401"/>
        <w:gridCol w:w="638"/>
        <w:gridCol w:w="504"/>
        <w:gridCol w:w="719"/>
      </w:tblGrid>
      <w:tr>
        <w:trPr/>
        <w:tc>
          <w:tcPr>
            <w:tcW w:w="204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Board Diversity Matrix (As of April 26, 2024)</w:t>
            </w:r>
          </w:p>
        </w:tc>
      </w:tr>
      <w:tr>
        <w:trPr/>
        <w:tc>
          <w:tcPr>
            <w:tcW w:w="5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Board Size:</w:t>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Number of Directors</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Gender:</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Male</w:t>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Female</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Non-Binary</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Gender Undisclosed</w:t>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Number of directors who identify in any of the categories below:</w:t>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African American or Black</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Alaskan Native or American Indian</w:t>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Asian</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Hispanic or Latinx</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Native Hawaiian or Pacific Islander</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White</w:t>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Two or More Races or Ethnicities</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LGBTQ+</w:t>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Undisclosed</w:t>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COMMITTEES OF OUR BOARD OF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We established a Compensation Committee in 2022. As a “controlled company” under Nasdaq’s rules and corporate governance standards, we are not required to have a nominating and corporate governance committee. In addition, from time to time, other committees may be established by the Board of Directors when necessary. </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 xml:space="preserve">Executive Committee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amended and restated certificate of incorporation provides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Executive Committee may not delegate any or all of its powers and authority to a subcommittee. Our Executive Committee consists of Messrs. Barrett, Schaffer, Mills and Vidal and Ms. Muralidharan. </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 xml:space="preserve">Audit Committee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Audit Committee is responsible for, among other things: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appointing, compensating, retaining, evaluating, terminating and overseeing our independent registered public accounting firm;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discussing with our independent registered public accounting firm its independence from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0"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reviewing with our independent registered public accounting firm the scope and results of their audit;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approving all audit and permissible non-audit services to be performed by our independent registered public accounting firm;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overseeing the financial reporting process and discussing with management and our independent registered public accounting firm the interim and annual financial statements that we file with the SEC;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reviewing and monitoring our accounting principles, accounting policies, financial and accounting controls and compliance with legal and regulatory requirements;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reviewing our policies on risk assessment and risk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reviewing related party transactions; and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establishing procedures for the confidential anonymous submission of concerns regarding questionable accounting, internal controls or auditing matters.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Audit Committee consists of Mr. Christen, Ms. Liu and Ms. Pao, with Mr. Christen serving as chair. Rule 10A-3 of the Exchange Act and Nasdaq rules require that our Audit Committee be composed entirely of independent members. Our Executive Committee on behalf of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the Nasdaq listing standards. In addition, our Executive Committee on behalf of our Board of Directors has determined that Mr. Christen qualifies as an “audit committee financial expert,” as such term is defined in Item 407(d)(5) of Regulation S-K. Our Audit Committee operates under a written charter which satisfies the applicable listing standards of Nasdaq and which is available on our website at ir.expensify.com. The information on or accessed through our website is deemed not to be incorporated in or part of this Proxy Statement or any other document filed with or furnished to the SEC.</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Compensation Committee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Compensation Committee is responsible for, among other things: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reviewing and approving our compensation algorithm used to determine the compensation of all employees, including the Chief Executive Officer and all other executive officers. To the extent the compensation of any executive officer, including the Chief Executive Officer, is addressed outside of the algorithm, the Compensation Committee, excluding the applicable officer, reviews and approves such compensation;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reviewing and recommending to our Executive Committee, or, if required, our Board of Directors the compensation of our directors;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selecting independent compensation consultants and advisors and assessing whether there are any conflicts of interest with any of the Compensation Committee’s compensation consultants or advisors;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reviewing and approving, or recommending that our Executive Committee, or, if required, our Board of Directors approve, incentive compensation and equity 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Compensation Committee currently consists of Messrs. Barrett, Schaffer, Mills and Vidal and Ms. Muralidharan with Mr. Barrett serving as chair. Mr. Barrett, Mr. Schaffer and Ms. Muralidharan, each an executive officer, participate in the deliberations of the Compensation Committee in determining executive officer and director compensation, except as otherwise determined by the Compensation Committee. As a controlled company, we rely upon the exemption from the requirement that we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1"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Compensation Committee composed entirely of independent directors. The Compensation Committee may delegate any or all of its responsibilities to a subcommittee of the committee. In March 2022, the Compensation Committee engaged Semler Brossy Consulting Group LLP (“Semler Brossy”) to serve as its compensation consultant to review and assess the compensation of our executive officers and other officers. Our compensation committee operates under a written charter which satisfies the applicable listing standards of Nasdaq and which is available on our website at ir.expensify.com. The information on or accessed through our website is deemed not to be incorporated in or part of this Proxy Statement or any other document filed with or furnished to the SEC.</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COMPENSATION COMMITTEE INTERLOCKS AND INSIDER PARTICIPATION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Compensation Committee, including our executive officers Mr. Barrett and Mr. Schaffer, participated in deliberations regarding the algorithm used to determine the compensation of all employees, including all executive officers. To the extent compensation of one of our executive officers was addressed outside of the algorithm, the applicable executive officer did not participate in such deliberations. Except as described below in the section titled “Certain Relationships and Related Party Transactions,” none of our Board members for fiscal 2023 had or have any relationships with the company during the last completed fiscal year that are required to be disclosed under Item 404 of Regulation S-K. None of our executive officers currently serve, or have served during the last completed fiscal year, on the compensation committee or board of directors of any other entity that has one or more executive officers serving as a member of our Board of Directors or Compensation Committee.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BOARD LEADERSHIP STRUCTURE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Corporate Governance Guidelines provide our independent directors the flexibility to elect a lead director if the chairperson of the Board of Directors is a member of management or does not otherwise qualify as independent. Our Board of Directors currently does not have a chairperson (or a lead director) and currently believes that our existing leadership structure is effective. Our Board of Directors will continue to periodically review our leadership structure and may make such changes in the future as it deems appropriate.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RISK OVERSIGHT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of Directors is responsible for overseeing our risk management process. Our Board of Directors focuses on our general risk management strategy, the most significant risks facing us, our material environmental, social and governance (“ESG”) risks and oversees the implementation of risk mitigation strategies by management, including management’s implementation of our cybersecurity risk management program. Our Board of Directors is also apprised of particular risk management matters in connection with its general oversight and approval of corporate matters and significant transactions. </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CODE OF ETHICS AND CONDUCT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have adopted a written code of ethics and conduct that applies to our directors, officers and employees, including our principal executive officer, principal financial officer, principal accounting officer or controller, or persons performing similar functions. A copy of the code is available on our investor relations website at ir.expensify.com. In addition, we intend to post on our investor relations website all disclosures that are required by law or the listing standards concerning any amendments to, or waivers from, any provision of the code. The information on or accessed through our website is deemed not to be incorporated in or part of this Proxy Statement or any other document filed with or furnished to the SEC. </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CORPORATE GOVERNANCE GUIDELINES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have adopted written corporate governance guidelines to assist the Board in the exercise of its responsibilities. A copy of the corporate governance guidelines is available on our investor relations website at ir.expensify.com. The information on or accessed through our website is deemed not to be incorporated in or part of this Proxy Statement or any other document filed with or furnished to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2"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ANTI-HEDGING POLICY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Board of Directors has adopted an Insider Trading Policy, which applies to all of our directors, officers and employees. The policy prohibits our directors, officers and employees from engaging in transactions intended to hedge or offset the market value of Expensify stock owned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3"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Environmental, Social, and Governance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OUR COMMITMENT TO ESG PRINCIPLES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can be no sustainable, profitable growth without a market that is fair, inclusive and universal. We believe that defending, improving and expanding this market is a core responsibility of any business that intends to last as long as we do.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may expand disclosures in these areas in the future - consistent with our commitment to developing a long-term sustainable business.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Managing systemic risks from technology disruptions</w:t>
      </w:r>
      <w:r>
        <w:rPr>
          <w:rFonts w:ascii="Expensify Neue;sans-serif" w:hAnsi="Expensify Neue;sans-serif"/>
          <w:b w:val="false"/>
          <w:color w:val="000000"/>
          <w:sz w:val="20"/>
        </w:rPr>
        <w:t xml:space="preserve">. Expensify is an always-on, business-critical service, committed to platform reliability. 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 issues, and conduct pre-scheduled maintenance without service interruptions. From January 1, 2023, to December 31, 2023, our average service uptime was over 99.9%, exceeding our target of three nines.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Ethics and conduct related to financial services products</w:t>
      </w:r>
      <w:r>
        <w:rPr>
          <w:rFonts w:ascii="Expensify Neue;sans-serif" w:hAnsi="Expensify Neue;sans-serif"/>
          <w:b w:val="false"/>
          <w:color w:val="000000"/>
          <w:sz w:val="20"/>
        </w:rPr>
        <w:t xml:space="preserve">. At Expensify, we prioritize trust, and the safety and security of our financial services products. Maintaining trust with our members is crucial for our brand reputation. We have robust internal controls to facilitate regulatory compliance and protect stockholder and customer value.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Recruiting &amp; managing a global, diverse &amp; skilled workforce</w:t>
      </w:r>
      <w:r>
        <w:rPr>
          <w:rFonts w:ascii="Expensify Neue;sans-serif" w:hAnsi="Expensify Neue;sans-serif"/>
          <w:b w:val="false"/>
          <w:color w:val="000000"/>
          <w:sz w:val="20"/>
        </w:rPr>
        <w:t>. Attracting and retaining a diverse and global workforce, with employees of different 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Data privacy</w:t>
      </w:r>
      <w:r>
        <w:rPr>
          <w:rFonts w:ascii="Expensify Neue;sans-serif" w:hAnsi="Expensify Neue;sans-serif"/>
          <w:b w:val="false"/>
          <w:color w:val="000000"/>
          <w:sz w:val="20"/>
        </w:rPr>
        <w:t>. Customer privacy and maintaining customer trust is fundamental to Expensify’s success. We prioritize strong data privacy practices, 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with the goal of maintaining compliance with changing global privacy laws and regulations. Customer agreements along with a variety of internal policies and external privacy policies describe how we work to safeguard customers' data. User data is not used for secondary purposes and we do not knowingly permit government monitoring in any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4"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Data security</w:t>
      </w:r>
      <w:r>
        <w:rPr>
          <w:rFonts w:ascii="Expensify Neue;sans-serif" w:hAnsi="Expensify Neue;sans-serif"/>
          <w:b w:val="false"/>
          <w:color w:val="000000"/>
          <w:sz w:val="20"/>
        </w:rPr>
        <w:t xml:space="preserve">. Data security is essential to maintaining our members' trust, because we process and store sensitive financial and personally identifiable information. The control environment at Expensify reflects our commitment to data security. Our policies and procedures detail operational requirements that support system specifications, security commitments, and compliance with relevant laws and regulations.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Environmental footprint of hardware infrastructure and emissions</w:t>
      </w:r>
      <w:r>
        <w:rPr>
          <w:rFonts w:ascii="Expensify Neue;sans-serif" w:hAnsi="Expensify Neue;sans-serif"/>
          <w:b w:val="false"/>
          <w:color w:val="000000"/>
          <w:sz w:val="20"/>
        </w:rPr>
        <w:t>. We recognize the environmental impacts of our business, the impacts to our 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In May 2023, we estimated our annual GHG emissions to be 10,281 tCO₂e for the year ended December 31, 2022, and as of August 2023, we successfully offset our estimated annual carbon footprint with the goal of being carbon neutral for the year. We are currently in the process of evaluating our annual GHG emissions for the year ended December 31, 2023 and plan to offset our carbon footprint for the year once calculated.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Climate risks</w:t>
      </w:r>
      <w:r>
        <w:rPr>
          <w:rFonts w:ascii="Expensify Neue;sans-serif" w:hAnsi="Expensify Neue;sans-serif"/>
          <w:b w:val="false"/>
          <w:color w:val="000000"/>
          <w:sz w:val="20"/>
        </w:rPr>
        <w:t>. We recognize the risks posed by climate change to our operations and revenue, including risks associated with the transition to a low-carbon economy and the physical impacts of climate change. Our efforts to become carbon neutral are one part of our commitment to addressing climate change.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Commitment to long term thinking</w:t>
      </w:r>
      <w:r>
        <w:rPr>
          <w:rFonts w:ascii="Expensify Neue;sans-serif" w:hAnsi="Expensify Neue;sans-serif"/>
          <w:b w:val="false"/>
          <w:color w:val="000000"/>
          <w:sz w:val="20"/>
        </w:rPr>
        <w:t xml:space="preserve">. We believe that our environment, society, shareholders, and overall company will be best served if we remain focused on the long-term impacts of the decisions we make as a business. We aim to align all stakeholders around long-term thinking.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5"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Proposal 2: Ratification of Appointment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Audit Committee is directly responsible for the appointment, compensation, retention and oversight of the independent external audit firm retained to audit the Company’s financial statements. Our Audit Committee has selected EY to serve as our independent registered public accounting firm to audit the consolidated financial statements of the Company for the fiscal year ending December 31, 2024. EY has served as our independent registered public accounting firm since 2020.</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Stockholders are not required to ratify the appointment of EY as our independent registered public accounting firm. However, as a matter of good corporate governance, we are asking our stockholders to ratify the selection of EY as our independent registered public accounting firm for the fiscal year ending December 31, 2024. If stockholders fail to ratify the appointment, the Audit Committee will consider whether or not to retain EY. Even if the appointment is ratified, the Audit Committee, in its discretion, may direct the appointment of a different independent registered public accounting firm at any time during the year if it determines that such a change would be in the best interests of the Company and our stockholders.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Representatives of EY will be present at the Annual Meeting, will have the opportunity to make a statement if they desire to do so and will be available to respond to appropriate questions.</w:t>
      </w:r>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989"/>
        <w:gridCol w:w="989"/>
        <w:gridCol w:w="989"/>
        <w:gridCol w:w="989"/>
        <w:gridCol w:w="989"/>
        <w:gridCol w:w="989"/>
        <w:gridCol w:w="989"/>
        <w:gridCol w:w="989"/>
        <w:gridCol w:w="1415"/>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285750" cy="2857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Our Executive Committee on behalf of our Board of Directors unanimously recommends that you vote “FOR” the ratification of EY as our independent registered public accounting firm for the fiscal year ending December 31,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27"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Principal Accountant Fees and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aggregate fees billed by EY to the Company for the fiscal years ended December 31, 2023 and December 31, 2022:</w:t>
      </w:r>
    </w:p>
    <w:tbl>
      <w:tblPr>
        <w:tblW w:w="5416" w:type="dxa"/>
        <w:jc w:val="left"/>
        <w:tblInd w:w="0" w:type="dxa"/>
        <w:tblLayout w:type="fixed"/>
        <w:tblCellMar>
          <w:top w:w="28" w:type="dxa"/>
          <w:left w:w="28" w:type="dxa"/>
          <w:bottom w:w="28" w:type="dxa"/>
          <w:right w:w="28" w:type="dxa"/>
        </w:tblCellMar>
      </w:tblPr>
      <w:tblGrid>
        <w:gridCol w:w="710"/>
        <w:gridCol w:w="625"/>
        <w:gridCol w:w="630"/>
        <w:gridCol w:w="226"/>
        <w:gridCol w:w="1126"/>
        <w:gridCol w:w="109"/>
        <w:gridCol w:w="109"/>
        <w:gridCol w:w="109"/>
        <w:gridCol w:w="109"/>
        <w:gridCol w:w="226"/>
        <w:gridCol w:w="1126"/>
        <w:gridCol w:w="31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Audit Fees</w:t>
            </w:r>
            <w:r>
              <w:rPr>
                <w:rFonts w:ascii="Expensify Neue;sans-serif" w:hAnsi="Expensify Neue;sans-serif"/>
                <w:b w:val="false"/>
                <w:color w:val="000000"/>
                <w:sz w:val="13"/>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2,837,726 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3,918,410 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Audit-Related Fees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Tax Fees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All Other Fees</w:t>
            </w:r>
            <w:r>
              <w:rPr>
                <w:rFonts w:ascii="Expensify Neue;sans-serif" w:hAnsi="Expensify Neue;sans-serif"/>
                <w:b w:val="false"/>
                <w:color w:val="000000"/>
                <w:sz w:val="13"/>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2,844,685 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3,921,880 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(1)For fiscal 2022 and fiscal 2023, Audit Fees consist of fees billed for audit services related to the audit of our 2022 and 2023 annual consolidated financial statements, review of our quarterly consolidated financial statements; audit services provided in connection with other statutory and regulatory filings; and other accounting and financial reporting consultation and research work billed as audit fees or necessary to comply with the standards of the Public Company Accounting Oversight Board.</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(2)All Other Fees consists of fees billed for permitted products and services not included in the first three categories.</w:t>
      </w:r>
    </w:p>
    <w:p>
      <w:pPr>
        <w:pStyle w:val="TextBody"/>
        <w:bidi w:val="0"/>
        <w:spacing w:lineRule="auto" w:line="288" w:before="16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AUDIT COMMITTEE PRE-APPROVAL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Consistent with the requirements of the SEC and the Public Company Accounting Oversight Board regarding auditor independence, our Audit Committee is responsible for appointing, setting compensation for, and overseeing the work of our independent registered public accounting firm. In recognition of this responsibility, our Audit Committee pre-approves all audit and permissible non-audit services provided by the independent registered public accounting firm. These services may include audit services, audit-related services, tax services and other services. All services performed by EY for the Company and its subsidiaries pursuant to engagements entered into since our IPO have been pre-approved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28"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Report of the Audit Committee</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principal purpose of the Audit Committee is to assist the Board of Directors in its general oversight of our accounting practices, system of internal controls, audit processes and financial reporting processes and is governed by its charter. The Audit Committee is responsible for appointing and retaining our independent auditor and approving the audit and non-audit services to be provided by the independent auditor.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Management is responsible for preparing the financial statements and ensuring they are complete and accurate and prepared in accordance with generally accepted accounting principles. EY,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Audit Committee has reviewed and discussed with our management and EY our audited consolidated financial statements for the year ended December 31, 2023. Our Audit Committee has also discussed with EY the matters required to be discussed by the applicable requirements of the Public Company Accounting Oversight Board and the SEC.</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Audit Committee has received and reviewed the written disclosures and the letter from EY required by applicable requirements of the Public Company Accounting Oversight Board regarding EY’s communications with our Audit Committee concerning independence, and has discussed with EY its independence from 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Based on the above-mentioned review and discussions, the Audit Committee recommended to our Board of Directors that the audited consolidated financial statements be included in our Annual Report on Form 10-K for the year ended December 31, 2023 for filing with the SEC.</w:t>
      </w:r>
    </w:p>
    <w:tbl>
      <w:tblPr>
        <w:tblW w:w="5480"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109"/>
        <w:gridCol w:w="109"/>
        <w:gridCol w:w="109"/>
        <w:gridCol w:w="432"/>
        <w:gridCol w:w="432"/>
        <w:gridCol w:w="432"/>
        <w:gridCol w:w="432"/>
        <w:gridCol w:w="432"/>
        <w:gridCol w:w="612"/>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Audit Committee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Tim Christen (Chairperson)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Ellen Pao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Vivian Liu</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April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29"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Director Compensation</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maintain a Non-Employee Director Compensation Program that is applicable to our directors who are not serving as our employees (each a “Non-Employee Director”). Directors who are employed by us did not receive additional compensation for their services as directors in fiscal 2023.</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ANNUAL RETAINER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Each Non-Employee Director receives an annual cash retainer for his or her services equal to $30,000 plus any committee specific retainers (together the “Annual Retainer”), payable quarterly in arrears, and pro-rated to reflect any partial year served. Audit Committee members are paid an additional $10,000, except that the chair of the Audit Committee is paid an additional $20,000. Non-Employee Directors may elect to receive 0 - 100% of their retainer in the form of a grant of restricted stock units (“RSUs”) instead of cash (each, a “Retainer RSU Award”). Each RSU constitutes the right to receive a single share of our Class A common stock. Each Retainer RSU Award will automatically be granted on the fifth day of the month immediately following the end of the quarter for which the corresponding portion of the Annual Retainer was earned. The number of RSUs granted is calculated by dividing the dollar value of the portion of the annual retainer that would have otherwise been paid to such Non-Employee Director in cash on the applicable grant date by (ii) the average per share closing trading price of our Class A common stock over the 30 consecutive trading days ending on the trading day immediately preceding the grant date. Each Retainer RSU Award is fully vested on the grant date. </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EQUITY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Non-Employee Director Compensation Program, each Non-Employee Director who was initially elected or appointed to serve on our Board on or after our IPO was granted an award of a number of RSUs equal to (i) $250,000 divided by (ii) the average per share closing trading price of our Class A common stock over the 30 consecutive trading days ending on the trading day immediately preceding the grant date or, solely for Non-Employee Directors who commenced service on the date of the IPO, the offering price to the public in the IPO (the “Initial RSU Award”). The Initial RSU Award is automatically granted on the date on which such Non-Employee Director commences service on the Board. The Initial RSU Award vests over a three year period in twelve substantially equal quarterly installments, subject to the Non-Employee Director’s continued service on the Board through each such vesting date.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each Non-Employee Director who (i) has been serving on the Board for at least four months as of each annual meeting of our stockholders after the IPO and (ii) will continue to serve as a Non-Employee Director immediately following such meeting, will be granted an award of a number of RSUs calculated by dividing (i) $125,000 by (ii) the average per share closing trading price of our Class A common stock over the 30 consecutive trading days ending on the trading day immediately preceding the grant date (each, an “Annual RSU Award”). The Annual RSU Award will be automatically granted on the date of the applicable annual meeting of stockholders, and will vest in full on the earlier of (i) the first anniversary of the grant date and (ii) immediately before the annual meeting of stockholders following the grant date, subject to the Non-Employee Director’s continued service on the Board through such vesting date.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provides additional detail regarding the fiscal 2023 compensation of our Non-Employee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0"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tbl>
      <w:tblPr>
        <w:tblW w:w="8545" w:type="dxa"/>
        <w:jc w:val="left"/>
        <w:tblInd w:w="0" w:type="dxa"/>
        <w:tblLayout w:type="fixed"/>
        <w:tblCellMar>
          <w:top w:w="28" w:type="dxa"/>
          <w:left w:w="28" w:type="dxa"/>
          <w:bottom w:w="28" w:type="dxa"/>
          <w:right w:w="28" w:type="dxa"/>
        </w:tblCellMar>
      </w:tblPr>
      <w:tblGrid>
        <w:gridCol w:w="492"/>
        <w:gridCol w:w="434"/>
        <w:gridCol w:w="438"/>
        <w:gridCol w:w="109"/>
        <w:gridCol w:w="109"/>
        <w:gridCol w:w="109"/>
        <w:gridCol w:w="519"/>
        <w:gridCol w:w="1900"/>
        <w:gridCol w:w="250"/>
        <w:gridCol w:w="109"/>
        <w:gridCol w:w="109"/>
        <w:gridCol w:w="109"/>
        <w:gridCol w:w="389"/>
        <w:gridCol w:w="1629"/>
        <w:gridCol w:w="187"/>
        <w:gridCol w:w="109"/>
        <w:gridCol w:w="109"/>
        <w:gridCol w:w="109"/>
        <w:gridCol w:w="226"/>
        <w:gridCol w:w="946"/>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Fees Paid in Cash ($)</w:t>
            </w:r>
            <w:r>
              <w:rPr>
                <w:rFonts w:ascii="Expensify Neue;sans-serif" w:hAnsi="Expensify Neue;sans-serif"/>
                <w:b/>
                <w:color w:val="000000"/>
                <w:sz w:val="13"/>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Stock Awards ($)</w:t>
            </w:r>
            <w:r>
              <w:rPr>
                <w:rFonts w:ascii="Expensify Neue;sans-serif" w:hAnsi="Expensify Neue;sans-serif"/>
                <w:b/>
                <w:color w:val="000000"/>
                <w:sz w:val="13"/>
              </w:rPr>
              <w:t>(2)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Tim Christen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50,000 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152,301 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152,196 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152,110 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(1)Amounts reported represent fees paid in cash and the value of cash fees that directors elected to receive in the form of RSUs rather than in cash. Cash amounts exchanged for RSUs for Mr. Christen, Ms. Liu, and Ms. Pao for the year ended December 31, 2023 were $50,000, $30,000, and $24,000, respectively.</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(2)Amounts reported represent the grant date fair value of RSUs granted during fiscal 2023, as calculated in accordance with ASC Topic 718 which vest in future quarters plus the excess grant date fair value of RSUs granted during fiscal 2023 which vested immediately. See Note 9 of the audited consolidated financial statements for the fiscal year ended December 31, 2023 included in our Annual Report. As of December 31, 2023, Mr. Christen, Ms. Liu and Ms. Pao held 49,990, 35,084, and 41,090 RSUs, respectively. None of our Non-Employee Directors held stock options as of December 31,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Each director is also reimbursed for their travel expenses incurred in connection with his or her attendance at full board of directors or committee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1"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w Kansas Medium;sans-serif" w:hAnsi="Expensify New Kansas Medium;sans-serif"/>
          <w:b w:val="false"/>
          <w:color w:val="000000"/>
          <w:sz w:val="32"/>
        </w:rPr>
      </w:pPr>
      <w:r>
        <w:rPr>
          <w:rFonts w:ascii="Expensify New Kansas Medium;sans-serif" w:hAnsi="Expensify New Kansas Medium;sans-serif"/>
          <w:b w:val="false"/>
          <w:color w:val="000000"/>
          <w:sz w:val="32"/>
        </w:rPr>
        <w:t>Compensation Discussion and Analysis</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GENERAL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this Compensation Discussion and Analysis (“CD&amp;A”), we provide an overview and analysis of the compensation awarded to or earned by our named executive officers (“NEOs”, each individually an “NEO”) during fiscal year 2023, including elements of our compensation program for NEOs, material compensation decisions made under that program for fiscal year 2023, and the material factors considered in making those decisions.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NEOs for fiscal year 2023, which constitute all of our executive officers, were as follows: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David Barrett, our Chief Executive Officer;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Ryan Schaffer, our Chief Financial Officer;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Anu Muralidharan, our Chief Operating Officer.</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EXECUTIVE SUMMARY</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Compensation Philosophy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We’ve designed a compensation program that we believe results in the fairest compensation for all employees, including our NEOs. Most companies operate with a traditional hierarchy which means the compensation of any given employee is decided by their supervisor. However, we operate as a flat organization with no such hierarchy in place. We believe that every individual employee’s compensation should be tied to the perceived value they are bringing to the company as measured by their peers. This removes the traditional prisoner’s dilemma in which any given person benefits by working to increase their own compensation while decreasing everyone else’s. The program is designed such that any group of people bringing the same value to the company are compensated exactly the same. The system also allows for outliers, meaning that any shining star employees can stand alone and be compensated accordingly.</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DETERMINATION OF EXECUTIVE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At the core of our compensation program for our employees, including our NEOs, is the compensation algorithm we use to establish all of our employees’ target compensation level. Our Compensation Committee, of which all of our NEOs are members, approves the compensation algorithm used for all employees each year. Our Compensation Committee approves any exceptions to the compensation algorithm, provided, that if an exception is sought for a member of the Compensation Committee, that Compensation Committee member is not present for deliberations regarding the exception and abstains from any vote to approve the exception.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compensation algorithm’s principal input is a semi-annual compensation review process. Each compensation review cycle, our Compensation Committee reviews the compensation of all employees and service providers who have been employed with or provided services to the Company for at least 6 months and wish to participate. Participation is mandatory for those in the Company’s leadership track, including our NEOs. For each compensation review cycle the sum of all raises must be less than 10% of the current sum of all compensation for all employees. Each employee may receive a maximum raise of 25% of their current compensation.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Each participant in the process uses a tool developed by the Company to perform head to head matches of every employee who is eligible for their compensation to be reviewed. Each of our NEOs, including our CEO, is matched with every other employee who is eligible. Eligible employees, including NEOs, may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2"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their discretion in determining which employee in each match should be compensated higher than the other. An employee’s position in the Company’s leadership track has a multiplier effect on their results, the higher in the leadership track they are, the more heavily their votes are weighted. The weighting for each tier adjusts based on how many total participants there are from each tier. Each NEO had an estimated multiplier of 3.8 for compensation review periods in 2023 . Once all matches are completed for all participating employees, any outlier data, defined as data over two standard deviations from the average weighted wins for that employee, is removed, up to 10% of the data per employee. The results are aggregated into a ranked list sorted by the weighted number of wins each employee had. Each employee is placed on an asymptotic curve according to their weighted number of wins such that if an employee had the exact same number of weighted wins during the last compensation review cycle they would receive a raise equal to the inflation rate.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output of the compensation algorithm is used to produce a target compensation number for each employee, including each NEO. Unless an employee has changed roles at the company during the compensation review period, an employee’s target compensation is never adjusted down. The highest tier of our leadership track, which includes each NEO, reviews the output to ensure it aligns with expectations and make any changes based on their knowledge of each employee. They then provide the output to the Compensation Committee for review and approval.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Compensation Committee has the authority to retain a compensation consultant, and to approve the consultant’s fees and all other terms of its engagement. During fiscal 2023, the committee retained Semler Brossy as its compensation consultant. Semler Brossy assisted the Compensation Committee by providing data with respect to compensation paid to executive officers of public companies in our industry of a similar size and scope and discussing named executive officer pay recommendations with the Compensation Committee. While we review this third-party survey information to understand competitive compensation practices and levels, we do not benchmark to a specific level when referencing this information. Further, pursuant to SEC rules, the Compensation Committee conducted a conflicts of interest assessment and determined that there is no conflict of interest resulting from the Compensation Committee’s retention of Semler Brossy.</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ELEMENTS OF COMPENSATION</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Target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described above, executive compensation is usually reassessed twice a year in conjunction with our compensation review process for all employees using the compensation algorithm, however in fiscal 2023 we only performed compensation review once. After the review in March 2023, the total compensation target of Messrs. Barrett and Schaffer and Ms. Muralidharan remained the same. The actual amount of target compensation paid to each NEO during fiscal year 2023 is set forth below in the base salary column of the Summary Compensation Table. Our Compensation Committee did not apply any discretionary adjustments to the results of the compensation algorithm for any NEO for either compensation review cycle.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require each of our NEOs to contribute at least a combined 30% of his or her target compensation to our 2021 Stock Purchase and Matching Plan and legacy equity programs, and each NEO may elect to contribute additional amounts, up to 100%, of his or her target compensation, to the 2021 Stock Purchase and Matching Plan. Under the 2021 Stock Purchase and Matching Plan, contributions are accumulated from payroll deductions over consecutive quarterly purchase periods. At the end of each purchase period, shares are purchased based on the closing trading price of our Class A common stock on the date of purchase using the accumulated contributions. We then make a matching contribution based on shares purchased and retained. For 2023, the matching rate was 5%, meaning for each share purchased and retained as of a quarterly purchase date, we issued 1/20th of a share of Class A common stock at no cost to the NEO. For 2023, Mr. Barrett, Mr. Schaffer and Ms. Muralidharan contributed 68%, 27%, 37%, respectively, of their target compensation to our equity programs, of which 0%, 6% and 0% was contributed to the 2021 Stock Purchase and Matching Plan. See “Equity-Based Compensation” below for a description of the matching shares issued to each NEO.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3"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actual amount of target compensation paid to each NEO during fiscal year 2023, including amounts contributed by the NEO to the 2021 Stock Purchase and Matching Plan, is set forth below in the Summary Compensation Table under the column titled “Base Salary.”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While no discretion was applied during 2023, our Compensation Committee may adjust base salaries from time to time outside of the compensation review cycle and compensation algorithm described above in their discretion. </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Bonuses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do not maintain a performance-based bonus program. However, our board of directors and Compensation Committee have the authority to provide additional discretionary bonuses to our NEOs whenever it determines it is necessary or appropriate to incentivize them or reward them for past performance.</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 xml:space="preserve">Equity-based Compensation </w:t>
      </w:r>
    </w:p>
    <w:p>
      <w:pPr>
        <w:pStyle w:val="TextBody"/>
        <w:bidi w:val="0"/>
        <w:spacing w:lineRule="auto" w:line="288" w:before="0" w:after="160"/>
        <w:jc w:val="left"/>
        <w:rPr/>
      </w:pPr>
      <w:r>
        <w:rPr>
          <w:rFonts w:ascii="Expensify Neue;sans-serif" w:hAnsi="Expensify Neue;sans-serif"/>
          <w:b w:val="false"/>
          <w:color w:val="000000"/>
          <w:sz w:val="20"/>
        </w:rPr>
        <w:t>The principal form of equity compensation for our NEOs in 2023 was through our 2021 Stock Purchase and Matching Plan, in which all of our employees and service providers are eligible to participate. Under the 2021 Stock Purchase and Matching Plan, our employees, including our NEOs, can purchase shares of our Class A common stock using accumulated payroll deductions over quarterly purchase periods. The purchase price for shares of our Class A common stock is equal to the closing trading price of our Class A common stock on the date of purchase. We match a portion of shares purchased or otherwise awarded under the 2021 Stock Purchase and Matching Plan by issuing fully vested shares of our Class A common stock on the date of purchase. In 2023, the matching rate was 1/20</w:t>
      </w:r>
      <w:r>
        <w:rPr>
          <w:rFonts w:ascii="Expensify Neue;sans-serif" w:hAnsi="Expensify Neue;sans-serif"/>
          <w:b w:val="false"/>
          <w:color w:val="000000"/>
          <w:sz w:val="13"/>
        </w:rPr>
        <w:t>th</w:t>
      </w:r>
      <w:r>
        <w:rPr>
          <w:color w:val="000000"/>
        </w:rPr>
        <w:t xml:space="preserve"> </w:t>
      </w:r>
      <w:r>
        <w:rPr>
          <w:rFonts w:ascii="Expensify Neue;sans-serif" w:hAnsi="Expensify Neue;sans-serif"/>
          <w:b w:val="false"/>
          <w:color w:val="000000"/>
          <w:sz w:val="20"/>
        </w:rPr>
        <w:t>per share purchased and retained under the 2021 Stock Purchase and Matching Plan. Our NEOs purchased the following shares and received the following matching shares during 2023:</w:t>
      </w:r>
    </w:p>
    <w:tbl>
      <w:tblPr>
        <w:tblW w:w="10205" w:type="dxa"/>
        <w:jc w:val="left"/>
        <w:tblInd w:w="0" w:type="dxa"/>
        <w:tblLayout w:type="fixed"/>
        <w:tblCellMar>
          <w:top w:w="28" w:type="dxa"/>
          <w:left w:w="28" w:type="dxa"/>
          <w:bottom w:w="28" w:type="dxa"/>
          <w:right w:w="28" w:type="dxa"/>
        </w:tblCellMar>
      </w:tblPr>
      <w:tblGrid>
        <w:gridCol w:w="542"/>
        <w:gridCol w:w="477"/>
        <w:gridCol w:w="416"/>
        <w:gridCol w:w="109"/>
        <w:gridCol w:w="109"/>
        <w:gridCol w:w="109"/>
        <w:gridCol w:w="322"/>
        <w:gridCol w:w="1354"/>
        <w:gridCol w:w="157"/>
        <w:gridCol w:w="109"/>
        <w:gridCol w:w="109"/>
        <w:gridCol w:w="109"/>
        <w:gridCol w:w="549"/>
        <w:gridCol w:w="549"/>
        <w:gridCol w:w="550"/>
        <w:gridCol w:w="109"/>
        <w:gridCol w:w="109"/>
        <w:gridCol w:w="109"/>
        <w:gridCol w:w="708"/>
        <w:gridCol w:w="708"/>
        <w:gridCol w:w="709"/>
        <w:gridCol w:w="109"/>
        <w:gridCol w:w="109"/>
        <w:gridCol w:w="109"/>
        <w:gridCol w:w="346"/>
        <w:gridCol w:w="1266"/>
        <w:gridCol w:w="24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Payroll Deductions Applied Towards the Purchase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 of our Class A Common Stock 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Fully-Vested Shares of our Class A Common Stock Issued as Matching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Value of Shares issued as Matching Shares as of the Date of Issuance</w:t>
            </w:r>
            <w:r>
              <w:rPr>
                <w:rFonts w:ascii="Expensify Neue;sans-serif" w:hAnsi="Expensify Neue;sans-serif"/>
                <w:b/>
                <w:color w:val="000000"/>
                <w:sz w:val="13"/>
              </w:rPr>
              <w:t>(1)</w:t>
            </w:r>
          </w:p>
        </w:tc>
      </w:tr>
      <w:tr>
        <w:trPr/>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185,928 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77,094 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Anu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12,794 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(1)Value reported based on the closing trading price of our Class A common stock as of the date the matching shares were issued.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made certain discretionary grants of shares under the 2021 Stock Purchase and Matching Plan to employees including our NEOs. These shares are eligible for matching at the same matching rate as other shares awarded or purchase under the 2021 Stock Purchase and Matching Plan. These grants were based on various factors and varied in size. Our NEOs were granted the following discretionary shares during 2023:</w:t>
      </w:r>
    </w:p>
    <w:tbl>
      <w:tblPr>
        <w:tblW w:w="10205" w:type="dxa"/>
        <w:jc w:val="left"/>
        <w:tblInd w:w="0" w:type="dxa"/>
        <w:tblLayout w:type="fixed"/>
        <w:tblCellMar>
          <w:top w:w="28" w:type="dxa"/>
          <w:left w:w="28" w:type="dxa"/>
          <w:bottom w:w="28" w:type="dxa"/>
          <w:right w:w="28" w:type="dxa"/>
        </w:tblCellMar>
      </w:tblPr>
      <w:tblGrid>
        <w:gridCol w:w="573"/>
        <w:gridCol w:w="505"/>
        <w:gridCol w:w="461"/>
        <w:gridCol w:w="109"/>
        <w:gridCol w:w="109"/>
        <w:gridCol w:w="109"/>
        <w:gridCol w:w="1359"/>
        <w:gridCol w:w="1359"/>
        <w:gridCol w:w="1361"/>
        <w:gridCol w:w="109"/>
        <w:gridCol w:w="109"/>
        <w:gridCol w:w="109"/>
        <w:gridCol w:w="667"/>
        <w:gridCol w:w="2802"/>
        <w:gridCol w:w="464"/>
      </w:tblGrid>
      <w:tr>
        <w:trPr/>
        <w:tc>
          <w:tcPr>
            <w:tcW w:w="57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Fully-Vested Shares of our Class A Common Stock Issued as Discretionary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Value of Shares issued as Discretionary Shares as of the Date of Issuance</w:t>
            </w:r>
            <w:r>
              <w:rPr>
                <w:rFonts w:ascii="Expensify Neue;sans-serif" w:hAnsi="Expensify Neue;sans-serif"/>
                <w:b/>
                <w:color w:val="000000"/>
                <w:sz w:val="13"/>
              </w:rPr>
              <w:t>(1)</w:t>
            </w:r>
          </w:p>
        </w:tc>
      </w:tr>
      <w:tr>
        <w:trPr/>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89,457 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81,392 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Anu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207,560 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(1)Value reported based on the closing trading price of our Class A common stock as of the date the discretionary shares were issued.</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4"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 xml:space="preserve">OTHER ELEMENTS OF COMPENSATION </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Retirement Savings and Health and Welfare Benefits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currently maintains a 401(k) retirement savings plan for our employees, including our NEOs, who satisfy certain eligibility requirements. Our NEOs are eligible to participate in the 401(k) plan on the same terms as other full-time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 </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Perquisites and Other Personal Benefits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compensation committee from time to time may provide additional perquisites and personal benefits to our NEOs when it determines that it is necessary or advisable to fairly compensate or incentivize our NEOs. No perquisites or other personal benefits were provided to any of our NEOs in 2023.</w:t>
      </w:r>
    </w:p>
    <w:p>
      <w:pPr>
        <w:pStyle w:val="TextBody"/>
        <w:bidi w:val="0"/>
        <w:spacing w:lineRule="auto" w:line="288" w:before="0" w:after="160"/>
        <w:jc w:val="left"/>
        <w:rPr/>
      </w:pPr>
      <w:r>
        <w:rPr>
          <w:rFonts w:ascii="Expensify New Kansas Medium;sans-serif" w:hAnsi="Expensify New Kansas Medium;sans-serif"/>
          <w:b/>
          <w:i/>
          <w:color w:val="000000"/>
          <w:sz w:val="20"/>
        </w:rPr>
        <w:t>Section 162(m).</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Section 162(m) of the Internal Revenue Code disallows a tax deduction to public companies for compensation in excess of $1 million paid to “covered employees”, which generally includes all NEOs. While the Compensation Committee may take the deductibility of compensation into account when making compensation decisions, the Compensation Committee will award compensation that it determines to be consistent with the goals of our executive compensation program even if such compensation is not deductible by us.</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Policy Prohibiting Speculative Transactions and Hedging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accordance with our insider trading policy, which is reviewed by our Executive Committee annually, we do not permit any officer, director or employee, or their respective family members, to directly or indirectly participate in certain trading activities related to our common stock that are considered aggressive or speculative in nature, including short sales, publicly-traded options, hedging transactions, and margin purchases.</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Limited Pledging Policy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limited circumstances and in accordance with pre-approved guidelines, employees of the company, including NEOs, may pledge up to 25% of their Expensify stock holdings as collateral for a loan, excluding margin loans.</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Clawback Policy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Effective as of November 1, 2023, we adopted the Policy for Recovery of Erroneously Awarded Compensation (the “Clawback Policy”), which is intended to comply with the Nasdaq listing standards adopted pursuant to Rule 10D-1 under the Exchange Act. Under the Clawback Policy, if the Company is required to prepare an accounting restatement due to any material noncompliance with financial reporting requirements under applicable securities laws, we will be required to recover from current and former NEOs any incentive-based compensation that was erroneously paid or provided to the NEOs during the three years preceding the date that the Company is required to prepare such restatement, unless the Audit Committee determines that recovery would be impracticable. Incentive-based compensation includes compensation that is granted, earned, or vested based wholly or in part on any financial reporting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recovery is triggered under the Clawback Policy due to an accounting restatement, we are required to recover the excess of the amount of incentive-based compensation actually received by the NEO over the amount of incentive-based compensation that he or she would have received had payment been determined based on the restated financial measure.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5"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Compensation Committee Report</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Compensation Committee has reviewed and discussed the foregoing Compensation Discussion and Analysis with the Company’s management. Based on this review and discussion with management, the Compensation Committee recommended to the Board of Directors that the Compensation Discussion and Analysis be included in this Proxy Statement and incorporated by reference into the Company’s Annual Report on Form 10-K for the year ended December 31, 2023, filed by us with the SEC on February 26, 2024.</w:t>
      </w:r>
    </w:p>
    <w:tbl>
      <w:tblPr>
        <w:tblW w:w="5723"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109"/>
        <w:gridCol w:w="109"/>
        <w:gridCol w:w="109"/>
        <w:gridCol w:w="470"/>
        <w:gridCol w:w="470"/>
        <w:gridCol w:w="470"/>
        <w:gridCol w:w="470"/>
        <w:gridCol w:w="470"/>
        <w:gridCol w:w="665"/>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Compensation Committee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David Barrett (Chairperson)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Anu Muralidharan</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Ryan Schaffer</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Daniel Vidal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Jason Mills</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April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36"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2023 SUMMARY COMPENSATION TABLE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certain information with respect to the compensation for the years ended December 31, 2021, 2022 and 2023 earned by, awarded to, or paid to our NEOs.</w:t>
      </w:r>
    </w:p>
    <w:tbl>
      <w:tblPr>
        <w:tblW w:w="11691" w:type="dxa"/>
        <w:jc w:val="left"/>
        <w:tblInd w:w="0" w:type="dxa"/>
        <w:tblLayout w:type="fixed"/>
        <w:tblCellMar>
          <w:top w:w="28" w:type="dxa"/>
          <w:left w:w="28" w:type="dxa"/>
          <w:bottom w:w="28" w:type="dxa"/>
          <w:right w:w="28" w:type="dxa"/>
        </w:tblCellMar>
      </w:tblPr>
      <w:tblGrid>
        <w:gridCol w:w="627"/>
        <w:gridCol w:w="301"/>
        <w:gridCol w:w="303"/>
        <w:gridCol w:w="109"/>
        <w:gridCol w:w="109"/>
        <w:gridCol w:w="109"/>
        <w:gridCol w:w="174"/>
        <w:gridCol w:w="174"/>
        <w:gridCol w:w="178"/>
        <w:gridCol w:w="109"/>
        <w:gridCol w:w="109"/>
        <w:gridCol w:w="109"/>
        <w:gridCol w:w="488"/>
        <w:gridCol w:w="488"/>
        <w:gridCol w:w="226"/>
        <w:gridCol w:w="109"/>
        <w:gridCol w:w="109"/>
        <w:gridCol w:w="109"/>
        <w:gridCol w:w="412"/>
        <w:gridCol w:w="414"/>
        <w:gridCol w:w="231"/>
        <w:gridCol w:w="109"/>
        <w:gridCol w:w="109"/>
        <w:gridCol w:w="109"/>
        <w:gridCol w:w="600"/>
        <w:gridCol w:w="481"/>
        <w:gridCol w:w="266"/>
        <w:gridCol w:w="109"/>
        <w:gridCol w:w="109"/>
        <w:gridCol w:w="109"/>
        <w:gridCol w:w="514"/>
        <w:gridCol w:w="312"/>
        <w:gridCol w:w="266"/>
        <w:gridCol w:w="109"/>
        <w:gridCol w:w="109"/>
        <w:gridCol w:w="109"/>
        <w:gridCol w:w="496"/>
        <w:gridCol w:w="480"/>
        <w:gridCol w:w="481"/>
        <w:gridCol w:w="109"/>
        <w:gridCol w:w="109"/>
        <w:gridCol w:w="109"/>
        <w:gridCol w:w="540"/>
        <w:gridCol w:w="541"/>
        <w:gridCol w:w="409"/>
      </w:tblGrid>
      <w:tr>
        <w:trPr/>
        <w:tc>
          <w:tcPr>
            <w:tcW w:w="6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 and Principal Position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Salary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 xml:space="preserve">Bonus </w:t>
            </w:r>
          </w:p>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Stock Awards</w:t>
            </w:r>
          </w:p>
          <w:p>
            <w:pPr>
              <w:pStyle w:val="TableContents"/>
              <w:bidi w:val="0"/>
              <w:spacing w:lineRule="auto" w:line="240" w:before="0" w:after="0"/>
              <w:jc w:val="center"/>
              <w:rPr/>
            </w:pPr>
            <w:r>
              <w:rPr>
                <w:rFonts w:ascii="Expensify Neue;sans-serif" w:hAnsi="Expensify Neue;sans-serif"/>
                <w:b/>
                <w:color w:val="000000"/>
                <w:sz w:val="16"/>
              </w:rPr>
              <w:t>($)</w:t>
            </w:r>
            <w:r>
              <w:rPr>
                <w:rFonts w:ascii="Expensify Neue;sans-serif" w:hAnsi="Expensify Neue;sans-serif"/>
                <w:b/>
                <w:color w:val="000000"/>
                <w:sz w:val="10"/>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 xml:space="preserve">Option Awards </w:t>
            </w:r>
          </w:p>
          <w:p>
            <w:pPr>
              <w:pStyle w:val="TableContents"/>
              <w:bidi w:val="0"/>
              <w:spacing w:lineRule="auto" w:line="240" w:before="0" w:after="0"/>
              <w:jc w:val="center"/>
              <w:rPr/>
            </w:pPr>
            <w:r>
              <w:rPr>
                <w:rFonts w:ascii="Expensify Neue;sans-serif" w:hAnsi="Expensify Neue;sans-serif"/>
                <w:b/>
                <w:color w:val="000000"/>
                <w:sz w:val="16"/>
              </w:rPr>
              <w:t>($)</w:t>
            </w:r>
            <w:r>
              <w:rPr>
                <w:rFonts w:ascii="Expensify Neue;sans-serif" w:hAnsi="Expensify Neue;sans-serif"/>
                <w:b/>
                <w:color w:val="000000"/>
                <w:sz w:val="10"/>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 xml:space="preserve">All Other Compensation </w:t>
            </w:r>
          </w:p>
          <w:p>
            <w:pPr>
              <w:pStyle w:val="TableContents"/>
              <w:bidi w:val="0"/>
              <w:spacing w:lineRule="auto" w:line="240" w:before="0" w:after="0"/>
              <w:jc w:val="center"/>
              <w:rPr/>
            </w:pPr>
            <w:r>
              <w:rPr>
                <w:rFonts w:ascii="Expensify Neue;sans-serif" w:hAnsi="Expensify Neue;sans-serif"/>
                <w:b/>
                <w:color w:val="000000"/>
                <w:sz w:val="16"/>
              </w:rPr>
              <w:t>($)</w:t>
            </w:r>
            <w:r>
              <w:rPr>
                <w:rFonts w:ascii="Expensify Neue;sans-serif" w:hAnsi="Expensify Neue;sans-serif"/>
                <w:b/>
                <w:color w:val="000000"/>
                <w:sz w:val="10"/>
              </w:rPr>
              <w:t>(2)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w:t>
              <w:br/>
              <w:t>($)</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1,670,564 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166,550 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1,837,114 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16"/>
              </w:rPr>
            </w:pPr>
            <w:r>
              <w:rPr>
                <w:rFonts w:ascii="Expensify Neue;sans-serif" w:hAnsi="Expensify Neue;sans-serif"/>
                <w:b w:val="false"/>
                <w:i/>
                <w:color w:val="000000"/>
                <w:sz w:val="16"/>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1,606,327 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48,565 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1,654,892 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1,056,728 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18,910,825 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19,967,553 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1,035,779 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89,736 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7,910 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1,133,425 </w:t>
            </w:r>
          </w:p>
        </w:tc>
        <w:tc>
          <w:tcPr>
            <w:tcW w:w="409"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16"/>
              </w:rPr>
            </w:pPr>
            <w:r>
              <w:rPr>
                <w:rFonts w:ascii="Expensify Neue;sans-serif" w:hAnsi="Expensify Neue;sans-serif"/>
                <w:b w:val="false"/>
                <w:i/>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854,245 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10,505 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1,755 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8,335 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874,840 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725,294 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566,516 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5,128,747 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174,806 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2,957,368 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9,552,731 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Anu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710,601 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220,354 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12,556 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943,511 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16"/>
              </w:rPr>
            </w:pPr>
            <w:r>
              <w:rPr>
                <w:rFonts w:ascii="Expensify Neue;sans-serif" w:hAnsi="Expensify Neue;sans-serif"/>
                <w:b w:val="false"/>
                <w:i/>
                <w:color w:val="000000"/>
                <w:sz w:val="16"/>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447,040 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13,551 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470,657 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GT America Exp;sans-serif" w:hAnsi="GT America Exp;sans-serif"/>
                <w:b w:val="false"/>
                <w:color w:val="000000"/>
                <w:sz w:val="16"/>
              </w:rPr>
            </w:pPr>
            <w:r>
              <w:rPr>
                <w:rFonts w:ascii="GT America Exp;sans-serif" w:hAnsi="GT America Exp;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163,732 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634,414 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4,142,795 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351,412 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575,109 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5,867,462 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(1)Amounts reported represent the grant date fair value of options granted during fiscal years 2023, 2022 and 2021 and the incremental fair value of options repriced during fiscal year 2021, in each case, as calculated in accordance with ASC Topic 718. Assumptions used in the calculations of these amounts are included in Note 9 of the audited consolidated financial statements for the fiscal year ended December 31, 2023 included in our Annual Report on Form 10-K filed with the SEC on February 26, 2024. Due to an inadvertent error, the amounts reported for 2021 in our 2022 Proxy Statement reflected amounts expensed during 2021 and have been corrected in this 2023 Proxy Statement to reflect grant date fair value.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(2)Amounts reported represent employer matching contributions under our 401(k) Plan.</w:t>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37"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GRANTS OF PLAN-BASED AWARDS TABLE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provides supplemental information relating to grants of plan-based awards made during fiscal 2023 to help explain information provided above in our Summary Compensation Table. This table presents information regarding all grants of plan-based awards occurring during fiscal 2023.</w:t>
      </w:r>
    </w:p>
    <w:tbl>
      <w:tblPr>
        <w:tblW w:w="10205" w:type="dxa"/>
        <w:jc w:val="left"/>
        <w:tblInd w:w="0" w:type="dxa"/>
        <w:tblLayout w:type="fixed"/>
        <w:tblCellMar>
          <w:top w:w="28" w:type="dxa"/>
          <w:left w:w="28" w:type="dxa"/>
          <w:bottom w:w="28" w:type="dxa"/>
          <w:right w:w="28" w:type="dxa"/>
        </w:tblCellMar>
      </w:tblPr>
      <w:tblGrid>
        <w:gridCol w:w="587"/>
        <w:gridCol w:w="517"/>
        <w:gridCol w:w="482"/>
        <w:gridCol w:w="109"/>
        <w:gridCol w:w="109"/>
        <w:gridCol w:w="109"/>
        <w:gridCol w:w="338"/>
        <w:gridCol w:w="338"/>
        <w:gridCol w:w="339"/>
        <w:gridCol w:w="109"/>
        <w:gridCol w:w="109"/>
        <w:gridCol w:w="109"/>
        <w:gridCol w:w="1179"/>
        <w:gridCol w:w="1179"/>
        <w:gridCol w:w="1183"/>
        <w:gridCol w:w="109"/>
        <w:gridCol w:w="109"/>
        <w:gridCol w:w="109"/>
        <w:gridCol w:w="899"/>
        <w:gridCol w:w="899"/>
        <w:gridCol w:w="1284"/>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Grant Date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All Other Stock Awards: Number of Shares of Stock or Units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Grant Date Fair Value of Stock and Option Awards </w:t>
            </w:r>
          </w:p>
          <w:p>
            <w:pPr>
              <w:pStyle w:val="TableContents"/>
              <w:bidi w:val="0"/>
              <w:spacing w:lineRule="auto" w:line="240" w:before="0" w:after="0"/>
              <w:jc w:val="center"/>
              <w:rPr/>
            </w:pPr>
            <w:r>
              <w:rPr>
                <w:rFonts w:ascii="Expensify Neue;sans-serif" w:hAnsi="Expensify Neue;sans-serif"/>
                <w:b/>
                <w:color w:val="000000"/>
                <w:sz w:val="20"/>
              </w:rPr>
              <w:t>($)</w:t>
            </w:r>
            <w:r>
              <w:rPr>
                <w:rFonts w:ascii="Expensify Neue;sans-serif" w:hAnsi="Expensify Neue;sans-serif"/>
                <w:b/>
                <w:color w:val="000000"/>
                <w:sz w:val="13"/>
              </w:rPr>
              <w:t>(3)</w:t>
            </w:r>
          </w:p>
        </w:tc>
      </w:tr>
      <w:tr>
        <w:trPr/>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03/15/2023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27,014</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06/15/2023</w:t>
            </w:r>
            <w:r>
              <w:rPr>
                <w:rFonts w:ascii="Expensify Neue;sans-serif" w:hAnsi="Expensify Neue;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26,398</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07/10/2023</w:t>
            </w:r>
            <w:r>
              <w:rPr>
                <w:rFonts w:ascii="Expensify Neue;sans-serif" w:hAnsi="Expensify Neue;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18,663</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09/12/2023</w:t>
            </w:r>
            <w:r>
              <w:rPr>
                <w:rFonts w:ascii="Expensify Neue;sans-serif" w:hAnsi="Expensify Neue;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22,722</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13,598</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11/20/2023</w:t>
            </w:r>
            <w:r>
              <w:rPr>
                <w:rFonts w:ascii="Expensify Neue;sans-serif" w:hAnsi="Expensify Neue;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48,072</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12/15/2023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10,084</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03/15/2023</w:t>
            </w:r>
            <w:r>
              <w:rPr>
                <w:rFonts w:ascii="Expensify Neue;sans-serif" w:hAnsi="Expensify Neue;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1,842</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06/15/2023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2,438</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07/10/2023</w:t>
            </w:r>
            <w:r>
              <w:rPr>
                <w:rFonts w:ascii="Expensify Neue;sans-serif" w:hAnsi="Expensify Neue;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17,910</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09/12/2023</w:t>
            </w:r>
            <w:r>
              <w:rPr>
                <w:rFonts w:ascii="Expensify Neue;sans-serif" w:hAnsi="Expensify Neue;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21,807</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09/15/2023</w:t>
            </w:r>
            <w:r>
              <w:rPr>
                <w:rFonts w:ascii="Expensify Neue;sans-serif" w:hAnsi="Expensify Neue;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1,855</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11/20/2023</w:t>
            </w:r>
            <w:r>
              <w:rPr>
                <w:rFonts w:ascii="Expensify Neue;sans-serif" w:hAnsi="Expensify Neue;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41,675</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12/15/2023</w:t>
            </w:r>
            <w:r>
              <w:rPr>
                <w:rFonts w:ascii="Expensify Neue;sans-serif" w:hAnsi="Expensify Neue;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2,209</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Anu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03/15/2023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3,511</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06/15/2023</w:t>
            </w:r>
            <w:r>
              <w:rPr>
                <w:rFonts w:ascii="Expensify Neue;sans-serif" w:hAnsi="Expensify Neue;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3,403</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07/10/2023</w:t>
            </w:r>
            <w:r>
              <w:rPr>
                <w:rFonts w:ascii="Expensify Neue;sans-serif" w:hAnsi="Expensify Neue;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41,857</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09/12/2023</w:t>
            </w:r>
            <w:r>
              <w:rPr>
                <w:rFonts w:ascii="Expensify Neue;sans-serif" w:hAnsi="Expensify Neue;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50,956</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09/15/2023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2,630</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11/20/2023</w:t>
            </w:r>
            <w:r>
              <w:rPr>
                <w:rFonts w:ascii="Expensify Neue;sans-serif" w:hAnsi="Expensify Neue;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114,747</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12/15/2023</w:t>
            </w:r>
            <w:r>
              <w:rPr>
                <w:rFonts w:ascii="Expensify Neue;sans-serif" w:hAnsi="Expensify Neue;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3,250</w:t>
            </w:r>
          </w:p>
        </w:tc>
      </w:tr>
      <w:tr>
        <w:trPr/>
        <w:tc>
          <w:tcPr>
            <w:tcW w:w="15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(1)Constitute matching shares issued under our 2021 Stock Purchase and Matching Plan, which were fully vested on the date of issuance.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(2)Constitute discretionary shares awarded under our 2021 Stock Purchase and Matching Plan, which were fully vested on the date of issuance.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(3)Amounts reflect the grant-date fair value in accordance with ASC Topic 718. We provide information regarding the assumptions used to calculate these values in Note 9 to the consolidated financial statements included in in our Annual Report on Form 10-K for the year ended December 31, 2023 filed with the SEC on February 26, 2024.</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38"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OUTSTANDING EQUITY AWARDS AS AT 2023 FISCAL YEAR END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lists all outstanding equity awards held by our NEOs as of December 31, 2023.</w:t>
      </w:r>
    </w:p>
    <w:tbl>
      <w:tblPr>
        <w:tblW w:w="10232" w:type="dxa"/>
        <w:jc w:val="left"/>
        <w:tblInd w:w="0" w:type="dxa"/>
        <w:tblLayout w:type="fixed"/>
        <w:tblCellMar>
          <w:top w:w="28" w:type="dxa"/>
          <w:left w:w="28" w:type="dxa"/>
          <w:bottom w:w="28" w:type="dxa"/>
          <w:right w:w="28" w:type="dxa"/>
        </w:tblCellMar>
      </w:tblPr>
      <w:tblGrid>
        <w:gridCol w:w="471"/>
        <w:gridCol w:w="414"/>
        <w:gridCol w:w="346"/>
        <w:gridCol w:w="109"/>
        <w:gridCol w:w="109"/>
        <w:gridCol w:w="109"/>
        <w:gridCol w:w="420"/>
        <w:gridCol w:w="420"/>
        <w:gridCol w:w="421"/>
        <w:gridCol w:w="109"/>
        <w:gridCol w:w="109"/>
        <w:gridCol w:w="109"/>
        <w:gridCol w:w="330"/>
        <w:gridCol w:w="330"/>
        <w:gridCol w:w="331"/>
        <w:gridCol w:w="109"/>
        <w:gridCol w:w="109"/>
        <w:gridCol w:w="109"/>
        <w:gridCol w:w="375"/>
        <w:gridCol w:w="375"/>
        <w:gridCol w:w="376"/>
        <w:gridCol w:w="109"/>
        <w:gridCol w:w="109"/>
        <w:gridCol w:w="109"/>
        <w:gridCol w:w="240"/>
        <w:gridCol w:w="240"/>
        <w:gridCol w:w="241"/>
        <w:gridCol w:w="109"/>
        <w:gridCol w:w="109"/>
        <w:gridCol w:w="109"/>
        <w:gridCol w:w="285"/>
        <w:gridCol w:w="285"/>
        <w:gridCol w:w="286"/>
        <w:gridCol w:w="109"/>
        <w:gridCol w:w="109"/>
        <w:gridCol w:w="109"/>
        <w:gridCol w:w="320"/>
        <w:gridCol w:w="230"/>
        <w:gridCol w:w="231"/>
        <w:gridCol w:w="109"/>
        <w:gridCol w:w="109"/>
        <w:gridCol w:w="109"/>
        <w:gridCol w:w="285"/>
        <w:gridCol w:w="285"/>
        <w:gridCol w:w="40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4"/>
              </w:rPr>
            </w:pPr>
            <w:r>
              <w:rPr>
                <w:rFonts w:ascii="Expensify Neue;sans-serif" w:hAnsi="Expensify Neue;sans-serif"/>
                <w:b/>
                <w:color w:val="000000"/>
                <w:sz w:val="14"/>
              </w:rPr>
              <w:t>Option awards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4"/>
              </w:rPr>
            </w:pPr>
            <w:r>
              <w:rPr>
                <w:rFonts w:ascii="Expensify Neue;sans-serif" w:hAnsi="Expensify Neue;sans-serif"/>
                <w:b/>
                <w:color w:val="000000"/>
                <w:sz w:val="14"/>
              </w:rPr>
              <w:t>Stock awards</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4"/>
              </w:rPr>
            </w:pPr>
            <w:r>
              <w:rPr>
                <w:rFonts w:ascii="Expensify Neue;sans-serif" w:hAnsi="Expensify Neue;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14"/>
              </w:rPr>
              <w:t xml:space="preserve">Vesting commencement date </w:t>
            </w:r>
            <w:r>
              <w:rPr>
                <w:rFonts w:ascii="Expensify Neue;sans-serif" w:hAnsi="Expensify Neue;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Number of securities underlying unexercised options 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Number of securities underlying unexercised options 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 xml:space="preserve">Option exercise price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Number</w:t>
              <w:br/>
              <w:t>of shares</w:t>
              <w:br/>
              <w:t>or units</w:t>
              <w:br/>
              <w:t>of stock</w:t>
              <w:br/>
              <w:t>that have</w:t>
              <w:br/>
              <w:t>not</w:t>
              <w:br/>
              <w:t xml:space="preserve">vested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Market</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value of</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shares</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of units</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of stock</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that</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have</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not</w:t>
            </w:r>
          </w:p>
          <w:p>
            <w:pPr>
              <w:pStyle w:val="TableContents"/>
              <w:bidi w:val="0"/>
              <w:spacing w:lineRule="auto" w:line="240" w:before="0" w:after="0"/>
              <w:jc w:val="center"/>
              <w:rPr>
                <w:rFonts w:ascii="Expensify Neue;sans-serif" w:hAnsi="Expensify Neue;sans-serif"/>
                <w:b/>
                <w:color w:val="000000"/>
                <w:sz w:val="14"/>
              </w:rPr>
            </w:pPr>
            <w:r>
              <w:rPr>
                <w:rFonts w:ascii="Expensify Neue;sans-serif" w:hAnsi="Expensify Neue;sans-serif"/>
                <w:b/>
                <w:color w:val="000000"/>
                <w:sz w:val="14"/>
              </w:rPr>
              <w:t>vested</w:t>
            </w:r>
          </w:p>
          <w:p>
            <w:pPr>
              <w:pStyle w:val="TableContents"/>
              <w:bidi w:val="0"/>
              <w:spacing w:lineRule="auto" w:line="240" w:before="0" w:after="0"/>
              <w:jc w:val="center"/>
              <w:rPr/>
            </w:pPr>
            <w:r>
              <w:rPr>
                <w:rFonts w:ascii="Expensify Neue;sans-serif" w:hAnsi="Expensify Neue;sans-serif"/>
                <w:b/>
                <w:color w:val="000000"/>
                <w:sz w:val="14"/>
              </w:rPr>
              <w:t>($)</w:t>
            </w:r>
            <w:r>
              <w:rPr>
                <w:rFonts w:ascii="Expensify Neue;sans-serif" w:hAnsi="Expensify Neue;sans-serif"/>
                <w:b/>
                <w:color w:val="000000"/>
                <w:sz w:val="9"/>
              </w:rPr>
              <w:t>(2)</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10/30/2014</w:t>
            </w:r>
            <w:r>
              <w:rPr>
                <w:rFonts w:ascii="Expensify Neue;sans-serif" w:hAnsi="Expensify Neue;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1,585,640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11/24/2024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4/12/2019</w:t>
            </w:r>
            <w:r>
              <w:rPr>
                <w:rFonts w:ascii="Expensify Neue;sans-serif" w:hAnsi="Expensify Neue;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1,302,720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3/1/2020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6/21/2030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9/15/2021</w:t>
            </w:r>
            <w:r>
              <w:rPr>
                <w:rFonts w:ascii="Expensify Neue;sans-serif" w:hAnsi="Expensify Neue;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665,304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1,643,301</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1/1/2016</w:t>
            </w:r>
            <w:r>
              <w:rPr>
                <w:rFonts w:ascii="Expensify Neue;sans-serif" w:hAnsi="Expensify Neue;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10/30/2018</w:t>
            </w:r>
            <w:r>
              <w:rPr>
                <w:rFonts w:ascii="Expensify Neue;sans-serif" w:hAnsi="Expensify Neue;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10,320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1/10/2029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2/1/2019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15,910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4/12/2019</w:t>
            </w:r>
            <w:r>
              <w:rPr>
                <w:rFonts w:ascii="Expensify Neue;sans-serif" w:hAnsi="Expensify Neue;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320,283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4/12/2019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9/1/2019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6/21/2030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4,540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6/21/2030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1/1/2021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9/16/2021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10/12/2031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9/15/2021</w:t>
            </w:r>
            <w:r>
              <w:rPr>
                <w:rFonts w:ascii="Expensify Neue;sans-serif" w:hAnsi="Expensify Neue;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180,434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445,672</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Anu Muralidharan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30,800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3/15/2031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9/16/2021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6"/>
              </w:rPr>
              <w:t>9/15/2021</w:t>
            </w:r>
            <w:r>
              <w:rPr>
                <w:rFonts w:ascii="Expensify Neue;sans-serif" w:hAnsi="Expensify Neue;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145,748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359,998</w:t>
            </w:r>
          </w:p>
        </w:tc>
      </w:tr>
      <w:tr>
        <w:trPr/>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(1)Except as otherwise noted, 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(2)Amounts reported were calculated by multiplying the number of RSUs outstanding as of December 31, 2023 by $2.47, the closing price of our Class A Common Stock on December 29, 2023, the last trading day in 2023.</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(3)The option is fully vested and exercisable.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(5)Each RSU constitutes the right to receive one-half of one share of the Company’s Class A common stock and one-half of one share of the Company’s LT50 common stock upon vesting. 12.5% of the RSUs in substantially equal installments on each quarterly anniversary of the vesting commencement date through the 8th anniversary of the vesting commencement date, subject to the holder continuing to provide services to the Company through the applicable vesting date.</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39"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OPTION EXERCISES AND STOCK VESTED TABLE</w:t>
      </w:r>
    </w:p>
    <w:tbl>
      <w:tblPr>
        <w:tblW w:w="10205" w:type="dxa"/>
        <w:jc w:val="left"/>
        <w:tblInd w:w="0" w:type="dxa"/>
        <w:tblLayout w:type="fixed"/>
        <w:tblCellMar>
          <w:top w:w="28" w:type="dxa"/>
          <w:left w:w="28" w:type="dxa"/>
          <w:bottom w:w="28" w:type="dxa"/>
          <w:right w:w="28" w:type="dxa"/>
        </w:tblCellMar>
      </w:tblPr>
      <w:tblGrid>
        <w:gridCol w:w="560"/>
        <w:gridCol w:w="494"/>
        <w:gridCol w:w="443"/>
        <w:gridCol w:w="109"/>
        <w:gridCol w:w="109"/>
        <w:gridCol w:w="109"/>
        <w:gridCol w:w="630"/>
        <w:gridCol w:w="630"/>
        <w:gridCol w:w="632"/>
        <w:gridCol w:w="128"/>
        <w:gridCol w:w="128"/>
        <w:gridCol w:w="128"/>
        <w:gridCol w:w="706"/>
        <w:gridCol w:w="511"/>
        <w:gridCol w:w="512"/>
        <w:gridCol w:w="109"/>
        <w:gridCol w:w="109"/>
        <w:gridCol w:w="109"/>
        <w:gridCol w:w="623"/>
        <w:gridCol w:w="623"/>
        <w:gridCol w:w="625"/>
        <w:gridCol w:w="124"/>
        <w:gridCol w:w="124"/>
        <w:gridCol w:w="124"/>
        <w:gridCol w:w="694"/>
        <w:gridCol w:w="455"/>
        <w:gridCol w:w="657"/>
      </w:tblGrid>
      <w:tr>
        <w:trPr/>
        <w:tc>
          <w:tcPr>
            <w:tcW w:w="5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Option Awards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Stock Awards</w:t>
            </w:r>
          </w:p>
        </w:tc>
      </w:tr>
      <w:tr>
        <w:trPr/>
        <w:tc>
          <w:tcPr>
            <w:tcW w:w="14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Number of Shares Acquired on Exercise </w:t>
              <w:br/>
              <w: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Value Realized on Exercise </w:t>
            </w:r>
          </w:p>
          <w:p>
            <w:pPr>
              <w:pStyle w:val="TableContents"/>
              <w:bidi w:val="0"/>
              <w:spacing w:lineRule="auto" w:line="240" w:before="0" w:after="0"/>
              <w:jc w:val="center"/>
              <w:rPr/>
            </w:pPr>
            <w:r>
              <w:rPr>
                <w:rFonts w:ascii="Expensify Neue;sans-serif" w:hAnsi="Expensify Neue;sans-serif"/>
                <w:b/>
                <w:color w:val="000000"/>
                <w:sz w:val="20"/>
              </w:rPr>
              <w:t>($)</w:t>
            </w:r>
            <w:r>
              <w:rPr>
                <w:rFonts w:ascii="Expensify Neue;sans-serif" w:hAnsi="Expensify Neue;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Number of Shares Acquired on Vesting </w:t>
              <w:b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Value Realized on Vesting </w:t>
            </w:r>
          </w:p>
          <w:p>
            <w:pPr>
              <w:pStyle w:val="TableContents"/>
              <w:bidi w:val="0"/>
              <w:spacing w:lineRule="auto" w:line="240" w:before="0" w:after="0"/>
              <w:jc w:val="center"/>
              <w:rPr/>
            </w:pPr>
            <w:r>
              <w:rPr>
                <w:rFonts w:ascii="Expensify Neue;sans-serif" w:hAnsi="Expensify Neue;sans-serif"/>
                <w:b/>
                <w:color w:val="000000"/>
                <w:sz w:val="20"/>
              </w:rPr>
              <w:t>($)</w:t>
            </w:r>
            <w:r>
              <w:rPr>
                <w:rFonts w:ascii="Expensify Neue;sans-serif" w:hAnsi="Expensify Neue;sans-serif"/>
                <w:b/>
                <w:color w:val="000000"/>
                <w:sz w:val="13"/>
              </w:rPr>
              <w:t>(2)</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182,039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816,476 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35,500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151,059 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75,421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293,140 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Anu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139,648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464,651 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(1)Amounts are calculated by multiplying the number of shares as to which the option was exercised by the market price of the shares on the exercise date, net of the exercise price. </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(2)Amounts are calculated by multiplying the number of shares underlying RSUs that vested by our closing stock price on the vesting date, or, for shares issued under our 2021 Stock Purchase and Matching Plan, the date of issuance since all such shares were fully vested on the date of issuance.</w:t>
      </w:r>
    </w:p>
    <w:p>
      <w:pPr>
        <w:pStyle w:val="TextBody"/>
        <w:bidi w:val="0"/>
        <w:spacing w:lineRule="auto" w:line="288" w:before="16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Potential Payments Upon Termination or Change in Control</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Executive Employment Agreements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Equity 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terms of our 2021 Incentive Award Plan, in the event of a change in control of the Company, if outstanding awards are not assumed or substituted then the awards will fully vest as of immediately prior to the change in control. No other equity plan or individual award agreement provides for accelerated vesting in the event of a change in control or termination of employment.</w:t>
      </w:r>
    </w:p>
    <w:p>
      <w:pPr>
        <w:pStyle w:val="TextBody"/>
        <w:bidi w:val="0"/>
        <w:spacing w:lineRule="auto" w:line="288" w:before="0" w:after="160"/>
        <w:jc w:val="left"/>
        <w:rPr>
          <w:rFonts w:ascii="Expensify New Kansas Medium;sans-serif" w:hAnsi="Expensify New Kansas Medium;sans-serif"/>
          <w:b/>
          <w:i/>
          <w:color w:val="000000"/>
          <w:sz w:val="20"/>
        </w:rPr>
      </w:pPr>
      <w:r>
        <w:rPr>
          <w:rFonts w:ascii="Expensify New Kansas Medium;sans-serif" w:hAnsi="Expensify New Kansas Medium;sans-serif"/>
          <w:b/>
          <w:i/>
          <w:color w:val="000000"/>
          <w:sz w:val="20"/>
        </w:rPr>
        <w:t xml:space="preserve">Estimated Potential Payments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 payments would have been made to any of our NEOs upon the occurrence of a termination of employment or a change in control occurring on December 31, 2023 unless an acquirer failed to assume or substitute for unvested options and restricted stock units held by our NEOs, in which case the vesting of such options and restricted stock units would accelerate in full. The value of such acceleration for Mr. Barrett, Mr. Schaffer and Ms. Muralidharan as of December 31, 2023, would be $8,880,179, $1,399,198 and $449,659, respectively, which was calculated by multiplying the number of shares underlying the options and RSUs by $2.47, the closing trading price of a share of our common stock on December 29, 2023, less any exercise price.</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CEO PAY RATIO</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accordance with applicable SEC rules, we are providing the ratio of the total annual compensation of our CEO, David Barrett, to that of our median compensated employee for fiscal 2023. Mr. Barrett’s total annual compensation for 2023, as reported in the Summary Compensation Table above, was $1,837,114. The total annual compensation of the employee identified as our median compensated employee (excluding our CEO) for 2023 was $273,459. The ratio of our CEO’s total compensation for 2023 to the total compensation of our median compensated employee was approximately 7 to 1.</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To identify our median compensated employee for purposes of this pay ratio disclosure, we first determined that on December 31, 2023, we had 138 full-time, part-time, and temporary service providers other than Mr. Barrett. We ranked the annual compensation of this employee population based on compensation reportable on IRS Form W-2 in the United States and comparable tax reporting documents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0"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other countries. For employees paid in foreign currencies we converted their annual compensation using foreign exchange rates as of December 31, 2023. After identifying the median compensated employee from this ranking, we calculated annual total compensation for such employee during fiscal 2023 using the same methodology we use to calculate the total compensation of our CEO as set forth in the Summary Compensation Table above.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pay ratio is a reasonable estimate calculated in a manner consistent with SEC rules based on our payroll and employment records and the methodology described above. The SEC rules for identifying the median compensated employee and calculating the pay ratio based on his or her annual total compensation allow companies to use a variety of methodologies, to apply certain exclusions, and to make reasonable estimates and assumptions that reflect their compensation practices. As such, the pay ratio reported by other companies may not be comparable to the pay ratio we report above, as other companies may have different employment and compensation practices and may use different methodologies, exclusions, estimates and assumptions to calculate their own pay ratios.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disclosed in this section was developed and is provided solely to comply with specific legal requirements. We do not use this information in managing our Company and the Compensation Committee does not consider this in any of its deliberations.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1"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PAY VERSUS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tbl>
      <w:tblPr>
        <w:tblW w:w="14594"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686"/>
        <w:gridCol w:w="560"/>
        <w:gridCol w:w="561"/>
        <w:gridCol w:w="109"/>
        <w:gridCol w:w="109"/>
        <w:gridCol w:w="109"/>
        <w:gridCol w:w="701"/>
        <w:gridCol w:w="560"/>
        <w:gridCol w:w="561"/>
        <w:gridCol w:w="109"/>
        <w:gridCol w:w="109"/>
        <w:gridCol w:w="109"/>
        <w:gridCol w:w="566"/>
        <w:gridCol w:w="560"/>
        <w:gridCol w:w="561"/>
        <w:gridCol w:w="109"/>
        <w:gridCol w:w="109"/>
        <w:gridCol w:w="109"/>
        <w:gridCol w:w="686"/>
        <w:gridCol w:w="560"/>
        <w:gridCol w:w="561"/>
        <w:gridCol w:w="109"/>
        <w:gridCol w:w="109"/>
        <w:gridCol w:w="109"/>
        <w:gridCol w:w="634"/>
        <w:gridCol w:w="634"/>
        <w:gridCol w:w="158"/>
        <w:gridCol w:w="150"/>
        <w:gridCol w:w="150"/>
        <w:gridCol w:w="150"/>
        <w:gridCol w:w="634"/>
        <w:gridCol w:w="634"/>
        <w:gridCol w:w="158"/>
        <w:gridCol w:w="109"/>
        <w:gridCol w:w="109"/>
        <w:gridCol w:w="109"/>
        <w:gridCol w:w="466"/>
        <w:gridCol w:w="466"/>
        <w:gridCol w:w="659"/>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Value of Initial Fixed $100 Investment Based On</w:t>
            </w:r>
            <w:r>
              <w:rPr>
                <w:rFonts w:ascii="Expensify Neue;sans-serif" w:hAnsi="Expensify Neue;sans-serif"/>
                <w:b/>
                <w:color w:val="000000"/>
                <w:sz w:val="13"/>
              </w:rPr>
              <w:t>(4)</w:t>
            </w:r>
            <w:r>
              <w:rPr>
                <w:rFonts w:ascii="Expensify Neue;sans-serif" w:hAnsi="Expensify Neue;sans-serif"/>
                <w:b/>
                <w:color w:val="000000"/>
                <w:sz w:val="2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Summary Compensation Table Total for PEO</w:t>
            </w:r>
            <w:r>
              <w:rPr>
                <w:rFonts w:ascii="Expensify Neue;sans-serif" w:hAnsi="Expensify Neue;sans-serif"/>
                <w:b/>
                <w:color w:val="000000"/>
                <w:sz w:val="13"/>
              </w:rPr>
              <w:t>(1)</w:t>
            </w:r>
            <w:r>
              <w:rPr>
                <w:color w:val="000000"/>
              </w:rPr>
              <w:t xml:space="preserve"> </w:t>
            </w:r>
          </w:p>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Compensation Actually Paid to PEO</w:t>
            </w:r>
            <w:r>
              <w:rPr>
                <w:rFonts w:ascii="Expensify Neue;sans-serif" w:hAnsi="Expensify Neue;sans-serif"/>
                <w:b/>
                <w:color w:val="000000"/>
                <w:sz w:val="13"/>
              </w:rPr>
              <w:t>(1)(2)(3)</w:t>
            </w:r>
            <w:r>
              <w:rPr>
                <w:color w:val="000000"/>
              </w:rPr>
              <w:t xml:space="preserve"> </w:t>
            </w:r>
          </w:p>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Average Summary Compensation Table Total for Non-PEO NEOs</w:t>
            </w:r>
            <w:r>
              <w:rPr>
                <w:rFonts w:ascii="Expensify Neue;sans-serif" w:hAnsi="Expensify Neue;sans-serif"/>
                <w:b/>
                <w:color w:val="000000"/>
                <w:sz w:val="13"/>
              </w:rPr>
              <w:t>(1)</w:t>
            </w:r>
          </w:p>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Average Compensation Actually Paid to Non-PEO NEOs</w:t>
            </w:r>
            <w:r>
              <w:rPr>
                <w:rFonts w:ascii="Expensify Neue;sans-serif" w:hAnsi="Expensify Neue;sans-serif"/>
                <w:b/>
                <w:color w:val="000000"/>
                <w:sz w:val="13"/>
              </w:rPr>
              <w:t>(1)(2)(3)</w:t>
            </w:r>
          </w:p>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Shareholder Return</w:t>
              <w:br/>
              <w: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Peer Group Total Shareholder Return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Net Income</w:t>
              <w:br/>
              <w:t xml:space="preserve">($ thousands) </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1,837,115 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(910,783)</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1,038,468 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284,408 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117.68 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(41,455)</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1,654,892 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(22,452,927)</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672,749 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(4,658,841)</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(27,009)</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19,967,553 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71,002,544 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7,710,097 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25,565,947 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(13,558)</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(1)Mr. Barrett was our PEO and Mr. Schaffer and Ms. Muralidharan were our Non-PEO NEOs for each of the years reported.</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738"/>
        <w:gridCol w:w="733"/>
        <w:gridCol w:w="734"/>
        <w:gridCol w:w="109"/>
        <w:gridCol w:w="109"/>
        <w:gridCol w:w="109"/>
        <w:gridCol w:w="814"/>
        <w:gridCol w:w="636"/>
        <w:gridCol w:w="638"/>
        <w:gridCol w:w="109"/>
        <w:gridCol w:w="109"/>
        <w:gridCol w:w="109"/>
        <w:gridCol w:w="863"/>
        <w:gridCol w:w="508"/>
        <w:gridCol w:w="509"/>
        <w:gridCol w:w="109"/>
        <w:gridCol w:w="109"/>
        <w:gridCol w:w="109"/>
        <w:gridCol w:w="614"/>
        <w:gridCol w:w="614"/>
        <w:gridCol w:w="880"/>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Summary Compensation Table Total for PEO</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Exclusion of Stock Awards and Option Awards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Inclusion of Equity Values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Compensation Actually Paid to PEO </w:t>
              <w:br/>
              <w:t>($)</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1,837,115 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(166,550)</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(2,581,347)</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(910,783)</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782"/>
        <w:gridCol w:w="777"/>
        <w:gridCol w:w="778"/>
        <w:gridCol w:w="109"/>
        <w:gridCol w:w="109"/>
        <w:gridCol w:w="109"/>
        <w:gridCol w:w="800"/>
        <w:gridCol w:w="614"/>
        <w:gridCol w:w="616"/>
        <w:gridCol w:w="109"/>
        <w:gridCol w:w="109"/>
        <w:gridCol w:w="109"/>
        <w:gridCol w:w="729"/>
        <w:gridCol w:w="517"/>
        <w:gridCol w:w="518"/>
        <w:gridCol w:w="109"/>
        <w:gridCol w:w="109"/>
        <w:gridCol w:w="109"/>
        <w:gridCol w:w="627"/>
        <w:gridCol w:w="627"/>
        <w:gridCol w:w="896"/>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Summary Compensation Table Average Total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Exclusion of Stock Awards and Option Awards for Non-PEO NEOs</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Inclusion of Equity Values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Compensation Actually Paid to Non-PEO NEOs </w:t>
              <w:br/>
              <w:t>($)</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1,038,468 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(155,045)</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(599,016)</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284,408 </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The amounts in the Inclusion of Equity Values in the tables above are derived from the amounts set forth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2"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tbl>
      <w:tblPr>
        <w:tblW w:w="12511"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400"/>
        <w:gridCol w:w="400"/>
        <w:gridCol w:w="401"/>
        <w:gridCol w:w="109"/>
        <w:gridCol w:w="109"/>
        <w:gridCol w:w="109"/>
        <w:gridCol w:w="761"/>
        <w:gridCol w:w="380"/>
        <w:gridCol w:w="381"/>
        <w:gridCol w:w="109"/>
        <w:gridCol w:w="109"/>
        <w:gridCol w:w="109"/>
        <w:gridCol w:w="510"/>
        <w:gridCol w:w="510"/>
        <w:gridCol w:w="511"/>
        <w:gridCol w:w="109"/>
        <w:gridCol w:w="109"/>
        <w:gridCol w:w="109"/>
        <w:gridCol w:w="581"/>
        <w:gridCol w:w="380"/>
        <w:gridCol w:w="381"/>
        <w:gridCol w:w="109"/>
        <w:gridCol w:w="109"/>
        <w:gridCol w:w="109"/>
        <w:gridCol w:w="370"/>
        <w:gridCol w:w="370"/>
        <w:gridCol w:w="371"/>
        <w:gridCol w:w="109"/>
        <w:gridCol w:w="109"/>
        <w:gridCol w:w="109"/>
        <w:gridCol w:w="405"/>
        <w:gridCol w:w="405"/>
        <w:gridCol w:w="406"/>
        <w:gridCol w:w="109"/>
        <w:gridCol w:w="109"/>
        <w:gridCol w:w="109"/>
        <w:gridCol w:w="759"/>
        <w:gridCol w:w="382"/>
        <w:gridCol w:w="54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Year-End Fair Value of Equity Awards Granted During Year That Remained Unvested as of Last Day of Year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Change in Fair Value from Last Day of Prior Year to Last Day of Year of Unvested Equity Awards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Vesting-Date Fair Value of Equity Awards Granted During Year that Vested During Year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 in Fair</w:t>
              <w:br/>
              <w:t>Value from Last</w:t>
              <w:br/>
              <w:t>Day of Prior Year</w:t>
              <w:br/>
              <w:t>to Vesting Date of</w:t>
              <w:br/>
              <w:t>Unvested Equity</w:t>
              <w:br/>
              <w:t>Awards that</w:t>
              <w:br/>
              <w:t>Vested During</w:t>
              <w:br/>
              <w:t>Year for PEO</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Fair Value at Last Day of Prior Year of Equity Awards Forfeited During Year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Value of Dividends or Other Earnings Paid on Equity Awards Not Otherwise Included for PEO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Total – Inclusion of Equity Values for PEO </w:t>
              <w:br/>
              <w:t>($)</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(1,990,272)</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77,094 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(668,169)</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(2,581,347)</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2151"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400"/>
        <w:gridCol w:w="400"/>
        <w:gridCol w:w="401"/>
        <w:gridCol w:w="109"/>
        <w:gridCol w:w="109"/>
        <w:gridCol w:w="109"/>
        <w:gridCol w:w="581"/>
        <w:gridCol w:w="380"/>
        <w:gridCol w:w="381"/>
        <w:gridCol w:w="109"/>
        <w:gridCol w:w="109"/>
        <w:gridCol w:w="109"/>
        <w:gridCol w:w="510"/>
        <w:gridCol w:w="510"/>
        <w:gridCol w:w="511"/>
        <w:gridCol w:w="109"/>
        <w:gridCol w:w="109"/>
        <w:gridCol w:w="109"/>
        <w:gridCol w:w="581"/>
        <w:gridCol w:w="380"/>
        <w:gridCol w:w="381"/>
        <w:gridCol w:w="109"/>
        <w:gridCol w:w="109"/>
        <w:gridCol w:w="109"/>
        <w:gridCol w:w="370"/>
        <w:gridCol w:w="370"/>
        <w:gridCol w:w="371"/>
        <w:gridCol w:w="109"/>
        <w:gridCol w:w="109"/>
        <w:gridCol w:w="109"/>
        <w:gridCol w:w="405"/>
        <w:gridCol w:w="405"/>
        <w:gridCol w:w="406"/>
        <w:gridCol w:w="109"/>
        <w:gridCol w:w="109"/>
        <w:gridCol w:w="109"/>
        <w:gridCol w:w="579"/>
        <w:gridCol w:w="382"/>
        <w:gridCol w:w="54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Year-End Fair Value of Equity Awards Granted During Year That Remained Unvested as of Last Day of Year for Non-PEO NEOs</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Change in Fair Value from Last Day of Prior Year to Last Day of Year of Unvested Equity Awards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Vesting-Date Fair Value of Equity Awards Granted During Year that Vested During Year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 in Fair</w:t>
              <w:br/>
              <w:t>Value from Last</w:t>
              <w:br/>
              <w:t>Day of Prior Year</w:t>
              <w:br/>
              <w:t>to Vesting Date of</w:t>
              <w:br/>
              <w:t>Unvested Equity</w:t>
              <w:br/>
              <w:t>Awards that</w:t>
              <w:br/>
              <w:t>Vested During</w:t>
              <w:br/>
              <w:t>Year for Non-PEO NEOs</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Fair Value at Last Day of Prior Year of Equity Awards Forfeited During Year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Value of Dividends or Other Earnings Paid on Equity Awards Not Otherwise Included for Non-PEO NEOs </w:t>
              <w:b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Total – Inclusion of Equity Values for Non-PEO NEOs </w:t>
              <w:br/>
              <w:t>($)</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(428,850)</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10,569 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(180,734)</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(599,016)</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Peer Group TSR set forth in this table utilizes S&amp;P 500 Information Technology Index, which we also utilize in the stock performance graph required by Item 201(e) of Regulation S-K included in our Annual Report for the year ended December 31, 2023. The comparison assumes $100 was invested for the period starting November 9, 2021, the date of the Company’s direct listing, through the end of the listed year in each of the Company and in the S&amp;P 500 Information Technology Index, respectively. Historical stock performance is not necessarily indicative of future stock performance.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(5)Compensation Actually Paid to our PEO and Non-PEO NEOs in 2023 was not directly tied to any performance metric.</w:t>
      </w:r>
    </w:p>
    <w:p>
      <w:pPr>
        <w:pStyle w:val="TextBody"/>
        <w:bidi w:val="0"/>
        <w:spacing w:lineRule="auto" w:line="288" w:before="16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Relationship Between Compensation Actually Paid And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below charts show the graphical relationship between Compensation Actually Paid to our PEO and the average of our Non-PEO NEOs (as shown in the above Pay versus Performance Table), and the following: Net Income (Loss), TSR, and Peer Group TSR.</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3"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before="0" w:after="160"/>
        <w:jc w:val="center"/>
        <w:rPr/>
      </w:pPr>
      <w:r>
        <w:rPr/>
        <w:drawing>
          <wp:inline distT="0" distB="0" distL="0" distR="0">
            <wp:extent cx="5838825" cy="3619500"/>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7"/>
                    <a:stretch>
                      <a:fillRect/>
                    </a:stretch>
                  </pic:blipFill>
                  <pic:spPr bwMode="auto">
                    <a:xfrm>
                      <a:off x="0" y="0"/>
                      <a:ext cx="5838825" cy="3619500"/>
                    </a:xfrm>
                    <a:prstGeom prst="rect">
                      <a:avLst/>
                    </a:prstGeom>
                  </pic:spPr>
                </pic:pic>
              </a:graphicData>
            </a:graphic>
          </wp:inline>
        </w:drawing>
      </w:r>
    </w:p>
    <w:p>
      <w:pPr>
        <w:pStyle w:val="TextBody"/>
        <w:bidi w:val="0"/>
        <w:spacing w:before="0" w:after="160"/>
        <w:jc w:val="center"/>
        <w:rPr/>
      </w:pPr>
      <w:r>
        <w:rPr/>
        <w:drawing>
          <wp:inline distT="0" distB="0" distL="0" distR="0">
            <wp:extent cx="5838825" cy="3619500"/>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8"/>
                    <a:stretch>
                      <a:fillRect/>
                    </a:stretch>
                  </pic:blipFill>
                  <pic:spPr bwMode="auto">
                    <a:xfrm>
                      <a:off x="0" y="0"/>
                      <a:ext cx="5838825" cy="3619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6"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Proposal 3: Advisory Vote to Approve the Company’s Executive Compensation (“Say-on-Pay”)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accordance with the requirements of Section 14A of the Exchange Act and Exchange Act Rule 14a-21(a), we are requesting that our stockholders approve, on an advisory basis, the compensation paid to our NEOs as disclosed in the “Executive Compensation” section of this Proxy Statement, including the “Compensation Discussion and Analysis” section, the compensation tables and the accompanying narrative disclosure contained therein, in accordance with the SEC’s compensation disclosure rules.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the results of the vote are non-binding and advisory in nature, our Compensation Committee values the opinions expressed by stockholders in their vote on this proposal and intends to consider the results of this vote in making future compensation decisions.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considering their vote, stockholders are encouraged to read the Compensation Discussion and Analysis, the accompanying compensation tables and the related narrative disclosure included in this Proxy Statement.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Executive Committee on behalf of the Board endorses the Company’s executive compensation program and unanimously recommends that stockholders vote in favor of the following resolution: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RESOLVED, that the compensation paid to the Company’s named executive officers, as disclosed pursuant to Item 402 of Regulation S-K, including the Compensation Discussion and Analysis, compensation tables and narrative discussion is hereby APPROVED.</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Frequency of Say-on-Pay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At our 2023 Annual Meeting of Stockholders, held on June 21, 2023, our stockholders recommended an annual say-on-pay vote, and our Executive Committee, on behalf of our Board of Directors, subsequently adopted that recommendation. Accordingly, our next advisory say-on-pay vote (following the non-binding advisory vote at this Annual Meeting) is expected to occur at our 2025 Annual Meeting.</w:t>
      </w:r>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989"/>
        <w:gridCol w:w="989"/>
        <w:gridCol w:w="989"/>
        <w:gridCol w:w="989"/>
        <w:gridCol w:w="989"/>
        <w:gridCol w:w="989"/>
        <w:gridCol w:w="989"/>
        <w:gridCol w:w="989"/>
        <w:gridCol w:w="1415"/>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 cy="285750"/>
                  <wp:effectExtent l="0" t="0" r="0" b="0"/>
                  <wp:docPr id="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8" descr=""/>
                          <pic:cNvPicPr>
                            <a:picLocks noChangeAspect="1" noChangeArrowheads="1"/>
                          </pic:cNvPicPr>
                        </pic:nvPicPr>
                        <pic:blipFill>
                          <a:blip r:embed="rId9"/>
                          <a:stretch>
                            <a:fillRect/>
                          </a:stretch>
                        </pic:blipFill>
                        <pic:spPr bwMode="auto">
                          <a:xfrm>
                            <a:off x="0" y="0"/>
                            <a:ext cx="285750" cy="2857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Our Executive Committee on behalf of our Board of Directors unanimously recommends that you vote “FOR” the approval, on an advisory basis, of the compensation of our named executive officers.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8"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Equity Compensation Plan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provides information as of as of December 31, 2023, with respect to the shares of the Company’s common stock that may be issued under the Company’s existing compensation plans.</w:t>
      </w:r>
    </w:p>
    <w:tbl>
      <w:tblPr>
        <w:tblW w:w="10205" w:type="dxa"/>
        <w:jc w:val="left"/>
        <w:tblInd w:w="0" w:type="dxa"/>
        <w:tblLayout w:type="fixed"/>
        <w:tblCellMar>
          <w:top w:w="28" w:type="dxa"/>
          <w:left w:w="28" w:type="dxa"/>
          <w:bottom w:w="28" w:type="dxa"/>
          <w:right w:w="28" w:type="dxa"/>
        </w:tblCellMar>
      </w:tblPr>
      <w:tblGrid>
        <w:gridCol w:w="1324"/>
        <w:gridCol w:w="1163"/>
        <w:gridCol w:w="1172"/>
        <w:gridCol w:w="109"/>
        <w:gridCol w:w="109"/>
        <w:gridCol w:w="109"/>
        <w:gridCol w:w="446"/>
        <w:gridCol w:w="446"/>
        <w:gridCol w:w="447"/>
        <w:gridCol w:w="109"/>
        <w:gridCol w:w="109"/>
        <w:gridCol w:w="109"/>
        <w:gridCol w:w="322"/>
        <w:gridCol w:w="839"/>
        <w:gridCol w:w="157"/>
        <w:gridCol w:w="109"/>
        <w:gridCol w:w="109"/>
        <w:gridCol w:w="109"/>
        <w:gridCol w:w="850"/>
        <w:gridCol w:w="850"/>
        <w:gridCol w:w="1208"/>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Plan Category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Number of</w:t>
              <w:br/>
              <w:t>Securities</w:t>
              <w:br/>
              <w:t>to be Issued</w:t>
              <w:br/>
              <w:t>Upon</w:t>
              <w:br/>
              <w:t>Exercise of</w:t>
              <w:br/>
              <w:t>Outstanding</w:t>
              <w:br/>
              <w:t>Options,</w:t>
              <w:br/>
              <w:t>Warrants</w:t>
              <w:br/>
              <w:t>and Rights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Weighted</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Average</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Exercise</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Price of</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Outstanding</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Options,</w:t>
            </w:r>
          </w:p>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Warrants</w:t>
            </w:r>
          </w:p>
          <w:p>
            <w:pPr>
              <w:pStyle w:val="TableContents"/>
              <w:bidi w:val="0"/>
              <w:spacing w:lineRule="auto" w:line="240" w:before="0" w:after="0"/>
              <w:jc w:val="center"/>
              <w:rPr/>
            </w:pPr>
            <w:r>
              <w:rPr>
                <w:rFonts w:ascii="Expensify Neue;sans-serif" w:hAnsi="Expensify Neue;sans-serif"/>
                <w:b w:val="false"/>
                <w:color w:val="000000"/>
                <w:sz w:val="20"/>
              </w:rPr>
              <w:t>and Rights</w:t>
            </w:r>
            <w:r>
              <w:rPr>
                <w:rFonts w:ascii="Expensify Neue;sans-serif" w:hAnsi="Expensify Neue;sans-serif"/>
                <w:b w:val="false"/>
                <w:color w:val="000000"/>
                <w:sz w:val="13"/>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Number of</w:t>
              <w:br/>
              <w:t>Securities</w:t>
              <w:br/>
              <w:t>Remaining Available</w:t>
              <w:br/>
              <w:t>for Future</w:t>
              <w:br/>
              <w:t>Issuance Under Equity Compensation Plans</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11,291,196</w:t>
            </w:r>
            <w:r>
              <w:rPr>
                <w:rFonts w:ascii="Expensify Neue;sans-serif" w:hAnsi="Expensify Neue;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Expensify Neue;sans-serif" w:hAnsi="Expensify Neue;sans-serif"/>
                <w:b w:val="false"/>
                <w:color w:val="000000"/>
                <w:sz w:val="20"/>
              </w:rPr>
              <w:t>22,282,735</w:t>
            </w:r>
            <w:r>
              <w:rPr>
                <w:rFonts w:ascii="Expensify Neue;sans-serif" w:hAnsi="Expensify Neue;sans-serif"/>
                <w:b w:val="false"/>
                <w:color w:val="000000"/>
                <w:sz w:val="13"/>
              </w:rPr>
              <w:t>(3)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11,291,196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22,282,735</w:t>
            </w:r>
          </w:p>
        </w:tc>
      </w:tr>
      <w:tr>
        <w:trPr/>
        <w:tc>
          <w:tcPr>
            <w:tcW w:w="36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(1)The weighted average exercise price is calculated based solely on the exercise prices of the outstanding options and does not reflect the shares that will be issued upon the vesting of outstanding RSUs, which have no exercise price.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(2)Includes shares subject to outstanding awards granted, of which 5,902,591 shares are subject to outstanding options and 5,388,605 shares are subject to outstanding RSUs.</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(3)Includes 22,282,735 shares available for future issuance under our 2021 Incentive Award Plan or our 2021 Stock Purchase and Matching Plan. The share reserve will be increased annually on January 1 of each year through January 1, 2031 by a number of shares equal to 6% of the aggregate number of shares of all classes of the Company’s common stock outstanding on the last day of the immediately preceding calendar year, or such lesser number of shares as determined by our Board or the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49"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Security Ownership of Certain Beneficial Owners and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with respect to beneficial ownership of our common stock as of April 22, 2024 for (i) each of our directors, (ii) each person known to us to be the beneficial owner of more than five percent of any class of our voting securities, (iii) each of our named executive officers, and (iv) all of our current executive officers and directors as a group.</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April 22, 2024, subject to community property laws where applicable. We have deemed shares of our common stock subject to stock options that are currently exercisable or will be exercisable within 60 days of April 22, 2024 or net issuable pursuant to RSUs which are subject to vesting and settlement conditions expected to occur within 60 days of April 22, 2024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beneficially owned is based on 71,756,320 shares of Class A common stock, 7,333,335 shares of LT10 common stock and 7,292,587 shares of LT50 common stock outstanding as of April 22, 2024. </w:t>
      </w:r>
    </w:p>
    <w:p>
      <w:pPr>
        <w:pStyle w:val="TextBody"/>
        <w:bidi w:val="0"/>
        <w:spacing w:lineRule="auto" w:line="288" w:before="0" w:after="160"/>
        <w:jc w:val="left"/>
        <w:rPr/>
      </w:pPr>
      <w:r>
        <w:rPr>
          <w:rFonts w:ascii="Expensify Neue;sans-serif" w:hAnsi="Expensify Neue;sans-serif"/>
          <w:b w:val="false"/>
          <w:color w:val="000000"/>
          <w:sz w:val="20"/>
        </w:rPr>
        <w:t>Unless otherwise indicated, the address of each beneficial owner listed in the table below is c/o Expensify, Inc., 401 SW 5</w:t>
      </w:r>
      <w:r>
        <w:rPr>
          <w:rFonts w:ascii="Expensify Neue;sans-serif" w:hAnsi="Expensify Neue;sans-serif"/>
          <w:b w:val="false"/>
          <w:color w:val="000000"/>
          <w:sz w:val="13"/>
        </w:rPr>
        <w:t>th</w:t>
      </w:r>
      <w:r>
        <w:rPr>
          <w:color w:val="000000"/>
        </w:rPr>
        <w:t xml:space="preserve"> </w:t>
      </w:r>
      <w:r>
        <w:rPr>
          <w:rFonts w:ascii="Expensify Neue;sans-serif" w:hAnsi="Expensify Neue;sans-serif"/>
          <w:b w:val="false"/>
          <w:color w:val="000000"/>
          <w:sz w:val="20"/>
        </w:rPr>
        <w:t>Ave, Portland, Oregon 97204.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0"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Each of the stockholders listed has sole voting and investment power with respect to the shares beneficially owned by the stockholder unless noted otherwise,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1131"/>
        <w:gridCol w:w="710"/>
        <w:gridCol w:w="714"/>
        <w:gridCol w:w="109"/>
        <w:gridCol w:w="109"/>
        <w:gridCol w:w="109"/>
        <w:gridCol w:w="309"/>
        <w:gridCol w:w="309"/>
        <w:gridCol w:w="313"/>
        <w:gridCol w:w="109"/>
        <w:gridCol w:w="109"/>
        <w:gridCol w:w="109"/>
        <w:gridCol w:w="175"/>
        <w:gridCol w:w="175"/>
        <w:gridCol w:w="143"/>
        <w:gridCol w:w="109"/>
        <w:gridCol w:w="109"/>
        <w:gridCol w:w="109"/>
        <w:gridCol w:w="309"/>
        <w:gridCol w:w="309"/>
        <w:gridCol w:w="313"/>
        <w:gridCol w:w="109"/>
        <w:gridCol w:w="109"/>
        <w:gridCol w:w="109"/>
        <w:gridCol w:w="210"/>
        <w:gridCol w:w="210"/>
        <w:gridCol w:w="178"/>
        <w:gridCol w:w="109"/>
        <w:gridCol w:w="109"/>
        <w:gridCol w:w="109"/>
        <w:gridCol w:w="309"/>
        <w:gridCol w:w="309"/>
        <w:gridCol w:w="313"/>
        <w:gridCol w:w="109"/>
        <w:gridCol w:w="109"/>
        <w:gridCol w:w="109"/>
        <w:gridCol w:w="210"/>
        <w:gridCol w:w="210"/>
        <w:gridCol w:w="178"/>
        <w:gridCol w:w="109"/>
        <w:gridCol w:w="109"/>
        <w:gridCol w:w="109"/>
        <w:gridCol w:w="254"/>
        <w:gridCol w:w="254"/>
        <w:gridCol w:w="371"/>
      </w:tblGrid>
      <w:tr>
        <w:trPr/>
        <w:tc>
          <w:tcPr>
            <w:tcW w:w="11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6"/>
              </w:rPr>
            </w:pPr>
            <w:r>
              <w:rPr>
                <w:rFonts w:ascii="Expensify Neue;sans-serif" w:hAnsi="Expensify Neue;sans-serif"/>
                <w:b w:val="false"/>
                <w:color w:val="000000"/>
                <w:sz w:val="16"/>
              </w:rPr>
              <w:t>% of voting power</w:t>
            </w:r>
          </w:p>
        </w:tc>
      </w:tr>
      <w:tr>
        <w:trPr/>
        <w:tc>
          <w:tcPr>
            <w:tcW w:w="2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Named Executive Officers, Directors and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David Barrett</w:t>
            </w:r>
            <w:r>
              <w:rPr>
                <w:rFonts w:ascii="Expensify Neue;sans-serif" w:hAnsi="Expensify Neue;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4,150,183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3,600,066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3,727,207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44.2%</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Ryan Schaffer</w:t>
            </w:r>
            <w:r>
              <w:rPr>
                <w:rFonts w:ascii="Expensify Neue;sans-serif" w:hAnsi="Expensify Neue;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508,764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498,090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39,225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1.5%</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Anu Muralidharan</w:t>
            </w:r>
            <w:r>
              <w:rPr>
                <w:rFonts w:ascii="Expensify Neue;sans-serif" w:hAnsi="Expensify Neue;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94,559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114,140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121,534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1.4%</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Jason Mills</w:t>
            </w:r>
            <w:r>
              <w:rPr>
                <w:rFonts w:ascii="Expensify Neue;sans-serif" w:hAnsi="Expensify Neue;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206,790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582,885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557,853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6.7%</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Daniel Vidal</w:t>
            </w:r>
            <w:r>
              <w:rPr>
                <w:rFonts w:ascii="Expensify Neue;sans-serif" w:hAnsi="Expensify Neue;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352,353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112,650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140,893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1.7%</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Timothy L. Christen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103,442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Ying (Vivian)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37,645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Ellen Pao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All current executive officers, directors and director nominees as a group (8 persons)</w:t>
            </w:r>
            <w:r>
              <w:rPr>
                <w:rFonts w:ascii="Expensify Neue;sans-serif" w:hAnsi="Expensify Neue;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5,473,027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4,907,831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4,586,712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55.3%</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5% </w:t>
              <w:br/>
              <w:t>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6"/>
              </w:rPr>
              <w:t>Expensify Voting Trust</w:t>
            </w:r>
            <w:r>
              <w:rPr>
                <w:rFonts w:ascii="Expensify Neue;sans-serif" w:hAnsi="Expensify Neue;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7,333,335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7,292,587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85.9%</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pPr>
            <w:r>
              <w:rPr>
                <w:rFonts w:ascii="Expensify Neue;sans-serif" w:hAnsi="Expensify Neue;sans-serif"/>
                <w:b w:val="false"/>
                <w:color w:val="000000"/>
                <w:sz w:val="16"/>
              </w:rPr>
              <w:t>BlackRock, Inc.</w:t>
            </w:r>
            <w:r>
              <w:rPr>
                <w:rFonts w:ascii="Expensify Neue;sans-serif" w:hAnsi="Expensify Neue;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4,225,143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pPr>
            <w:r>
              <w:rPr>
                <w:rFonts w:ascii="Expensify Neue;sans-serif" w:hAnsi="Expensify Neue;sans-serif"/>
                <w:b w:val="false"/>
                <w:color w:val="000000"/>
                <w:sz w:val="16"/>
              </w:rPr>
              <w:t>Octopus Head Inc.</w:t>
            </w:r>
            <w:r>
              <w:rPr>
                <w:rFonts w:ascii="Expensify Neue;sans-serif" w:hAnsi="Expensify Neue;sans-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6,456,400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1.3%</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pPr>
            <w:r>
              <w:rPr>
                <w:rFonts w:ascii="Expensify Neue;sans-serif" w:hAnsi="Expensify Neue;sans-serif"/>
                <w:b w:val="false"/>
                <w:color w:val="000000"/>
                <w:sz w:val="16"/>
              </w:rPr>
              <w:t>Steve McLaughlin</w:t>
            </w:r>
            <w:r>
              <w:rPr>
                <w:rFonts w:ascii="Expensify Neue;sans-serif" w:hAnsi="Expensify Neue;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9,892,832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1.9%</w:t>
            </w:r>
          </w:p>
        </w:tc>
      </w:tr>
      <w:tr>
        <w:trPr/>
        <w:tc>
          <w:tcPr>
            <w:tcW w:w="255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Represents less than 1%.</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(1)Consists of (i) 2,929,910 shares of Class A common stock that may be acquired pursuant to the exercise of stock options within 60 days of April 22, 2024, (ii) 133,668 shares of Class A common stock held directly by Mr. Barrett, 11,426 shares of LT10 common stock and 143,958 shares of LT50 common stock held directly by Mr. Barrett through the Expensify Voting Trust and (iii) 1,086,605 shares of Class A common stock held directly by Barrett Trust LLC, 3,588,640 shares of LT10 common stock and 3,583,249 shares of LT50 common stock held directly by Barrett Trust LLC through the Expensify Voting Trust. Barrett Trust LLC is a manager-managed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 </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(2)Includes 386,043 shares of Class A common stock that may be acquired pursuant to the exercise of stock options within 60 days of April 22, 2024.</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(3)Includes 36,300 shares of Class A common stock that may be acquired pursuant to the exercise of stock options within 60 days of April 22, 2024. </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(4)Consists of (i) 10,130 shares of Class A common stock that may be acquired pursuant to the exercise of stock options within 60 days of April 22, 2024, (ii) 196,660 shares of Class A common stock held directly by Mr. Mills, 6,165 shares of LT10 common stock and 22,928 shares of LT50 common stock held directly by Mr. Mills through the Expensify Voting Trust and (iii) 576,720 shares of LT10 common stock and 534,925 shares of LT50 common stock held directly by LILJK LLC through the Expensify Voting Trust. LILIJK LLC is a manager-managed limited liability company. The investment and voting decisions of LILIJK LLC are made by its manager, Mr. Mills, and its controlling member is the Figueroa-Mills Family Revocable Trust, for which Mr. Mills serves as trustee. In such capacities, Mr. Mills may be deemed to beneficially own such shares beneficially owned by LILIJK LLC. </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(5)Includes 201,420 shares of Class A common stock that may be acquired pursuant to the exercise of stock options within 60 days of April 22, 2024.</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(6)Includes 3,563,803 shares of Class A common stock that may be acquired pursuant to the exercise of stock options within 60 days of April 22, 2024.</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(7)Consists of shares of LT10 and LT50 common stock held indirectly by the Trust Beneficiaries through a voting trust of which David Barrett, Garrett Knight and Jason Mills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(8)Based solely on information contained in a Schedule 13G filed with the SEC on January 29, 2024. According to the 13G, BlackRock, Inc. beneficially owns 4,225,143 shares of Class A common stock, with sole power to vote 4,148,361 of such shares, sole power to dispose of 4,225,143 of such shares. The principal business address of BlackRock, Inc. is 50 Hudson Yards New York, NY 10001.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1"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(9)Based solely on information contained in a Schedule 13G filed with the SEC on January 27, 2023. According to the 13G, Octopus Head, Inc. (“Octopus Head”) beneficially owns 6,456,400 shares of Class A common stock, with shared power to vote and shared power to dispose of all such shares. 415 Foundation is the sole stockholder of Octopus Head and in such capacity may be deemed to share voting and dispositive power over such shares. Witold Stankiewicz is the sole director of Octopus Head and the controlling person of 415 Foundation, and in such capacity may be deemed to share voting and dispositive power over such shares. The principal business address of Octopus Head, 415 Foundation and Mr. Stankiewicz is PH Panamera Residences, Apt. 2806, Calle 47 Este, Bella Vista, Panama City, Panama.</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(10)Based solely on information contained in a Schedule 13G filed with the SEC on November 13, 2023. According to the 13G, Mr. McLaughlin beneficially owns 9,892,832 shares of Class A common stock, with sole power to vote and sole power to dispose of all such shares. The address of Mr. McLaughlin is 1521 Alton Road, #345, Miami Beach, FL 33139.</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2"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Certain Relationships and Related Party Transactions</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EMPLOYMENT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January 1, 2023 through August 18, 2023, William Barrett, the brother of David Barrett, received an aggregate of $286,505 cash compensation and $1,022 stock based compensation in connection with his employment with us as a Success Coach. William Barrett’s compensation is commensurate with other employees with his title and tenure. David Barrett plays no personal role in determining his brother’s compensation or reviewing his brother’s performance. On August 18, 2023, William Barrett resigned from his position at the Company.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From January 1, 2023 through March 31, 2024, Mr. Mills received an aggregate of $1,401,237.64 cash compensation and $275,974.96 stock based compensation in connection with his employment with us as Chief Product Officer.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January 1, 2023 through March 31, 2024, Mr. Vidal received an aggregate of $1,029,216.43 cash compensation and $173,263.28 stock based compensation in connection with his employment with us as a Chief Strategy Officer.</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THE VOTING TRUST AND VOTING TRUST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connection with the exchange offer, we entered into the Voting Trust Agreement, dated as of November 9, 2021, with all LT Holders and the Trustees.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All of the outstanding shares of our LT10 and LT50 common stock are held by the Voting Trust, and will be for the foreseeable future pursuant to the terms of the Voting Trust Agreement and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Shares of Class A common stock held by the Voting Trust may be withdrawn by their beneficial holder in certain circumstances.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current Trustees of the Voting Trust are David Barrett, our director and CEO, Garrett Knight, our Director of Sales, and Jason Mills, our director and Chief Product Officer.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at any time a Trustee (i) is unable or unwilling to serve as a Trustee by reason of death, incapacity or otherwise, (ii) ceases to be an Expensify employee or other service provider to Expensify, or (iii) is, after November 9, 2022,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is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is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3"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defined in our amended and restated certificate of incorporation)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Voting Trust Agreement, the Trustees make all decisions with respect to the voting (but not the disposition) of the shares of common stock contributed to the Voting Trust, together with any future voting securities received in respect of such common stock by way of a stock dividend, distribution, conversion or exchange,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precludes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As of April 22, 2024, the Voting Trust controlled approximately 85.9% of the total voting power of the Company.</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EXPENSIFY.ORG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INDEMNIFICATION AGREEMENTS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entered into indemnification agreements with each of our current directors and officers. Our amended and restated certificate of incorporation provides rights to indemnification and advancement of expenses to our current and former officers, directors, employees and agents and to any person who is or was serving at the request of the Company as a director, officer, employee or agent of another corporation, partnership, joint venture, trust or other enterprise. Our amended and restated bylaws provide that we will indemnify our directors and officers to the fullest extent permitted by applicable law.</w:t>
      </w:r>
    </w:p>
    <w:p>
      <w:pPr>
        <w:pStyle w:val="TextBody"/>
        <w:bidi w:val="0"/>
        <w:spacing w:lineRule="auto" w:line="288" w:before="0" w:after="160"/>
        <w:jc w:val="left"/>
        <w:rPr>
          <w:rFonts w:ascii="Expensify New Kansas Medium;sans-serif" w:hAnsi="Expensify New Kansas Medium;sans-serif"/>
          <w:b/>
          <w:color w:val="000000"/>
          <w:sz w:val="20"/>
        </w:rPr>
      </w:pPr>
      <w:r>
        <w:rPr>
          <w:rFonts w:ascii="Expensify New Kansas Medium;sans-serif" w:hAnsi="Expensify New Kansas Medium;sans-serif"/>
          <w:b/>
          <w:color w:val="000000"/>
          <w:sz w:val="20"/>
        </w:rPr>
        <w:t>POLICIES AND PROCEDURES FOR RELATED PERSON TRANSACTIONS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has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4"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5"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Stockholder Proposals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Stockholders may present proposals for action at a future meeting only if they comply with the requirements of the proxy rules established by the SEC and our amended and restated bylaws.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Pursuant to Rule 14a-8 under the Exchange Act, stockholder proposals that are intended to be presented at our 2025 Annual Meeting and included in the proxy statement, form of proxy and other proxy solicitation materials related to that meeting must be received by us no later than December 27, 2024.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Stockholders intending to present a proposal at our 2025 Annual Meeting, but not include the proposal in our proxy statement, or to nominate a person for election as a director must comply with the requirements set forth in our amended and restated bylaws, including requirements with respect to advance notice of stockholder proposals and director nominations. Under our amended and restated bylaws, the deadline for submitting such a stockholder proposal or a nomination for a director that you intend to present at our 2025 Annual Meeting is no later than the close of business on March 16, 2025, nor earlier than February 14,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Stockholder proposals must comply with all requirements and applicable rules of the SEC, be in writing and be addressed to our Corporate Secretary, at our principal executive offices at 401 SW 5th Ave, Portland, OR 97204. It is recommended that stockholders submitting proposals utilize certified mail, return receipt requested, in order to provide proof of timely receipt. The Chairman of the 2025 Annual Meeting reserves the right to reject, rule out of order or take other appropriate action with respect to any proposal or director nominee that does not comply with these and other applicable requirements, including conditions set forth in our amended and restated bylaws and requirements established by the SEC.</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satisfying the requirements under our amended and restated bylaws, to comply with the universal proxy rules, stockholders who intend to solicit proxies in support of director nominees other than our nominees must provide notice to the Company that sets forth the information required by Rule 14a-19 under the Exchange Act no later than April 15,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intend to file a proxy statement and WHITE proxy card with the SEC in connection with the solicitation of proxies for our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Delinquent Section 16(a) Reports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Section 16(a)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To our knowledge, based solely on our review of the copies of such forms furnished to us and written representations from our directors and executive officers, we believe that all Section 16(a) filing requirements were timely met in the year ended December 31, 2023, except for five Form 4s each representing one transaction, one Form 4 representing two transactions, one Form 4 representing five transactions and one Form 4 representing 6 transactions for Mr. Barrett, one Form 4 representing one transaction, three Form 4s each representing two transactions, one Form 4 representing five transactions and one Form 4 representing 6 transactions for Mr. Schaffer, two Form 4s each representing one transaction, one Form 4 representing two transactions, one Form 4 representing four transactions and one Form 4 representing six transactions for Ms. Muralidharan, one Form 4 representing one transaction, one Form 4 representing two transactions, one Form 4 representing four transactions and one Form 4 representing six transactions for Mr. Mills, one Form 4 representing one transaction, one Form 4 representing two transactions, one Form 4 representing four transactions and one Form 4 representing six transactions for Mr. Vidal, three Form 4s each representing one transaction for Mr. Christen, two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6"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4s each representing one transaction for Ms. Pao, and two Form 4s each representing one transaction for Ms. Liu.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Other Matters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do not know of any business, other than as described in this Proxy Statement, that should be considered at the Annual Meeting. If any other matters should properly come before the Annual Meeting, it is the intention of the persons named in the accompanying form of proxy to vote the proxies held by them in accordance with their best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stockholders receiving paper copies of this Proxy Statement, a copy of our Annual Report (which includes our Form 10-K for the fiscal year ended December 31, 2023) will accompany the proxy statement. For stockholders receiving the Notice only, this Proxy Statement and our Annual Report (which includes our Form 10-K for the fiscal year ended December 31, 2023) will be available electronically.</w:t>
      </w:r>
    </w:p>
    <w:p>
      <w:pPr>
        <w:pStyle w:val="TextBody"/>
        <w:bidi w:val="0"/>
        <w:spacing w:lineRule="auto" w:line="288" w:before="0" w:after="160"/>
        <w:jc w:val="left"/>
        <w:rPr/>
      </w:pPr>
      <w:r>
        <w:rPr>
          <w:rFonts w:ascii="Expensify Neue;sans-serif" w:hAnsi="Expensify Neue;sans-serif"/>
          <w:b/>
          <w:color w:val="000000"/>
          <w:sz w:val="20"/>
        </w:rPr>
        <w:t>Copies of our Annual Report on Form 10-K for the fiscal year ended December 31, 2023 are also available on our website, ir.expensify.com as well as www.proxyvote.com, or you may request a paper copy of the Annual Report on Form 10-K (exclusive of exhibits and documents incorporated by reference), without charge, by writing to Expensify Investor Relations department at investors@expensify.com or by mail at EXFY Investor Relations, 401 SW 5</w:t>
      </w:r>
      <w:r>
        <w:rPr>
          <w:rFonts w:ascii="Expensify Neue;sans-serif" w:hAnsi="Expensify Neue;sans-serif"/>
          <w:b/>
          <w:color w:val="000000"/>
          <w:sz w:val="13"/>
        </w:rPr>
        <w:t>th</w:t>
      </w:r>
      <w:r>
        <w:rPr>
          <w:color w:val="000000"/>
        </w:rPr>
        <w:t xml:space="preserve"> </w:t>
      </w:r>
      <w:r>
        <w:rPr>
          <w:rFonts w:ascii="Expensify Neue;sans-serif" w:hAnsi="Expensify Neue;sans-serif"/>
          <w:b/>
          <w:color w:val="000000"/>
          <w:sz w:val="20"/>
        </w:rPr>
        <w:t>Ave, Portland, OR 97204.</w:t>
      </w:r>
      <w:r>
        <w:rPr>
          <w:color w:val="000000"/>
        </w:rPr>
        <w:t xml:space="preserve"> </w:t>
      </w:r>
      <w:r>
        <w:rPr>
          <w:rFonts w:ascii="Expensify Neue;sans-serif" w:hAnsi="Expensify Neue;sans-serif"/>
          <w:b w:val="false"/>
          <w:color w:val="000000"/>
          <w:sz w:val="20"/>
        </w:rPr>
        <w:t>Copies of exhibits and basic documents filed with the Annual Report on Form 10-K or referenced therein will be furnished to stockholders upon written request and payment of a nominal fee in connection with the furnishing of such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7"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before="0" w:after="160"/>
        <w:jc w:val="center"/>
        <w:rPr/>
      </w:pPr>
      <w:r>
        <w:rPr/>
        <w:drawing>
          <wp:inline distT="0" distB="0" distL="0" distR="0">
            <wp:extent cx="5943600" cy="7658100"/>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5943600" cy="76581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59"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58c8840fa59d470a9bd1174bc29b0077_13">
        <w:r>
          <w:rPr>
            <w:rStyle w:val="InternetLink"/>
            <w:rFonts w:ascii="Expensify Neue;sans-serif" w:hAnsi="Expensify Neue;sans-serif"/>
            <w:b w:val="false"/>
            <w:color w:val="0000FF"/>
            <w:sz w:val="20"/>
            <w:u w:val="single"/>
          </w:rPr>
          <w:t>Table of Contents</w:t>
        </w:r>
      </w:hyperlink>
    </w:p>
    <w:p>
      <w:pPr>
        <w:pStyle w:val="TextBody"/>
        <w:bidi w:val="0"/>
        <w:spacing w:before="0" w:after="160"/>
        <w:jc w:val="center"/>
        <w:rPr/>
      </w:pPr>
      <w:r>
        <w:rPr/>
        <w:drawing>
          <wp:inline distT="0" distB="0" distL="0" distR="0">
            <wp:extent cx="5943600" cy="768667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Expensify New Kansas Medium">
    <w:altName w:val="sans-serif"/>
    <w:charset w:val="01"/>
    <w:family w:val="auto"/>
    <w:pitch w:val="default"/>
  </w:font>
  <w:font w:name="GT America Exp">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20745</Words>
  <Characters>110668</Characters>
  <CharactersWithSpaces>130515</CharactersWithSpaces>
  <Paragraphs>1262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