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0002104456</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Carlos Alvarez Divo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8697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6609.72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80888459</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03/17/2026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03/15/2026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6230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03/15/2026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2467</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Carlos Alvarez Divo</w:t>
            </w: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12/30/2025 2468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3751.36</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Carlos Alvarez Divo</w:t>
            </w: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12/31/2025 6504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9756</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2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Note for 3(e): As of February 23, 2026, as stated in Issuer's quarterly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December 31, 2025.</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color w:val="auto"/>
        </w:rPr>
        <w:t>SECTION 16 AND FORM 144 POWER OF ATTORNEY</w:t>
      </w:r>
    </w:p>
    <w:p>
      <w:pPr>
        <w:spacing w:after="0" w:line="2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Expensify,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6" w:lineRule="exact"/>
        <w:rPr>
          <w:sz w:val="20"/>
          <w:szCs w:val="20"/>
          <w:color w:val="auto"/>
        </w:rPr>
      </w:pPr>
    </w:p>
    <w:p>
      <w:pPr>
        <w:jc w:val="both"/>
        <w:ind w:left="660" w:hanging="328"/>
        <w:spacing w:after="0" w:line="239"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0"/>
          <w:szCs w:val="20"/>
          <w:b w:val="1"/>
          <w:bCs w:val="1"/>
          <w:i w:val="1"/>
          <w:iCs w:val="1"/>
          <w:color w:val="auto"/>
        </w:rPr>
        <w:t>“Form 144”</w:t>
      </w:r>
      <w:r>
        <w:rPr>
          <w:rFonts w:ascii="Times New Roman" w:cs="Times New Roman" w:eastAsia="Times New Roman" w:hAnsi="Times New Roman"/>
          <w:sz w:val="20"/>
          <w:szCs w:val="20"/>
          <w:color w:val="auto"/>
        </w:rPr>
        <w:t>), in accordance with the requirements of Rule 144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204" w:lineRule="exact"/>
        <w:rPr>
          <w:rFonts w:ascii="Times New Roman" w:cs="Times New Roman" w:eastAsia="Times New Roman" w:hAnsi="Times New Roman"/>
          <w:sz w:val="20"/>
          <w:szCs w:val="20"/>
          <w:color w:val="auto"/>
        </w:rPr>
      </w:pPr>
    </w:p>
    <w:p>
      <w:pPr>
        <w:jc w:val="both"/>
        <w:ind w:left="660" w:hanging="328"/>
        <w:spacing w:after="0" w:line="239"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1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30th day of December, 2025.</w:t>
      </w:r>
    </w:p>
    <w:p>
      <w:pPr>
        <w:spacing w:after="0" w:line="200" w:lineRule="exact"/>
        <w:rPr>
          <w:sz w:val="20"/>
          <w:szCs w:val="20"/>
          <w:color w:val="auto"/>
        </w:rPr>
      </w:pPr>
    </w:p>
    <w:p>
      <w:pPr>
        <w:spacing w:after="0" w:line="32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/s/ Carlos Eduardo Alvarez Divo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22860</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Carlos Eduardo Alvarez Divo</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1092"/>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25"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26"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19" w:lineRule="exact"/>
        <w:rPr>
          <w:sz w:val="20"/>
          <w:szCs w:val="20"/>
          <w:color w:val="auto"/>
        </w:rPr>
      </w:pPr>
    </w:p>
    <w:p>
      <w:pPr>
        <w:ind w:left="192" w:hanging="192"/>
        <w:spacing w:after="0"/>
        <w:tabs>
          <w:tab w:leader="none" w:pos="19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David Michael Barrett, Chief Executive Officer of the Company</w:t>
      </w:r>
    </w:p>
    <w:p>
      <w:pPr>
        <w:spacing w:after="0" w:line="21" w:lineRule="exact"/>
        <w:rPr>
          <w:rFonts w:ascii="Times New Roman" w:cs="Times New Roman" w:eastAsia="Times New Roman" w:hAnsi="Times New Roman"/>
          <w:sz w:val="20"/>
          <w:szCs w:val="20"/>
          <w:color w:val="auto"/>
        </w:rPr>
      </w:pPr>
    </w:p>
    <w:p>
      <w:pPr>
        <w:ind w:left="192" w:hanging="192"/>
        <w:spacing w:after="0" w:line="225" w:lineRule="auto"/>
        <w:tabs>
          <w:tab w:leader="none" w:pos="19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Ryan Schaffer, Chief Financial Officer of the Company</w:t>
      </w:r>
    </w:p>
    <w:p>
      <w:pPr>
        <w:ind w:left="192" w:hanging="192"/>
        <w:spacing w:after="0"/>
        <w:tabs>
          <w:tab w:leader="none" w:pos="19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Cole Eason, Secretary of the Company</w:t>
      </w:r>
    </w:p>
    <w:sectPr>
      <w:pgSz w:w="11900" w:h="16838" w:orient="portrait"/>
      <w:cols w:equalWidth="0" w:num="1">
        <w:col w:w="10131"/>
      </w:cols>
      <w:pgMar w:left="328"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2026-03-18T17:38:05Z</dcterms:created>
  <dcterms:modified xsi:type="dcterms:W3CDTF">2026-03-18T17:38:05Z</dcterms:modified>
</cp:coreProperties>
</file>