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February 26, 2026</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Expensify,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 Kearny St, Ste 1600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94108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(971) 365-3939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693"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35"/>
        <w:gridCol w:w="235"/>
        <w:gridCol w:w="23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6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On February 26, 2026, the Expensify, Inc. (“Expensify” or “the Company”) issued a press release announcing its financial results for the year and quarter ended December 31, 2025. A copy of this press release is furnished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On February 26, 2026,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and this Item 7.01, including Exhibit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0" w:after="1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 xml:space="preserve">. </w:t>
      </w:r>
    </w:p>
    <w:tbl>
      <w:tblPr>
        <w:tblW w:w="7916"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39"/>
        <w:gridCol w:w="1939"/>
        <w:gridCol w:w="27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8xkq425earnings.htm">
              <w:r>
                <w:rPr>
                  <w:rStyle w:val="InternetLink"/>
                  <w:rFonts w:ascii="Times New Roman;serif" w:hAnsi="Times New Roman;serif"/>
                  <w:b w:val="false"/>
                  <w:color w:val="000080"/>
                  <w:sz w:val="20"/>
                  <w:u w:val="single"/>
                </w:rPr>
                <w:t>Press Release issued by Expensify, Inc., dated February 2</w:t>
              </w:r>
            </w:hyperlink>
            <w:hyperlink w:anchor="exhibit991-8xkq425earnings.htm">
              <w:r>
                <w:rPr>
                  <w:rStyle w:val="InternetLink"/>
                  <w:rFonts w:ascii="Times New Roman;serif" w:hAnsi="Times New Roman;serif"/>
                  <w:b w:val="false"/>
                  <w:color w:val="000080"/>
                  <w:sz w:val="20"/>
                  <w:u w:val="single"/>
                </w:rPr>
                <w:t>6</w:t>
              </w:r>
            </w:hyperlink>
            <w:hyperlink w:anchor="exhibit991-8xkq425earnings.htm">
              <w:r>
                <w:rPr>
                  <w:rStyle w:val="InternetLink"/>
                  <w:rFonts w:ascii="Times New Roman;serif" w:hAnsi="Times New Roman;serif"/>
                  <w:b w:val="false"/>
                  <w:color w:val="000080"/>
                  <w:sz w:val="20"/>
                  <w:u w:val="single"/>
                </w:rPr>
                <w:t>, 202</w:t>
              </w:r>
            </w:hyperlink>
            <w:hyperlink w:anchor="exhibit991-8xkq425earnings.htm">
              <w:r>
                <w:rPr>
                  <w:rStyle w:val="InternetLink"/>
                  <w:rFonts w:ascii="Times New Roman;serif" w:hAnsi="Times New Roman;serif"/>
                  <w:b w:val="false"/>
                  <w:color w:val="000080"/>
                  <w:sz w:val="20"/>
                  <w:u w:val="single"/>
                </w:rPr>
                <w:t>6</w:t>
              </w:r>
            </w:hyperlink>
            <w:hyperlink w:anchor="exhibit991-8xkq425earnings.htm">
              <w:r>
                <w:rPr>
                  <w:rStyle w:val="InternetLink"/>
                  <w:rFonts w:ascii="Times New Roman;serif" w:hAnsi="Times New Roman;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2-8xkq425investor.htm">
              <w:r>
                <w:rPr>
                  <w:rStyle w:val="InternetLink"/>
                  <w:rFonts w:ascii="Times New Roman;serif" w:hAnsi="Times New Roman;serif"/>
                  <w:b w:val="false"/>
                  <w:color w:val="000080"/>
                  <w:sz w:val="20"/>
                  <w:u w:val="single"/>
                </w:rPr>
                <w:t>Investor Presentation, dated February 2</w:t>
              </w:r>
            </w:hyperlink>
            <w:hyperlink w:anchor="exhibit992-8xkq425investor.htm">
              <w:r>
                <w:rPr>
                  <w:rStyle w:val="InternetLink"/>
                  <w:rFonts w:ascii="Times New Roman;serif" w:hAnsi="Times New Roman;serif"/>
                  <w:b w:val="false"/>
                  <w:color w:val="000080"/>
                  <w:sz w:val="20"/>
                  <w:u w:val="single"/>
                </w:rPr>
                <w:t>6</w:t>
              </w:r>
            </w:hyperlink>
            <w:hyperlink w:anchor="exhibit992-8xkq425investor.htm">
              <w:r>
                <w:rPr>
                  <w:rStyle w:val="InternetLink"/>
                  <w:rFonts w:ascii="Times New Roman;serif" w:hAnsi="Times New Roman;serif"/>
                  <w:b w:val="false"/>
                  <w:color w:val="000080"/>
                  <w:sz w:val="20"/>
                  <w:u w:val="single"/>
                </w:rPr>
                <w:t>, 202</w:t>
              </w:r>
            </w:hyperlink>
            <w:hyperlink w:anchor="exhibit992-8xkq425investor.htm">
              <w:r>
                <w:rPr>
                  <w:rStyle w:val="InternetLink"/>
                  <w:rFonts w:ascii="Times New Roman;serif" w:hAnsi="Times New Roman;serif"/>
                  <w:b w:val="false"/>
                  <w:color w:val="000080"/>
                  <w:sz w:val="20"/>
                  <w:u w:val="single"/>
                </w:rPr>
                <w:t>6</w:t>
              </w:r>
            </w:hyperlink>
            <w:hyperlink w:anchor="exhibit992-8xkq425investor.htm">
              <w:r>
                <w:rPr>
                  <w:rStyle w:val="InternetLink"/>
                  <w:rFonts w:ascii="Times New Roman;serif" w:hAnsi="Times New Roman;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SIGNATURE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EXPENSIFY ANNOUNCES Q4 AND FULL YEAR FISCAL 2025 RESULTS</w:t>
      </w:r>
    </w:p>
    <w:p>
      <w:pPr>
        <w:pStyle w:val="TextBody"/>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company generated $20.1 million in operating cash flow and </w:t>
      </w:r>
    </w:p>
    <w:p>
      <w:pPr>
        <w:pStyle w:val="TextBody"/>
        <w:bidi w:val="0"/>
        <w:spacing w:lineRule="auto" w:line="300" w:before="0" w:after="160"/>
        <w:jc w:val="center"/>
        <w:rPr>
          <w:rFonts w:ascii="Times New Roman;serif" w:hAnsi="Times New Roman;serif"/>
          <w:b w:val="false"/>
          <w:i/>
          <w:color w:val="000000"/>
          <w:sz w:val="20"/>
        </w:rPr>
      </w:pPr>
      <w:r>
        <w:rPr>
          <w:rFonts w:ascii="Times New Roman;serif" w:hAnsi="Times New Roman;serif"/>
          <w:b w:val="false"/>
          <w:i/>
          <w:color w:val="000000"/>
          <w:sz w:val="20"/>
        </w:rPr>
        <w:t>$19.9 million in free cash flow in fiscal year 2025</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SAN FRANCISCO, Cal.--(BUSINESS WIRE)--February 26, 2026--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and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A Message From Our Founder</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2025 was an extremely productive year. We continue to add cash to our debt-free balance sheet, with revenue, interchange, and card spend all up over 2024. But most exciting: New Expensify is now feature-complete for nearly all customers, rolled out to 63% of paying customers, and is the default for all new customers. While we are methodically "nudging" all of our Classic customers over to New Expensify, we are increasingly shifting our engineering focus toward new feature development, in three main areas:</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 xml:space="preserve">Bring your own card. </w:t>
      </w:r>
      <w:r>
        <w:rPr>
          <w:rFonts w:ascii="Times New Roman;serif" w:hAnsi="Times New Roman;serif"/>
          <w:b w:val="false"/>
          <w:color w:val="000000"/>
          <w:sz w:val="20"/>
        </w:rPr>
        <w:t>We spent years building a modern spend management platform that offers a corporate card deeply integrated into all things Expensify. But many of our customers, and most of the market, still wants to use their existing corporate card. We’ve been investing heavily in bringing modern spend management functionality, like merchant-based rules, real time transaction import, and smart reconciliation, to customers who want to keep their card.</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Product-led growth.</w:t>
      </w:r>
      <w:r>
        <w:rPr>
          <w:color w:val="000000"/>
        </w:rPr>
        <w:t xml:space="preserve"> </w:t>
      </w:r>
      <w:r>
        <w:rPr>
          <w:rFonts w:ascii="Times New Roman;serif" w:hAnsi="Times New Roman;serif"/>
          <w:b w:val="false"/>
          <w:color w:val="000000"/>
          <w:sz w:val="20"/>
        </w:rPr>
        <w:t>New Expensify's radical design enables a wide range of "bottom up" features that enable individual employees to "crowdsource" their company's configuration and collectively pressure their company to adopt. This was our primary lead source for growing Classic into a dominant position in the industry, and we are excited to reactivate this in a supercharged fashion atop New Expensify's real-time platform.</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 xml:space="preserve">Accountable Intelligence. </w:t>
      </w:r>
      <w:r>
        <w:rPr>
          <w:rFonts w:ascii="Times New Roman;serif" w:hAnsi="Times New Roman;serif"/>
          <w:b w:val="false"/>
          <w:color w:val="000000"/>
          <w:sz w:val="20"/>
        </w:rPr>
        <w:t>New Expensify's chat-first design not only infuses AI into every expense, but is built to be truly "accountable". In a market where every if/then statement is promoted as AI, our Concierge achieves what we feel is a higher level of intelligence by embodying three core principles:</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Contextual:</w:t>
      </w:r>
      <w:r>
        <w:rPr>
          <w:color w:val="000000"/>
        </w:rPr>
        <w:t xml:space="preserve"> </w:t>
      </w:r>
      <w:r>
        <w:rPr>
          <w:rFonts w:ascii="Times New Roman;serif" w:hAnsi="Times New Roman;serif"/>
          <w:b w:val="false"/>
          <w:color w:val="000000"/>
          <w:sz w:val="20"/>
        </w:rPr>
        <w:t>You don't need to copy/paste, upload, or screenshot your data into a Concierge AI chat: just open a conversational thread directly on the card swipe, expense report, audit log, or error message you want to investigate. Concierge isn't some "Clippy 2.0" on the outside looking in – Concierge is infused throughout every part of the UI, and you can talk to it anywhere, in any context, right on the thing you want to talk about.</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 xml:space="preserve">Correctable: </w:t>
      </w:r>
      <w:r>
        <w:rPr>
          <w:rFonts w:ascii="Times New Roman;serif" w:hAnsi="Times New Roman;serif"/>
          <w:b w:val="false"/>
          <w:color w:val="000000"/>
          <w:sz w:val="20"/>
        </w:rPr>
        <w:t>Concierge doesn't just automate, it self-diagnoses and self-corrects when things go wrong. No more guesswork as to which combination of rules and configurations produced an unexpected result: Concierge can tell you directly, explain how you can fix it, and even just reconfigure itself to do it right the next time.</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Continuous:</w:t>
      </w:r>
      <w:r>
        <w:rPr>
          <w:color w:val="000000"/>
        </w:rPr>
        <w:t xml:space="preserve"> </w:t>
      </w:r>
      <w:r>
        <w:rPr>
          <w:rFonts w:ascii="Times New Roman;serif" w:hAnsi="Times New Roman;serif"/>
          <w:b w:val="false"/>
          <w:color w:val="000000"/>
          <w:sz w:val="20"/>
        </w:rPr>
        <w:t>Concierge won't just react when you ask – it'll be always working in the background to review your books, analyze trends, and monitor system health. From detecting unusual expense patterns to catching bank or accounting sync errors the moment they occur, Concierge can proactively flag issues and tell you exactly how to fix them before they become real problems.</w:t>
      </w:r>
    </w:p>
    <w:p>
      <w:pPr>
        <w:pStyle w:val="TextBody"/>
        <w:bidi w:val="0"/>
        <w:spacing w:before="0" w:after="2"/>
        <w:jc w:val="left"/>
        <w:rPr/>
      </w:pPr>
      <w:r>
        <w:rPr/>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 believe this AI-native design is unique in the marketplace and built to be viral, and its early form is already resonating with customers. Excitement has truly never been higher – especially in our sales and product teams – because this is the year we've been preparing for. To support this, we are pulling out all the stops (including setting a modest FCF target to free up resources for expected increased spend in sales, marketing, and AI) with the goal of moving from a "building" mindset back to the "growth" posture that established the leading brand we enjoy today. It has been a long and difficult road to get to this point, and we are eager to prove to everyone it was worth it.</w:t>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-david</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Founder and CEO of Expensify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Financial</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 xml:space="preserve">Fourth Quarter 2025 Highlights </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Revenue was $35.2 million, a decrease of 5%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Generated $2.2 million of cash from operating activities.</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Free cash flow was $3.2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Net loss was $7.1 million, compared to $1.3 million for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Non-GAAP net loss was $2.1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Adjusted EBITDA was $3.3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Interchange derived from the Expensify Card grew to $5.5 million, an increase of 9%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See Financial Outlook section for Free Cash Flow guidance for fiscal year ending December 31, 2026.</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 xml:space="preserve">Full Year Fiscal 2025 Highlights </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Revenue was $142.1 million, an increase of 2% compared to the prior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Generated $20.1 million of cash from operating activities.</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Free cash flow was $19.9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Net loss was $21.4 million, compared to $10.1 million for the prior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Non-GAAP net income was $5.2 million.    </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Adjusted EBITDA was $16.9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Interchange derived from the Expensify Card grew to $21.3 million, an increase of 24% compared to the prior year.</w:t>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Business</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Fourth Quarter 2025 Highlights</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Paid members</w:t>
      </w:r>
      <w:r>
        <w:rPr>
          <w:color w:val="000000"/>
        </w:rPr>
        <w:t xml:space="preserve"> </w:t>
      </w:r>
      <w:r>
        <w:rPr>
          <w:rFonts w:ascii="Times New Roman;serif" w:hAnsi="Times New Roman;serif"/>
          <w:b w:val="false"/>
          <w:color w:val="000000"/>
          <w:sz w:val="20"/>
        </w:rPr>
        <w:t>- Paid members were 650,000, a decrease of 5% compared to the same period last year, but an increase of 1% compared to Q3 2025's paid members of 642,000.</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Expensify and Uber for Business</w:t>
      </w:r>
      <w:r>
        <w:rPr>
          <w:color w:val="000000"/>
        </w:rPr>
        <w:t xml:space="preserve"> </w:t>
      </w:r>
      <w:r>
        <w:rPr>
          <w:rFonts w:ascii="Times New Roman;serif" w:hAnsi="Times New Roman;serif"/>
          <w:b w:val="false"/>
          <w:color w:val="000000"/>
          <w:sz w:val="20"/>
        </w:rPr>
        <w:t>- The company entered a multi-year integration partnership with Uber for Business to automate travel and meal receipts, improving policy controls across corporate travel and expense workflows.</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TrustRadius 2026 Buyer’s Choice Award</w:t>
      </w:r>
      <w:r>
        <w:rPr>
          <w:color w:val="000000"/>
        </w:rPr>
        <w:t xml:space="preserve"> </w:t>
      </w:r>
      <w:r>
        <w:rPr>
          <w:rFonts w:ascii="Times New Roman;serif" w:hAnsi="Times New Roman;serif"/>
          <w:b w:val="false"/>
          <w:color w:val="000000"/>
          <w:sz w:val="20"/>
        </w:rPr>
        <w:t>- Expensify was recognized by customer reviews for excellence in capabilities, value for price, and customer relationships in the expense management category.</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2025 Highlights</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 xml:space="preserve">Expensify Travel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Expensify Travel quarterly travel bookings grew by 434% in Q4 2025 as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 xml:space="preserve">Expensify Card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Total interchange increased by 24% in FY 2025 as compared to the prior year.</w:t>
      </w:r>
    </w:p>
    <w:p>
      <w:pPr>
        <w:pStyle w:val="TextBody"/>
        <w:bidi w:val="0"/>
        <w:spacing w:lineRule="auto" w:line="300" w:before="0" w:after="2"/>
        <w:ind w:left="0" w:right="0" w:hanging="360"/>
        <w:jc w:val="left"/>
        <w:rPr/>
      </w:pPr>
      <w:r>
        <w:rPr>
          <w:color w:val="000000"/>
        </w:rPr>
        <w:t>•</w:t>
      </w:r>
      <w:r>
        <w:rPr>
          <w:rFonts w:ascii="Times New Roman;serif" w:hAnsi="Times New Roman;serif"/>
          <w:b/>
          <w:color w:val="000000"/>
          <w:sz w:val="20"/>
        </w:rPr>
        <w:t>Share repurchases</w:t>
      </w:r>
      <w:r>
        <w:rPr>
          <w:color w:val="000000"/>
        </w:rPr>
        <w:t xml:space="preserve"> </w:t>
      </w:r>
      <w:r>
        <w:rPr>
          <w:rFonts w:ascii="Times New Roman;serif" w:hAnsi="Times New Roman;serif"/>
          <w:b w:val="false"/>
          <w:color w:val="000000"/>
          <w:sz w:val="20"/>
        </w:rPr>
        <w:t>- The company repurchased 4,823,118 shares of its Class A common stock throughout 2025, totaling approximately $9.1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160" w:after="160"/>
        <w:jc w:val="left"/>
        <w:rPr>
          <w:rFonts w:ascii="Times New Roman;serif" w:hAnsi="Times New Roman;serif"/>
          <w:b/>
          <w:color w:val="000000"/>
          <w:sz w:val="20"/>
          <w:u w:val="single"/>
        </w:rPr>
      </w:pPr>
      <w:r>
        <w:rPr>
          <w:rFonts w:ascii="Times New Roman;serif" w:hAnsi="Times New Roman;serif"/>
          <w:b/>
          <w:color w:val="000000"/>
          <w:sz w:val="20"/>
          <w:u w:val="single"/>
        </w:rPr>
        <w:t>Financial Outlook</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Expensify estimates free cash flow of $6.0 million - $9.0 million for the fiscal year ending December 31, 2026.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Stock Based Compensation</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An estimate of expected stock-based compensation expense for the next four fiscal quarters is as follows, which is driven primarily by the pre-IPO grant of RSUs issued to all employees (which vest quarterly over eight years with approximately four years remaining).</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Est. stock-based compensation (millions)</w:t>
      </w:r>
    </w:p>
    <w:tbl>
      <w:tblPr>
        <w:tblW w:w="9792" w:type="dxa"/>
        <w:jc w:val="left"/>
        <w:tblInd w:w="0" w:type="dxa"/>
        <w:tblLayout w:type="fixed"/>
        <w:tblCellMar>
          <w:top w:w="28" w:type="dxa"/>
          <w:left w:w="28" w:type="dxa"/>
          <w:bottom w:w="28" w:type="dxa"/>
          <w:right w:w="28" w:type="dxa"/>
        </w:tblCellMar>
      </w:tblPr>
      <w:tblGrid>
        <w:gridCol w:w="727"/>
        <w:gridCol w:w="639"/>
        <w:gridCol w:w="644"/>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Q1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Q2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Q3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Q4 2026</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High</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Availability of Information on Expensify’s Website</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 xml:space="preserve">Conference Call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prepared in accordance with U.S. generally accepted accounting principles (“GAAP”), we provide certain non-GAAP financial measures, including adjusted EBITDA, non-GAAP net (loss) income, and free cash flow.</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w:t>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bidi w:val="0"/>
        <w:spacing w:lineRule="auto" w:line="300" w:before="0" w:after="16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We define adjusted EBITDA as net loss excluding provision for income taxes, other income (expense), net, depreciation and amortization, and stock-based compensation expense.</w:t>
      </w:r>
    </w:p>
    <w:p>
      <w:pPr>
        <w:pStyle w:val="TextBody"/>
        <w:bidi w:val="0"/>
        <w:spacing w:lineRule="auto" w:line="300" w:before="0" w:after="160"/>
        <w:jc w:val="left"/>
        <w:rPr/>
      </w:pPr>
      <w:r>
        <w:rPr>
          <w:rFonts w:ascii="Times New Roman;serif" w:hAnsi="Times New Roman;serif"/>
          <w:b/>
          <w:color w:val="000000"/>
          <w:sz w:val="20"/>
        </w:rPr>
        <w:t>Non-GAAP net (loss) income.</w:t>
      </w:r>
      <w:r>
        <w:rPr>
          <w:color w:val="000000"/>
        </w:rPr>
        <w:t xml:space="preserve"> </w:t>
      </w:r>
      <w:r>
        <w:rPr>
          <w:rFonts w:ascii="Times New Roman;serif" w:hAnsi="Times New Roman;serif"/>
          <w:b w:val="false"/>
          <w:color w:val="000000"/>
          <w:sz w:val="20"/>
        </w:rPr>
        <w:t>We define non-GAAP net (loss) income as net loss excluding stock-based compensation expense.</w:t>
      </w:r>
    </w:p>
    <w:p>
      <w:pPr>
        <w:pStyle w:val="TextBody"/>
        <w:bidi w:val="0"/>
        <w:spacing w:lineRule="auto" w:line="300" w:before="0" w:after="160"/>
        <w:jc w:val="left"/>
        <w:rPr/>
      </w:pPr>
      <w:r>
        <w:rPr>
          <w:rFonts w:ascii="Times New Roman;serif" w:hAnsi="Times New Roman;serif"/>
          <w:b/>
          <w:color w:val="000000"/>
          <w:sz w:val="20"/>
        </w:rPr>
        <w:t>Free cash flow.</w:t>
      </w:r>
      <w:r>
        <w:rPr>
          <w:color w:val="000000"/>
        </w:rPr>
        <w:t xml:space="preserve"> </w:t>
      </w:r>
      <w:r>
        <w:rPr>
          <w:rFonts w:ascii="Times New Roman;serif" w:hAnsi="Times New Roman;serif"/>
          <w:b w:val="false"/>
          <w:color w:val="000000"/>
          <w:sz w:val="20"/>
        </w:rPr>
        <w:t>We define free cash flow as net cash provided by operating activities excluding changes in settlement assets and settlement liabilities, which represent funds held for customers and customer funds in transit, respectively, reduced by the purchases of property and equipment and software development costs.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 tables at the end of the Consolidated Financial Statements provide reconciliations to the most directly comparable GAAP financial measure to each of these non-GAAP financial measures.</w:t>
      </w:r>
    </w:p>
    <w:p>
      <w:pPr>
        <w:pStyle w:val="TextBody"/>
        <w:bidi w:val="0"/>
        <w:spacing w:lineRule="auto" w:line="26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which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conflict in Israel, Gaza and surrounding areas; our ability to effectively manage our exposure to fluctuations in foreign currency exchange rates; the size of our addressable markets, market share and market trends; anticipated trends, developments and challenges in our industry, business and the highly competitive markets in which we operate; any adverse impact on our business operations as a result of using artificial intelligence or other machine learning technologies in our </w:t>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services;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geopolitical uncertainty and instability, and their effects on software spending; our ability to protect against security incidents, technical difficulties, or interruptions to our platform; our ability to maintain, protect and enhance our intellectual property; the impact of tariffs and global trade disruptions on us, our customers and our vendors, including the impact on inflation, supply chains and consumer sentiment;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About Expensify</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 is the easiest way to do your expenses, travel, and corporate cards. Built for businesses of all sizes and trusted by 15 million members worldwide, Expensify is a top-rated app across G2, TrustRadius, Capterra, and more. Learn more at use.expensify.com.</w:t>
      </w:r>
    </w:p>
    <w:p>
      <w:pPr>
        <w:pStyle w:val="TextBody"/>
        <w:bidi w:val="0"/>
        <w:spacing w:lineRule="auto" w:line="276" w:before="0" w:after="16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Nick Tooker</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investors@expensify.com</w:t>
      </w:r>
    </w:p>
    <w:p>
      <w:pPr>
        <w:pStyle w:val="TextBody"/>
        <w:bidi w:val="0"/>
        <w:spacing w:lineRule="auto" w:line="276" w:before="0" w:after="160"/>
        <w:jc w:val="left"/>
        <w:rPr>
          <w:rFonts w:ascii="Times New Roman;serif" w:hAnsi="Times New Roman;serif"/>
          <w:b/>
          <w:color w:val="000000"/>
          <w:sz w:val="20"/>
        </w:rPr>
      </w:pPr>
      <w:r>
        <w:rPr>
          <w:rFonts w:ascii="Times New Roman;serif" w:hAnsi="Times New Roman;serif"/>
          <w:b/>
          <w:color w:val="000000"/>
          <w:sz w:val="20"/>
        </w:rPr>
        <w:t>Press Contact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James Dean</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press@expensify.com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Consolidated Balance Sheets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2846"/>
        <w:gridCol w:w="2433"/>
        <w:gridCol w:w="2470"/>
        <w:gridCol w:w="196"/>
        <w:gridCol w:w="736"/>
        <w:gridCol w:w="109"/>
        <w:gridCol w:w="109"/>
        <w:gridCol w:w="109"/>
        <w:gridCol w:w="109"/>
        <w:gridCol w:w="196"/>
        <w:gridCol w:w="736"/>
        <w:gridCol w:w="156"/>
      </w:tblGrid>
      <w:tr>
        <w:trPr/>
        <w:tc>
          <w:tcPr>
            <w:tcW w:w="2846"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48,772 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Settlement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42,406 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136,876 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Capitalized software,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16,232 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tax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185,989 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173,680 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Settlement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38,010 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53,244 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45,437 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Preferred stock, par value $0.0001; 10,000,000 shares of preferred stock authorized; no shares of preferred stock issued and outstanding as of December 31, 2025 and 2024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par value $0.0001;</w:t>
            </w:r>
          </w:p>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1,000,000,000 shares authorized; 80,767,385 and 79,471,414 shares issued and outstanding as of December 31, 2025 and 2024, respectively</w:t>
            </w:r>
          </w:p>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LT10 common stock; 21,871,197 shares authorized; 4,209,827 shares issued and outstanding as of December 31, 2025 and 2024</w:t>
            </w:r>
          </w:p>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LT50 common stock; 24,967,114 shares authorized; 8,083,690 and 7,695,524 shares issued and outstanding as of December 31, 2025 and 2024,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279,062 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(172,217)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(150,828)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132,745 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128,243 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185,989 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173,680 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Consolidated Statements of Operations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683"/>
        <w:gridCol w:w="1460"/>
        <w:gridCol w:w="1470"/>
        <w:gridCol w:w="249"/>
        <w:gridCol w:w="797"/>
        <w:gridCol w:w="131"/>
        <w:gridCol w:w="131"/>
        <w:gridCol w:w="131"/>
        <w:gridCol w:w="131"/>
        <w:gridCol w:w="249"/>
        <w:gridCol w:w="797"/>
        <w:gridCol w:w="131"/>
        <w:gridCol w:w="109"/>
        <w:gridCol w:w="109"/>
        <w:gridCol w:w="109"/>
        <w:gridCol w:w="202"/>
        <w:gridCol w:w="759"/>
        <w:gridCol w:w="109"/>
        <w:gridCol w:w="109"/>
        <w:gridCol w:w="109"/>
        <w:gridCol w:w="109"/>
        <w:gridCol w:w="202"/>
        <w:gridCol w:w="759"/>
        <w:gridCol w:w="160"/>
      </w:tblGrid>
      <w:tr>
        <w:trPr/>
        <w:tc>
          <w:tcPr>
            <w:tcW w:w="168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35,198 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37,004 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142,101 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139,236 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erif" w:hAnsi="Times New Roman;serif"/>
                <w:b w:val="false"/>
                <w:color w:val="000000"/>
                <w:sz w:val="18"/>
              </w:rPr>
              <w:t>Cost of revenue, net</w:t>
            </w:r>
            <w:r>
              <w:rPr>
                <w:rFonts w:ascii="Times New Roman;serif" w:hAnsi="Times New Roman;serif"/>
                <w:b w:val="false"/>
                <w:color w:val="000000"/>
                <w:sz w:val="12"/>
              </w:rPr>
              <w:t>(1)</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18,148 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64,239 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17,310 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18,856 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74,997 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erif" w:hAnsi="Times New Roman;serif"/>
                <w:b w:val="false"/>
                <w:color w:val="000000"/>
                <w:sz w:val="18"/>
              </w:rPr>
              <w:t>Research and development</w:t>
            </w:r>
            <w:r>
              <w:rPr>
                <w:rFonts w:ascii="Times New Roman;serif" w:hAnsi="Times New Roman;serif"/>
                <w:b w:val="false"/>
                <w:color w:val="000000"/>
                <w:sz w:val="12"/>
              </w:rPr>
              <w:t>(1)</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24,638 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(1)</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8,622 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38,382 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erif" w:hAnsi="Times New Roman;serif"/>
                <w:b w:val="false"/>
                <w:color w:val="000000"/>
                <w:sz w:val="18"/>
              </w:rPr>
              <w:t>Sales and marketing</w:t>
            </w:r>
            <w:r>
              <w:rPr>
                <w:rFonts w:ascii="Times New Roman;serif" w:hAnsi="Times New Roman;serif"/>
                <w:b w:val="false"/>
                <w:color w:val="000000"/>
                <w:sz w:val="12"/>
              </w:rPr>
              <w:t>(1)</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21,247 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18,391 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75,817 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(3,937)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(3,520)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(2,392)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(3,597)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(7,663)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(7,117)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(10,055)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shares of common stock used to compute net loss per share:</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92,786,358 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89,577,172 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92,283,974 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87,380,708 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color w:val="000000"/>
        </w:rPr>
      </w:pPr>
      <w:r>
        <w:rPr>
          <w:color w:val="000000"/>
        </w:rPr>
        <w:t>    </w:t>
      </w:r>
    </w:p>
    <w:p>
      <w:pPr>
        <w:pStyle w:val="TextBody"/>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(1)Includes stock-based compensation expense as follows:</w:t>
      </w:r>
    </w:p>
    <w:tbl>
      <w:tblPr>
        <w:tblW w:w="8371" w:type="dxa"/>
        <w:jc w:val="center"/>
        <w:tblInd w:w="0" w:type="dxa"/>
        <w:tblLayout w:type="fixed"/>
        <w:tblCellMar>
          <w:top w:w="28" w:type="dxa"/>
          <w:left w:w="28" w:type="dxa"/>
          <w:bottom w:w="28" w:type="dxa"/>
          <w:right w:w="28" w:type="dxa"/>
        </w:tblCellMar>
      </w:tblPr>
      <w:tblGrid>
        <w:gridCol w:w="1064"/>
        <w:gridCol w:w="934"/>
        <w:gridCol w:w="941"/>
        <w:gridCol w:w="259"/>
        <w:gridCol w:w="737"/>
        <w:gridCol w:w="144"/>
        <w:gridCol w:w="144"/>
        <w:gridCol w:w="144"/>
        <w:gridCol w:w="144"/>
        <w:gridCol w:w="259"/>
        <w:gridCol w:w="856"/>
        <w:gridCol w:w="144"/>
        <w:gridCol w:w="109"/>
        <w:gridCol w:w="109"/>
        <w:gridCol w:w="109"/>
        <w:gridCol w:w="196"/>
        <w:gridCol w:w="646"/>
        <w:gridCol w:w="109"/>
        <w:gridCol w:w="109"/>
        <w:gridCol w:w="109"/>
        <w:gridCol w:w="109"/>
        <w:gridCol w:w="196"/>
        <w:gridCol w:w="64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Cost of revenue, net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2,198 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3,845 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4,997 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10,002 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33,537 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Consolidated Statements of Cash Flows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156" w:type="dxa"/>
        <w:jc w:val="left"/>
        <w:tblInd w:w="0" w:type="dxa"/>
        <w:tblLayout w:type="fixed"/>
        <w:tblCellMar>
          <w:top w:w="28" w:type="dxa"/>
          <w:left w:w="28" w:type="dxa"/>
          <w:bottom w:w="28" w:type="dxa"/>
          <w:right w:w="28" w:type="dxa"/>
        </w:tblCellMar>
      </w:tblPr>
      <w:tblGrid>
        <w:gridCol w:w="2717"/>
        <w:gridCol w:w="2381"/>
        <w:gridCol w:w="2401"/>
        <w:gridCol w:w="196"/>
        <w:gridCol w:w="736"/>
        <w:gridCol w:w="109"/>
        <w:gridCol w:w="109"/>
        <w:gridCol w:w="109"/>
        <w:gridCol w:w="109"/>
        <w:gridCol w:w="196"/>
        <w:gridCol w:w="721"/>
        <w:gridCol w:w="109"/>
        <w:gridCol w:w="109"/>
        <w:gridCol w:w="154"/>
      </w:tblGrid>
      <w:tr>
        <w:trPr/>
        <w:tc>
          <w:tcPr>
            <w:tcW w:w="2717"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Reduction of operating lease right-of-use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on impairment, receivables and sale or disposal of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Principal payments of outstanding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Payments for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Repurchases of early exercised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Proceeds from common stock purchased under Matching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on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Payments for employee taxes withheld from stock-based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items: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capitalized as software development costs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and capitalized software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Fair value of common stock issued to settle liability-classified restricted stock units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Cashless exercise of stock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Reconciliation of cash and cash equivalents and restricted cash to the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Consolidated Statements of Cash Flows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6271" w:type="dxa"/>
        <w:jc w:val="left"/>
        <w:tblInd w:w="0" w:type="dxa"/>
        <w:tblLayout w:type="fixed"/>
        <w:tblCellMar>
          <w:top w:w="28" w:type="dxa"/>
          <w:left w:w="28" w:type="dxa"/>
          <w:bottom w:w="28" w:type="dxa"/>
          <w:right w:w="28" w:type="dxa"/>
        </w:tblCellMar>
      </w:tblPr>
      <w:tblGrid>
        <w:gridCol w:w="1337"/>
        <w:gridCol w:w="1170"/>
        <w:gridCol w:w="1182"/>
        <w:gridCol w:w="196"/>
        <w:gridCol w:w="736"/>
        <w:gridCol w:w="109"/>
        <w:gridCol w:w="109"/>
        <w:gridCol w:w="109"/>
        <w:gridCol w:w="109"/>
        <w:gridCol w:w="196"/>
        <w:gridCol w:w="646"/>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settlement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Reconciliation of GAAP to Non-GAAP Financial Measures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percentages)</w:t>
      </w:r>
    </w:p>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Adjusted EBITDA and Adjusted EBITDA Margin</w:t>
      </w:r>
    </w:p>
    <w:tbl>
      <w:tblPr>
        <w:tblW w:w="8501" w:type="dxa"/>
        <w:jc w:val="left"/>
        <w:tblInd w:w="0" w:type="dxa"/>
        <w:tblLayout w:type="fixed"/>
        <w:tblCellMar>
          <w:top w:w="28" w:type="dxa"/>
          <w:left w:w="28" w:type="dxa"/>
          <w:bottom w:w="28" w:type="dxa"/>
          <w:right w:w="28" w:type="dxa"/>
        </w:tblCellMar>
      </w:tblPr>
      <w:tblGrid>
        <w:gridCol w:w="949"/>
        <w:gridCol w:w="834"/>
        <w:gridCol w:w="841"/>
        <w:gridCol w:w="221"/>
        <w:gridCol w:w="713"/>
        <w:gridCol w:w="289"/>
        <w:gridCol w:w="123"/>
        <w:gridCol w:w="123"/>
        <w:gridCol w:w="123"/>
        <w:gridCol w:w="221"/>
        <w:gridCol w:w="730"/>
        <w:gridCol w:w="289"/>
        <w:gridCol w:w="109"/>
        <w:gridCol w:w="109"/>
        <w:gridCol w:w="109"/>
        <w:gridCol w:w="196"/>
        <w:gridCol w:w="721"/>
        <w:gridCol w:w="256"/>
        <w:gridCol w:w="109"/>
        <w:gridCol w:w="109"/>
        <w:gridCol w:w="109"/>
        <w:gridCol w:w="196"/>
        <w:gridCol w:w="721"/>
        <w:gridCol w:w="301"/>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(7,117)</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(1,312)</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(21,389)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(10,055)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 margin</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3,597 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10,002 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26,578 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33,537 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12,390 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16,858 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39,372 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9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Non-GAAP Net (Loss) Income and Non-GAAP Net (Loss) Income Margin</w:t>
      </w:r>
    </w:p>
    <w:tbl>
      <w:tblPr>
        <w:tblW w:w="8678" w:type="dxa"/>
        <w:jc w:val="left"/>
        <w:tblInd w:w="0" w:type="dxa"/>
        <w:tblLayout w:type="fixed"/>
        <w:tblCellMar>
          <w:top w:w="28" w:type="dxa"/>
          <w:left w:w="28" w:type="dxa"/>
          <w:bottom w:w="28" w:type="dxa"/>
          <w:right w:w="28" w:type="dxa"/>
        </w:tblCellMar>
      </w:tblPr>
      <w:tblGrid>
        <w:gridCol w:w="1014"/>
        <w:gridCol w:w="890"/>
        <w:gridCol w:w="900"/>
        <w:gridCol w:w="222"/>
        <w:gridCol w:w="717"/>
        <w:gridCol w:w="291"/>
        <w:gridCol w:w="123"/>
        <w:gridCol w:w="123"/>
        <w:gridCol w:w="123"/>
        <w:gridCol w:w="222"/>
        <w:gridCol w:w="717"/>
        <w:gridCol w:w="291"/>
        <w:gridCol w:w="109"/>
        <w:gridCol w:w="109"/>
        <w:gridCol w:w="109"/>
        <w:gridCol w:w="196"/>
        <w:gridCol w:w="721"/>
        <w:gridCol w:w="256"/>
        <w:gridCol w:w="109"/>
        <w:gridCol w:w="109"/>
        <w:gridCol w:w="109"/>
        <w:gridCol w:w="196"/>
        <w:gridCol w:w="721"/>
        <w:gridCol w:w="301"/>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(7,117)</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(1,312)</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(21,389)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(10,055)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 margin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10,002 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26,578 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33,537 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Non-GAAP net (loss)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(2,120)</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8,690 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23,482 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Non-GAAP net (loss) income margin</w:t>
            </w:r>
          </w:p>
        </w:tc>
        <w:tc>
          <w:tcPr>
            <w:tcW w:w="9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Free Cash Flow and Free Cash Flow Margin</w:t>
      </w:r>
    </w:p>
    <w:tbl>
      <w:tblPr>
        <w:tblW w:w="8874" w:type="dxa"/>
        <w:jc w:val="left"/>
        <w:tblInd w:w="0" w:type="dxa"/>
        <w:tblLayout w:type="fixed"/>
        <w:tblCellMar>
          <w:top w:w="28" w:type="dxa"/>
          <w:left w:w="28" w:type="dxa"/>
          <w:bottom w:w="28" w:type="dxa"/>
          <w:right w:w="28" w:type="dxa"/>
        </w:tblCellMar>
      </w:tblPr>
      <w:tblGrid>
        <w:gridCol w:w="1142"/>
        <w:gridCol w:w="1000"/>
        <w:gridCol w:w="1008"/>
        <w:gridCol w:w="237"/>
        <w:gridCol w:w="672"/>
        <w:gridCol w:w="309"/>
        <w:gridCol w:w="131"/>
        <w:gridCol w:w="131"/>
        <w:gridCol w:w="131"/>
        <w:gridCol w:w="237"/>
        <w:gridCol w:w="672"/>
        <w:gridCol w:w="309"/>
        <w:gridCol w:w="109"/>
        <w:gridCol w:w="109"/>
        <w:gridCol w:w="109"/>
        <w:gridCol w:w="196"/>
        <w:gridCol w:w="646"/>
        <w:gridCol w:w="256"/>
        <w:gridCol w:w="109"/>
        <w:gridCol w:w="109"/>
        <w:gridCol w:w="109"/>
        <w:gridCol w:w="196"/>
        <w:gridCol w:w="646"/>
        <w:gridCol w:w="301"/>
      </w:tblGrid>
      <w:tr>
        <w:trPr/>
        <w:tc>
          <w:tcPr>
            <w:tcW w:w="114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7,402 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20,089 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23,877 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cash flow margin</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Changes in settlement assets and liabilities: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assets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(5,852)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(10,733)</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2,469 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liabilities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7,693 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10,534 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Software development costs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(929)</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(7,628)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3,245 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6,274 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19,888 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23,863 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Free cash flow margin</w:t>
            </w:r>
          </w:p>
        </w:tc>
        <w:tc>
          <w:tcPr>
            <w:tcW w:w="9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0"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22"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4"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26"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28"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30"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32"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3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3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3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40"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42"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44"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46"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48"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0"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2"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5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3" descr=""/>
                    <pic:cNvPicPr>
                      <a:picLocks noChangeAspect="1" noChangeArrowheads="1"/>
                    </pic:cNvPicPr>
                  </pic:nvPicPr>
                  <pic:blipFill>
                    <a:blip r:embed="rId2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0"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4" descr=""/>
                    <pic:cNvPicPr>
                      <a:picLocks noChangeAspect="1" noChangeArrowheads="1"/>
                    </pic:cNvPicPr>
                  </pic:nvPicPr>
                  <pic:blipFill>
                    <a:blip r:embed="rId2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2"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5" descr=""/>
                    <pic:cNvPicPr>
                      <a:picLocks noChangeAspect="1" noChangeArrowheads="1"/>
                    </pic:cNvPicPr>
                  </pic:nvPicPr>
                  <pic:blipFill>
                    <a:blip r:embed="rId26"/>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4"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6" descr=""/>
                    <pic:cNvPicPr>
                      <a:picLocks noChangeAspect="1" noChangeArrowheads="1"/>
                    </pic:cNvPicPr>
                  </pic:nvPicPr>
                  <pic:blipFill>
                    <a:blip r:embed="rId2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6"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7" descr=""/>
                    <pic:cNvPicPr>
                      <a:picLocks noChangeAspect="1" noChangeArrowheads="1"/>
                    </pic:cNvPicPr>
                  </pic:nvPicPr>
                  <pic:blipFill>
                    <a:blip r:embed="rId2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8"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8" descr=""/>
                    <pic:cNvPicPr>
                      <a:picLocks noChangeAspect="1" noChangeArrowheads="1"/>
                    </pic:cNvPicPr>
                  </pic:nvPicPr>
                  <pic:blipFill>
                    <a:blip r:embed="rId2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0"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9" descr=""/>
                    <pic:cNvPicPr>
                      <a:picLocks noChangeAspect="1" noChangeArrowheads="1"/>
                    </pic:cNvPicPr>
                  </pic:nvPicPr>
                  <pic:blipFill>
                    <a:blip r:embed="rId3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2"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7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0" descr=""/>
                    <pic:cNvPicPr>
                      <a:picLocks noChangeAspect="1" noChangeArrowheads="1"/>
                    </pic:cNvPicPr>
                  </pic:nvPicPr>
                  <pic:blipFill>
                    <a:blip r:embed="rId3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7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1" descr=""/>
                    <pic:cNvPicPr>
                      <a:picLocks noChangeAspect="1" noChangeArrowheads="1"/>
                    </pic:cNvPicPr>
                  </pic:nvPicPr>
                  <pic:blipFill>
                    <a:blip r:embed="rId3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7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2" descr=""/>
                    <pic:cNvPicPr>
                      <a:picLocks noChangeAspect="1" noChangeArrowheads="1"/>
                    </pic:cNvPicPr>
                  </pic:nvPicPr>
                  <pic:blipFill>
                    <a:blip r:embed="rId33"/>
                    <a:stretch>
                      <a:fillRect/>
                    </a:stretch>
                  </pic:blipFill>
                  <pic:spPr bwMode="auto">
                    <a:xfrm>
                      <a:off x="0" y="0"/>
                      <a:ext cx="9144000" cy="51435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23.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4826</Words>
  <Characters>27224</Characters>
  <CharactersWithSpaces>31428</CharactersWithSpaces>
  <Paragraphs>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