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71"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2"/>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20" w:type="dxa"/>
            <w:vAlign w:val="bottom"/>
          </w:tcPr>
          <w:p>
            <w:pPr>
              <w:jc w:val="right"/>
              <w:ind w:right="44"/>
              <w:spacing w:after="0"/>
              <w:rPr>
                <w:sz w:val="20"/>
                <w:szCs w:val="20"/>
                <w:color w:val="auto"/>
              </w:rPr>
            </w:pPr>
            <w:r>
              <w:rPr>
                <w:rFonts w:ascii="Arial" w:cs="Arial" w:eastAsia="Arial" w:hAnsi="Arial"/>
                <w:sz w:val="7"/>
                <w:szCs w:val="7"/>
                <w:color w:val="auto"/>
                <w:w w:val="71"/>
              </w:rPr>
              <w:t>*</w:t>
            </w:r>
          </w:p>
        </w:tc>
        <w:tc>
          <w:tcPr>
            <w:tcW w:w="16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60" w:type="dxa"/>
            <w:vAlign w:val="bottom"/>
            <w:gridSpan w:val="3"/>
            <w:vMerge w:val="restart"/>
          </w:tcPr>
          <w:p>
            <w:pPr>
              <w:spacing w:after="0" w:line="256" w:lineRule="exact"/>
              <w:rPr>
                <w:rFonts w:ascii="Arial" w:cs="Arial" w:eastAsia="Arial" w:hAnsi="Arial"/>
                <w:sz w:val="24"/>
                <w:szCs w:val="24"/>
                <w:color w:val="0000EE"/>
                <w:w w:val="96"/>
              </w:rPr>
            </w:pPr>
            <w:hyperlink r:id="rId10">
              <w:r>
                <w:rPr>
                  <w:rFonts w:ascii="Arial" w:cs="Arial" w:eastAsia="Arial" w:hAnsi="Arial"/>
                  <w:sz w:val="24"/>
                  <w:szCs w:val="24"/>
                  <w:color w:val="0000EE"/>
                  <w:w w:val="96"/>
                </w:rPr>
                <w:t>OpenView Management, LLC</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3"/>
            <w:vMerge w:val="continue"/>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8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11/09/2021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Expensify,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EXFY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71"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77"/>
        <w:spacing w:after="0" w:line="269" w:lineRule="auto"/>
        <w:rPr>
          <w:sz w:val="20"/>
          <w:szCs w:val="20"/>
          <w:color w:val="auto"/>
        </w:rPr>
      </w:pPr>
      <w:r>
        <w:rPr>
          <w:rFonts w:ascii="Arial" w:cs="Arial" w:eastAsia="Arial" w:hAnsi="Arial"/>
          <w:sz w:val="20"/>
          <w:szCs w:val="20"/>
          <w:color w:val="0000FF"/>
        </w:rPr>
        <w:t>303 CONGRESS STREET, 7TH FLOOR</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71" w:orient="portrait"/>
          <w:cols w:equalWidth="0" w:num="3">
            <w:col w:w="4277" w:space="720"/>
            <w:col w:w="3003" w:space="269"/>
            <w:col w:w="2671"/>
          </w:cols>
          <w:pgMar w:left="480" w:top="236" w:right="479" w:bottom="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ind w:left="14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(I) (Instr. 5)</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A Common Stock</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vMerge w:val="restart"/>
          </w:tcPr>
          <w:p>
            <w:pPr>
              <w:jc w:val="right"/>
              <w:ind w:right="370"/>
              <w:spacing w:after="0"/>
              <w:rPr>
                <w:sz w:val="20"/>
                <w:szCs w:val="20"/>
                <w:color w:val="auto"/>
              </w:rPr>
            </w:pPr>
            <w:r>
              <w:rPr>
                <w:rFonts w:ascii="Arial" w:cs="Arial" w:eastAsia="Arial" w:hAnsi="Arial"/>
                <w:sz w:val="20"/>
                <w:szCs w:val="20"/>
                <w:color w:val="0000FF"/>
              </w:rPr>
              <w:t>30,500</w:t>
            </w:r>
          </w:p>
        </w:tc>
        <w:tc>
          <w:tcPr>
            <w:tcW w:w="1000" w:type="dxa"/>
            <w:vAlign w:val="bottom"/>
            <w:vMerge w:val="restart"/>
          </w:tcPr>
          <w:p>
            <w:pPr>
              <w:ind w:left="880"/>
              <w:spacing w:after="0"/>
              <w:rPr>
                <w:sz w:val="20"/>
                <w:szCs w:val="20"/>
                <w:color w:val="auto"/>
              </w:rPr>
            </w:pPr>
            <w:r>
              <w:rPr>
                <w:rFonts w:ascii="Arial" w:cs="Arial" w:eastAsia="Arial" w:hAnsi="Arial"/>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w w:val="99"/>
              </w:rPr>
              <w:t>By OpenView Venture Partners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gridSpan w:val="2"/>
            <w:vMerge w:val="restart"/>
          </w:tcPr>
          <w:p>
            <w:pPr>
              <w:spacing w:after="0"/>
              <w:rPr>
                <w:sz w:val="20"/>
                <w:szCs w:val="20"/>
                <w:color w:val="auto"/>
              </w:rPr>
            </w:pPr>
            <w:r>
              <w:rPr>
                <w:rFonts w:ascii="Arial" w:cs="Arial" w:eastAsia="Arial" w:hAnsi="Arial"/>
                <w:sz w:val="20"/>
                <w:szCs w:val="20"/>
                <w:color w:val="0000FF"/>
              </w:rPr>
              <w:t>IV, L.P.</w:t>
            </w:r>
            <w:r>
              <w:rPr>
                <w:rFonts w:ascii="Arial" w:cs="Arial" w:eastAsia="Arial" w:hAnsi="Arial"/>
                <w:sz w:val="25"/>
                <w:szCs w:val="25"/>
                <w:color w:val="008000"/>
                <w:vertAlign w:val="superscript"/>
              </w:rPr>
              <w:t>(1)</w:t>
            </w: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gridSpan w:val="2"/>
            <w:vMerge w:val="continue"/>
          </w:tcPr>
          <w:p>
            <w:pPr>
              <w:spacing w:after="0"/>
              <w:rPr>
                <w:sz w:val="16"/>
                <w:szCs w:val="16"/>
                <w:color w:val="auto"/>
              </w:rPr>
            </w:pPr>
          </w:p>
        </w:tc>
        <w:tc>
          <w:tcPr>
            <w:tcW w:w="13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A Common Stock</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vMerge w:val="restart"/>
          </w:tcPr>
          <w:p>
            <w:pPr>
              <w:jc w:val="right"/>
              <w:ind w:right="410"/>
              <w:spacing w:after="0"/>
              <w:rPr>
                <w:sz w:val="20"/>
                <w:szCs w:val="20"/>
                <w:color w:val="auto"/>
              </w:rPr>
            </w:pPr>
            <w:r>
              <w:rPr>
                <w:rFonts w:ascii="Arial" w:cs="Arial" w:eastAsia="Arial" w:hAnsi="Arial"/>
                <w:sz w:val="20"/>
                <w:szCs w:val="20"/>
                <w:color w:val="0000FF"/>
              </w:rPr>
              <w:t>1,000</w:t>
            </w:r>
          </w:p>
        </w:tc>
        <w:tc>
          <w:tcPr>
            <w:tcW w:w="1000" w:type="dxa"/>
            <w:vAlign w:val="bottom"/>
            <w:vMerge w:val="restart"/>
          </w:tcPr>
          <w:p>
            <w:pPr>
              <w:ind w:left="880"/>
              <w:spacing w:after="0"/>
              <w:rPr>
                <w:sz w:val="20"/>
                <w:szCs w:val="20"/>
                <w:color w:val="auto"/>
              </w:rPr>
            </w:pPr>
            <w:r>
              <w:rPr>
                <w:rFonts w:ascii="Arial" w:cs="Arial" w:eastAsia="Arial" w:hAnsi="Arial"/>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w w:val="97"/>
              </w:rPr>
              <w:t>By OpenView Affiliates Fund IV,</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vMerge w:val="restart"/>
          </w:tcPr>
          <w:p>
            <w:pPr>
              <w:spacing w:after="0"/>
              <w:rPr>
                <w:sz w:val="20"/>
                <w:szCs w:val="20"/>
                <w:color w:val="auto"/>
              </w:rPr>
            </w:pPr>
            <w:r>
              <w:rPr>
                <w:rFonts w:ascii="Arial" w:cs="Arial" w:eastAsia="Arial" w:hAnsi="Arial"/>
                <w:sz w:val="20"/>
                <w:szCs w:val="20"/>
                <w:color w:val="0000FF"/>
                <w:w w:val="78"/>
              </w:rPr>
              <w:t>L.P.</w:t>
            </w:r>
            <w:r>
              <w:rPr>
                <w:rFonts w:ascii="Arial" w:cs="Arial" w:eastAsia="Arial" w:hAnsi="Arial"/>
                <w:sz w:val="25"/>
                <w:szCs w:val="25"/>
                <w:color w:val="008000"/>
                <w:w w:val="78"/>
                <w:vertAlign w:val="superscript"/>
              </w:rPr>
              <w:t>(2)</w:t>
            </w: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vMerge w:val="continue"/>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280" w:type="dxa"/>
            <w:vAlign w:val="bottom"/>
            <w:tcBorders>
              <w:top w:val="single" w:sz="8" w:color="2C2C2C"/>
            </w:tcBorders>
            <w:gridSpan w:val="6"/>
          </w:tcPr>
          <w:p>
            <w:pPr>
              <w:jc w:val="right"/>
              <w:ind w:right="331"/>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00" w:type="dxa"/>
            <w:vAlign w:val="bottom"/>
          </w:tcPr>
          <w:p>
            <w:pPr>
              <w:spacing w:after="0"/>
              <w:rPr>
                <w:sz w:val="17"/>
                <w:szCs w:val="17"/>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6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00" w:type="dxa"/>
            <w:vAlign w:val="bottom"/>
          </w:tcPr>
          <w:p>
            <w:pPr>
              <w:spacing w:after="0"/>
              <w:rPr>
                <w:sz w:val="14"/>
                <w:szCs w:val="14"/>
                <w:color w:val="auto"/>
              </w:rPr>
            </w:pP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0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10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8"/>
              </w:rPr>
              <w:t>Series B Convertible Preferred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0"/>
                <w:szCs w:val="20"/>
                <w:color w:val="0000FF"/>
              </w:rPr>
              <w:t>By OpenView</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760" w:type="dxa"/>
            <w:vAlign w:val="bottom"/>
            <w:vMerge w:val="continue"/>
          </w:tcPr>
          <w:p>
            <w:pPr>
              <w:spacing w:after="0"/>
              <w:rPr>
                <w:sz w:val="23"/>
                <w:szCs w:val="23"/>
                <w:color w:val="auto"/>
              </w:rPr>
            </w:pPr>
          </w:p>
        </w:tc>
        <w:tc>
          <w:tcPr>
            <w:tcW w:w="10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8000"/>
                <w:w w:val="87"/>
              </w:rPr>
              <w:t>(3)</w:t>
            </w:r>
          </w:p>
        </w:tc>
        <w:tc>
          <w:tcPr>
            <w:tcW w:w="1820" w:type="dxa"/>
            <w:vAlign w:val="bottom"/>
            <w:vMerge w:val="continue"/>
          </w:tcPr>
          <w:p>
            <w:pPr>
              <w:spacing w:after="0"/>
              <w:rPr>
                <w:sz w:val="23"/>
                <w:szCs w:val="23"/>
                <w:color w:val="auto"/>
              </w:rPr>
            </w:pPr>
          </w:p>
        </w:tc>
        <w:tc>
          <w:tcPr>
            <w:tcW w:w="1000" w:type="dxa"/>
            <w:vAlign w:val="bottom"/>
          </w:tcPr>
          <w:p>
            <w:pPr>
              <w:jc w:val="center"/>
              <w:spacing w:after="0" w:line="265" w:lineRule="exact"/>
              <w:rPr>
                <w:sz w:val="20"/>
                <w:szCs w:val="20"/>
                <w:color w:val="auto"/>
              </w:rPr>
            </w:pPr>
            <w:r>
              <w:rPr>
                <w:rFonts w:ascii="Arial" w:cs="Arial" w:eastAsia="Arial" w:hAnsi="Arial"/>
                <w:sz w:val="20"/>
                <w:szCs w:val="20"/>
                <w:color w:val="0000FF"/>
                <w:w w:val="84"/>
              </w:rPr>
              <w:t>3,590,720</w:t>
            </w:r>
            <w:r>
              <w:rPr>
                <w:rFonts w:ascii="Arial" w:cs="Arial" w:eastAsia="Arial" w:hAnsi="Arial"/>
                <w:sz w:val="25"/>
                <w:szCs w:val="25"/>
                <w:color w:val="008000"/>
                <w:w w:val="84"/>
                <w:vertAlign w:val="superscript"/>
              </w:rPr>
              <w:t>(3)</w:t>
            </w:r>
          </w:p>
        </w:tc>
        <w:tc>
          <w:tcPr>
            <w:tcW w:w="580" w:type="dxa"/>
            <w:vAlign w:val="bottom"/>
          </w:tcPr>
          <w:p>
            <w:pPr>
              <w:jc w:val="right"/>
              <w:spacing w:after="0"/>
              <w:rPr>
                <w:sz w:val="20"/>
                <w:szCs w:val="20"/>
                <w:color w:val="auto"/>
              </w:rPr>
            </w:pPr>
            <w:r>
              <w:rPr>
                <w:rFonts w:ascii="Arial" w:cs="Arial" w:eastAsia="Arial" w:hAnsi="Arial"/>
                <w:sz w:val="13"/>
                <w:szCs w:val="13"/>
                <w:color w:val="008000"/>
              </w:rPr>
              <w:t>(3)</w:t>
            </w:r>
          </w:p>
        </w:tc>
        <w:tc>
          <w:tcPr>
            <w:tcW w:w="460" w:type="dxa"/>
            <w:vAlign w:val="bottom"/>
          </w:tcPr>
          <w:p>
            <w:pPr>
              <w:spacing w:after="0"/>
              <w:rPr>
                <w:sz w:val="23"/>
                <w:szCs w:val="23"/>
                <w:color w:val="auto"/>
              </w:rPr>
            </w:pPr>
          </w:p>
        </w:tc>
        <w:tc>
          <w:tcPr>
            <w:tcW w:w="940" w:type="dxa"/>
            <w:vAlign w:val="bottom"/>
          </w:tcPr>
          <w:p>
            <w:pPr>
              <w:ind w:left="380"/>
              <w:spacing w:after="0"/>
              <w:rPr>
                <w:sz w:val="20"/>
                <w:szCs w:val="20"/>
                <w:color w:val="auto"/>
              </w:rPr>
            </w:pPr>
            <w:r>
              <w:rPr>
                <w:rFonts w:ascii="Arial" w:cs="Arial" w:eastAsia="Arial" w:hAnsi="Arial"/>
                <w:sz w:val="20"/>
                <w:szCs w:val="20"/>
                <w:color w:val="0000FF"/>
              </w:rPr>
              <w:t>I</w:t>
            </w:r>
          </w:p>
        </w:tc>
        <w:tc>
          <w:tcPr>
            <w:tcW w:w="1380" w:type="dxa"/>
            <w:vAlign w:val="bottom"/>
            <w:gridSpan w:val="2"/>
          </w:tcPr>
          <w:p>
            <w:pPr>
              <w:ind w:left="20"/>
              <w:spacing w:after="0"/>
              <w:rPr>
                <w:sz w:val="20"/>
                <w:szCs w:val="20"/>
                <w:color w:val="auto"/>
              </w:rPr>
            </w:pPr>
            <w:r>
              <w:rPr>
                <w:rFonts w:ascii="Arial" w:cs="Arial" w:eastAsia="Arial" w:hAnsi="Arial"/>
                <w:sz w:val="20"/>
                <w:szCs w:val="20"/>
                <w:color w:val="0000FF"/>
              </w:rPr>
              <w:t>Venture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Pr>
          <w:p>
            <w:pPr>
              <w:ind w:left="80"/>
              <w:spacing w:after="0" w:line="208" w:lineRule="exact"/>
              <w:rPr>
                <w:sz w:val="20"/>
                <w:szCs w:val="20"/>
                <w:color w:val="auto"/>
              </w:rPr>
            </w:pPr>
            <w:r>
              <w:rPr>
                <w:rFonts w:ascii="Arial" w:cs="Arial" w:eastAsia="Arial" w:hAnsi="Arial"/>
                <w:sz w:val="20"/>
                <w:szCs w:val="20"/>
                <w:color w:val="0000FF"/>
              </w:rPr>
              <w:t>Stock</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jc w:val="center"/>
              <w:ind w:right="10"/>
              <w:spacing w:after="0" w:line="208" w:lineRule="exact"/>
              <w:rPr>
                <w:sz w:val="20"/>
                <w:szCs w:val="20"/>
                <w:color w:val="auto"/>
              </w:rPr>
            </w:pPr>
            <w:r>
              <w:rPr>
                <w:rFonts w:ascii="Arial" w:cs="Arial" w:eastAsia="Arial" w:hAnsi="Arial"/>
                <w:sz w:val="20"/>
                <w:szCs w:val="20"/>
                <w:color w:val="0000FF"/>
                <w:w w:val="87"/>
              </w:rPr>
              <w:t>Stock</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gridSpan w:val="2"/>
          </w:tcPr>
          <w:p>
            <w:pPr>
              <w:ind w:left="20"/>
              <w:spacing w:after="0" w:line="208" w:lineRule="exact"/>
              <w:rPr>
                <w:sz w:val="20"/>
                <w:szCs w:val="20"/>
                <w:color w:val="auto"/>
              </w:rPr>
            </w:pPr>
            <w:r>
              <w:rPr>
                <w:rFonts w:ascii="Arial" w:cs="Arial" w:eastAsia="Arial" w:hAnsi="Arial"/>
                <w:sz w:val="20"/>
                <w:szCs w:val="20"/>
                <w:color w:val="0000FF"/>
                <w:w w:val="91"/>
              </w:rPr>
              <w:t>Partners IV, L.P.</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008000"/>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8"/>
              </w:rPr>
              <w:t>Series B Convertible Preferred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0"/>
                <w:szCs w:val="20"/>
                <w:color w:val="0000FF"/>
              </w:rPr>
              <w:t>By OpenView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8000"/>
                <w:w w:val="87"/>
              </w:rPr>
              <w:t>(3)</w:t>
            </w:r>
          </w:p>
        </w:tc>
        <w:tc>
          <w:tcPr>
            <w:tcW w:w="1820" w:type="dxa"/>
            <w:vAlign w:val="bottom"/>
            <w:vMerge w:val="continue"/>
          </w:tcPr>
          <w:p>
            <w:pPr>
              <w:spacing w:after="0"/>
              <w:rPr>
                <w:sz w:val="10"/>
                <w:szCs w:val="10"/>
                <w:color w:val="auto"/>
              </w:rPr>
            </w:pPr>
          </w:p>
        </w:tc>
        <w:tc>
          <w:tcPr>
            <w:tcW w:w="1000" w:type="dxa"/>
            <w:vAlign w:val="bottom"/>
            <w:vMerge w:val="restart"/>
          </w:tcPr>
          <w:p>
            <w:pPr>
              <w:jc w:val="center"/>
              <w:spacing w:after="0" w:line="240" w:lineRule="exact"/>
              <w:rPr>
                <w:sz w:val="20"/>
                <w:szCs w:val="20"/>
                <w:color w:val="auto"/>
              </w:rPr>
            </w:pPr>
            <w:r>
              <w:rPr>
                <w:rFonts w:ascii="Arial" w:cs="Arial" w:eastAsia="Arial" w:hAnsi="Arial"/>
                <w:sz w:val="20"/>
                <w:szCs w:val="20"/>
                <w:color w:val="0000FF"/>
                <w:w w:val="81"/>
              </w:rPr>
              <w:t>117,390</w:t>
            </w:r>
            <w:r>
              <w:rPr>
                <w:rFonts w:ascii="Arial" w:cs="Arial" w:eastAsia="Arial" w:hAnsi="Arial"/>
                <w:sz w:val="25"/>
                <w:szCs w:val="25"/>
                <w:color w:val="008000"/>
                <w:w w:val="81"/>
                <w:vertAlign w:val="superscript"/>
              </w:rPr>
              <w:t>(3)</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008000"/>
              </w:rPr>
              <w:t>(3)</w:t>
            </w:r>
          </w:p>
        </w:tc>
        <w:tc>
          <w:tcPr>
            <w:tcW w:w="460" w:type="dxa"/>
            <w:vAlign w:val="bottom"/>
          </w:tcPr>
          <w:p>
            <w:pPr>
              <w:spacing w:after="0"/>
              <w:rPr>
                <w:sz w:val="10"/>
                <w:szCs w:val="10"/>
                <w:color w:val="auto"/>
              </w:rPr>
            </w:pPr>
          </w:p>
        </w:tc>
        <w:tc>
          <w:tcPr>
            <w:tcW w:w="940" w:type="dxa"/>
            <w:vAlign w:val="bottom"/>
            <w:vMerge w:val="restart"/>
          </w:tcPr>
          <w:p>
            <w:pPr>
              <w:ind w:left="380"/>
              <w:spacing w:after="0"/>
              <w:rPr>
                <w:sz w:val="20"/>
                <w:szCs w:val="20"/>
                <w:color w:val="auto"/>
              </w:rPr>
            </w:pPr>
            <w:r>
              <w:rPr>
                <w:rFonts w:ascii="Arial" w:cs="Arial" w:eastAsia="Arial" w:hAnsi="Arial"/>
                <w:sz w:val="20"/>
                <w:szCs w:val="20"/>
                <w:color w:val="0000FF"/>
              </w:rPr>
              <w:t>I</w:t>
            </w:r>
          </w:p>
        </w:tc>
        <w:tc>
          <w:tcPr>
            <w:tcW w:w="1380" w:type="dxa"/>
            <w:vAlign w:val="bottom"/>
            <w:gridSpan w:val="2"/>
            <w:vMerge w:val="restart"/>
          </w:tcPr>
          <w:p>
            <w:pPr>
              <w:ind w:left="20"/>
              <w:spacing w:after="0"/>
              <w:rPr>
                <w:sz w:val="20"/>
                <w:szCs w:val="20"/>
                <w:color w:val="auto"/>
              </w:rPr>
            </w:pPr>
            <w:r>
              <w:rPr>
                <w:rFonts w:ascii="Arial" w:cs="Arial" w:eastAsia="Arial" w:hAnsi="Arial"/>
                <w:sz w:val="20"/>
                <w:szCs w:val="20"/>
                <w:color w:val="0000FF"/>
              </w:rPr>
              <w:t>Affiliates Fund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08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20"/>
                <w:szCs w:val="20"/>
                <w:color w:val="0000FF"/>
                <w:w w:val="87"/>
              </w:rPr>
              <w:t>Stock</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vMerge w:val="restart"/>
          </w:tcPr>
          <w:p>
            <w:pPr>
              <w:ind w:left="20"/>
              <w:spacing w:after="0"/>
              <w:rPr>
                <w:sz w:val="20"/>
                <w:szCs w:val="20"/>
                <w:color w:val="auto"/>
              </w:rPr>
            </w:pPr>
            <w:r>
              <w:rPr>
                <w:rFonts w:ascii="Arial" w:cs="Arial" w:eastAsia="Arial" w:hAnsi="Arial"/>
                <w:sz w:val="20"/>
                <w:szCs w:val="20"/>
                <w:color w:val="0000FF"/>
              </w:rPr>
              <w:t>IV, L.P.</w:t>
            </w:r>
            <w:r>
              <w:rPr>
                <w:rFonts w:ascii="Arial" w:cs="Arial" w:eastAsia="Arial" w:hAnsi="Arial"/>
                <w:sz w:val="25"/>
                <w:szCs w:val="25"/>
                <w:color w:val="008000"/>
                <w:vertAlign w:val="superscript"/>
              </w:rPr>
              <w:t>(2)</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3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2"/>
              </w:rPr>
              <w:t>Series B-1 Convertible Preferred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0"/>
                <w:szCs w:val="20"/>
                <w:color w:val="0000FF"/>
              </w:rPr>
              <w:t>By OpenView</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760" w:type="dxa"/>
            <w:vAlign w:val="bottom"/>
            <w:vMerge w:val="continue"/>
          </w:tcPr>
          <w:p>
            <w:pPr>
              <w:spacing w:after="0"/>
              <w:rPr>
                <w:sz w:val="23"/>
                <w:szCs w:val="23"/>
                <w:color w:val="auto"/>
              </w:rPr>
            </w:pPr>
          </w:p>
        </w:tc>
        <w:tc>
          <w:tcPr>
            <w:tcW w:w="10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8000"/>
                <w:w w:val="87"/>
              </w:rPr>
              <w:t>(3)</w:t>
            </w:r>
          </w:p>
        </w:tc>
        <w:tc>
          <w:tcPr>
            <w:tcW w:w="1820" w:type="dxa"/>
            <w:vAlign w:val="bottom"/>
            <w:vMerge w:val="continue"/>
          </w:tcPr>
          <w:p>
            <w:pPr>
              <w:spacing w:after="0"/>
              <w:rPr>
                <w:sz w:val="23"/>
                <w:szCs w:val="23"/>
                <w:color w:val="auto"/>
              </w:rPr>
            </w:pPr>
          </w:p>
        </w:tc>
        <w:tc>
          <w:tcPr>
            <w:tcW w:w="1000" w:type="dxa"/>
            <w:vAlign w:val="bottom"/>
          </w:tcPr>
          <w:p>
            <w:pPr>
              <w:jc w:val="center"/>
              <w:ind w:right="12"/>
              <w:spacing w:after="0" w:line="265" w:lineRule="exact"/>
              <w:rPr>
                <w:sz w:val="20"/>
                <w:szCs w:val="20"/>
                <w:color w:val="auto"/>
              </w:rPr>
            </w:pPr>
            <w:r>
              <w:rPr>
                <w:rFonts w:ascii="Arial" w:cs="Arial" w:eastAsia="Arial" w:hAnsi="Arial"/>
                <w:sz w:val="20"/>
                <w:szCs w:val="20"/>
                <w:color w:val="0000FF"/>
                <w:w w:val="84"/>
              </w:rPr>
              <w:t>222,460</w:t>
            </w:r>
            <w:r>
              <w:rPr>
                <w:rFonts w:ascii="Arial" w:cs="Arial" w:eastAsia="Arial" w:hAnsi="Arial"/>
                <w:sz w:val="25"/>
                <w:szCs w:val="25"/>
                <w:color w:val="008000"/>
                <w:w w:val="84"/>
                <w:vertAlign w:val="superscript"/>
              </w:rPr>
              <w:t>(3)</w:t>
            </w:r>
          </w:p>
        </w:tc>
        <w:tc>
          <w:tcPr>
            <w:tcW w:w="580" w:type="dxa"/>
            <w:vAlign w:val="bottom"/>
          </w:tcPr>
          <w:p>
            <w:pPr>
              <w:jc w:val="right"/>
              <w:spacing w:after="0"/>
              <w:rPr>
                <w:sz w:val="20"/>
                <w:szCs w:val="20"/>
                <w:color w:val="auto"/>
              </w:rPr>
            </w:pPr>
            <w:r>
              <w:rPr>
                <w:rFonts w:ascii="Arial" w:cs="Arial" w:eastAsia="Arial" w:hAnsi="Arial"/>
                <w:sz w:val="13"/>
                <w:szCs w:val="13"/>
                <w:color w:val="008000"/>
              </w:rPr>
              <w:t>(3)</w:t>
            </w:r>
          </w:p>
        </w:tc>
        <w:tc>
          <w:tcPr>
            <w:tcW w:w="460" w:type="dxa"/>
            <w:vAlign w:val="bottom"/>
          </w:tcPr>
          <w:p>
            <w:pPr>
              <w:spacing w:after="0"/>
              <w:rPr>
                <w:sz w:val="23"/>
                <w:szCs w:val="23"/>
                <w:color w:val="auto"/>
              </w:rPr>
            </w:pPr>
          </w:p>
        </w:tc>
        <w:tc>
          <w:tcPr>
            <w:tcW w:w="940" w:type="dxa"/>
            <w:vAlign w:val="bottom"/>
          </w:tcPr>
          <w:p>
            <w:pPr>
              <w:ind w:left="380"/>
              <w:spacing w:after="0"/>
              <w:rPr>
                <w:sz w:val="20"/>
                <w:szCs w:val="20"/>
                <w:color w:val="auto"/>
              </w:rPr>
            </w:pPr>
            <w:r>
              <w:rPr>
                <w:rFonts w:ascii="Arial" w:cs="Arial" w:eastAsia="Arial" w:hAnsi="Arial"/>
                <w:sz w:val="20"/>
                <w:szCs w:val="20"/>
                <w:color w:val="0000FF"/>
              </w:rPr>
              <w:t>I</w:t>
            </w:r>
          </w:p>
        </w:tc>
        <w:tc>
          <w:tcPr>
            <w:tcW w:w="1380" w:type="dxa"/>
            <w:vAlign w:val="bottom"/>
            <w:gridSpan w:val="2"/>
          </w:tcPr>
          <w:p>
            <w:pPr>
              <w:ind w:left="20"/>
              <w:spacing w:after="0"/>
              <w:rPr>
                <w:sz w:val="20"/>
                <w:szCs w:val="20"/>
                <w:color w:val="auto"/>
              </w:rPr>
            </w:pPr>
            <w:r>
              <w:rPr>
                <w:rFonts w:ascii="Arial" w:cs="Arial" w:eastAsia="Arial" w:hAnsi="Arial"/>
                <w:sz w:val="20"/>
                <w:szCs w:val="20"/>
                <w:color w:val="0000FF"/>
              </w:rPr>
              <w:t>Venture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Pr>
          <w:p>
            <w:pPr>
              <w:ind w:left="80"/>
              <w:spacing w:after="0" w:line="208" w:lineRule="exact"/>
              <w:rPr>
                <w:sz w:val="20"/>
                <w:szCs w:val="20"/>
                <w:color w:val="auto"/>
              </w:rPr>
            </w:pPr>
            <w:r>
              <w:rPr>
                <w:rFonts w:ascii="Arial" w:cs="Arial" w:eastAsia="Arial" w:hAnsi="Arial"/>
                <w:sz w:val="20"/>
                <w:szCs w:val="20"/>
                <w:color w:val="0000FF"/>
              </w:rPr>
              <w:t>Stock</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jc w:val="center"/>
              <w:ind w:right="10"/>
              <w:spacing w:after="0" w:line="208" w:lineRule="exact"/>
              <w:rPr>
                <w:sz w:val="20"/>
                <w:szCs w:val="20"/>
                <w:color w:val="auto"/>
              </w:rPr>
            </w:pPr>
            <w:r>
              <w:rPr>
                <w:rFonts w:ascii="Arial" w:cs="Arial" w:eastAsia="Arial" w:hAnsi="Arial"/>
                <w:sz w:val="20"/>
                <w:szCs w:val="20"/>
                <w:color w:val="0000FF"/>
                <w:w w:val="87"/>
              </w:rPr>
              <w:t>Stock</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gridSpan w:val="2"/>
          </w:tcPr>
          <w:p>
            <w:pPr>
              <w:ind w:left="20"/>
              <w:spacing w:after="0" w:line="208" w:lineRule="exact"/>
              <w:rPr>
                <w:sz w:val="20"/>
                <w:szCs w:val="20"/>
                <w:color w:val="auto"/>
              </w:rPr>
            </w:pPr>
            <w:r>
              <w:rPr>
                <w:rFonts w:ascii="Arial" w:cs="Arial" w:eastAsia="Arial" w:hAnsi="Arial"/>
                <w:sz w:val="20"/>
                <w:szCs w:val="20"/>
                <w:color w:val="0000FF"/>
                <w:w w:val="91"/>
              </w:rPr>
              <w:t>Partners IV, L.P.</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008000"/>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2"/>
              </w:rPr>
              <w:t>Series B-1 Convertible Preferred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0"/>
                <w:szCs w:val="20"/>
                <w:color w:val="0000FF"/>
              </w:rPr>
              <w:t>By OpenView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8000"/>
                <w:w w:val="87"/>
              </w:rPr>
              <w:t>(3)</w:t>
            </w:r>
          </w:p>
        </w:tc>
        <w:tc>
          <w:tcPr>
            <w:tcW w:w="1820" w:type="dxa"/>
            <w:vAlign w:val="bottom"/>
            <w:vMerge w:val="continue"/>
          </w:tcPr>
          <w:p>
            <w:pPr>
              <w:spacing w:after="0"/>
              <w:rPr>
                <w:sz w:val="10"/>
                <w:szCs w:val="10"/>
                <w:color w:val="auto"/>
              </w:rPr>
            </w:pPr>
          </w:p>
        </w:tc>
        <w:tc>
          <w:tcPr>
            <w:tcW w:w="1000" w:type="dxa"/>
            <w:vAlign w:val="bottom"/>
            <w:vMerge w:val="restart"/>
          </w:tcPr>
          <w:p>
            <w:pPr>
              <w:jc w:val="center"/>
              <w:spacing w:after="0" w:line="240" w:lineRule="exact"/>
              <w:rPr>
                <w:sz w:val="20"/>
                <w:szCs w:val="20"/>
                <w:color w:val="auto"/>
              </w:rPr>
            </w:pPr>
            <w:r>
              <w:rPr>
                <w:rFonts w:ascii="Arial" w:cs="Arial" w:eastAsia="Arial" w:hAnsi="Arial"/>
                <w:sz w:val="20"/>
                <w:szCs w:val="20"/>
                <w:color w:val="0000FF"/>
                <w:w w:val="85"/>
              </w:rPr>
              <w:t>7,270</w:t>
            </w:r>
            <w:r>
              <w:rPr>
                <w:rFonts w:ascii="Arial" w:cs="Arial" w:eastAsia="Arial" w:hAnsi="Arial"/>
                <w:sz w:val="25"/>
                <w:szCs w:val="25"/>
                <w:color w:val="008000"/>
                <w:w w:val="85"/>
                <w:vertAlign w:val="superscript"/>
              </w:rPr>
              <w:t>(3)</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008000"/>
              </w:rPr>
              <w:t>(3)</w:t>
            </w:r>
          </w:p>
        </w:tc>
        <w:tc>
          <w:tcPr>
            <w:tcW w:w="460" w:type="dxa"/>
            <w:vAlign w:val="bottom"/>
          </w:tcPr>
          <w:p>
            <w:pPr>
              <w:spacing w:after="0"/>
              <w:rPr>
                <w:sz w:val="10"/>
                <w:szCs w:val="10"/>
                <w:color w:val="auto"/>
              </w:rPr>
            </w:pPr>
          </w:p>
        </w:tc>
        <w:tc>
          <w:tcPr>
            <w:tcW w:w="940" w:type="dxa"/>
            <w:vAlign w:val="bottom"/>
            <w:vMerge w:val="restart"/>
          </w:tcPr>
          <w:p>
            <w:pPr>
              <w:ind w:left="380"/>
              <w:spacing w:after="0"/>
              <w:rPr>
                <w:sz w:val="20"/>
                <w:szCs w:val="20"/>
                <w:color w:val="auto"/>
              </w:rPr>
            </w:pPr>
            <w:r>
              <w:rPr>
                <w:rFonts w:ascii="Arial" w:cs="Arial" w:eastAsia="Arial" w:hAnsi="Arial"/>
                <w:sz w:val="20"/>
                <w:szCs w:val="20"/>
                <w:color w:val="0000FF"/>
              </w:rPr>
              <w:t>I</w:t>
            </w:r>
          </w:p>
        </w:tc>
        <w:tc>
          <w:tcPr>
            <w:tcW w:w="1380" w:type="dxa"/>
            <w:vAlign w:val="bottom"/>
            <w:gridSpan w:val="2"/>
            <w:vMerge w:val="restart"/>
          </w:tcPr>
          <w:p>
            <w:pPr>
              <w:ind w:left="20"/>
              <w:spacing w:after="0"/>
              <w:rPr>
                <w:sz w:val="20"/>
                <w:szCs w:val="20"/>
                <w:color w:val="auto"/>
              </w:rPr>
            </w:pPr>
            <w:r>
              <w:rPr>
                <w:rFonts w:ascii="Arial" w:cs="Arial" w:eastAsia="Arial" w:hAnsi="Arial"/>
                <w:sz w:val="20"/>
                <w:szCs w:val="20"/>
                <w:color w:val="0000FF"/>
              </w:rPr>
              <w:t>Affiliates Fund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08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20"/>
                <w:szCs w:val="20"/>
                <w:color w:val="0000FF"/>
                <w:w w:val="87"/>
              </w:rPr>
              <w:t>Stock</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vMerge w:val="restart"/>
          </w:tcPr>
          <w:p>
            <w:pPr>
              <w:ind w:left="20"/>
              <w:spacing w:after="0"/>
              <w:rPr>
                <w:sz w:val="20"/>
                <w:szCs w:val="20"/>
                <w:color w:val="auto"/>
              </w:rPr>
            </w:pPr>
            <w:r>
              <w:rPr>
                <w:rFonts w:ascii="Arial" w:cs="Arial" w:eastAsia="Arial" w:hAnsi="Arial"/>
                <w:sz w:val="20"/>
                <w:szCs w:val="20"/>
                <w:color w:val="0000FF"/>
              </w:rPr>
              <w:t>IV, L.P.</w:t>
            </w:r>
            <w:r>
              <w:rPr>
                <w:rFonts w:ascii="Arial" w:cs="Arial" w:eastAsia="Arial" w:hAnsi="Arial"/>
                <w:sz w:val="25"/>
                <w:szCs w:val="25"/>
                <w:color w:val="008000"/>
                <w:vertAlign w:val="superscript"/>
              </w:rPr>
              <w:t>(2)</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3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7"/>
              </w:rPr>
              <w:t>Series C Convertible Preferred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0"/>
                <w:szCs w:val="20"/>
                <w:color w:val="0000FF"/>
              </w:rPr>
              <w:t>By OpenView</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760" w:type="dxa"/>
            <w:vAlign w:val="bottom"/>
            <w:vMerge w:val="continue"/>
          </w:tcPr>
          <w:p>
            <w:pPr>
              <w:spacing w:after="0"/>
              <w:rPr>
                <w:sz w:val="23"/>
                <w:szCs w:val="23"/>
                <w:color w:val="auto"/>
              </w:rPr>
            </w:pPr>
          </w:p>
        </w:tc>
        <w:tc>
          <w:tcPr>
            <w:tcW w:w="10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8000"/>
                <w:w w:val="87"/>
              </w:rPr>
              <w:t>(3)</w:t>
            </w:r>
          </w:p>
        </w:tc>
        <w:tc>
          <w:tcPr>
            <w:tcW w:w="1820" w:type="dxa"/>
            <w:vAlign w:val="bottom"/>
            <w:vMerge w:val="continue"/>
          </w:tcPr>
          <w:p>
            <w:pPr>
              <w:spacing w:after="0"/>
              <w:rPr>
                <w:sz w:val="23"/>
                <w:szCs w:val="23"/>
                <w:color w:val="auto"/>
              </w:rPr>
            </w:pPr>
          </w:p>
        </w:tc>
        <w:tc>
          <w:tcPr>
            <w:tcW w:w="1000" w:type="dxa"/>
            <w:vAlign w:val="bottom"/>
          </w:tcPr>
          <w:p>
            <w:pPr>
              <w:jc w:val="center"/>
              <w:spacing w:after="0" w:line="265" w:lineRule="exact"/>
              <w:rPr>
                <w:sz w:val="20"/>
                <w:szCs w:val="20"/>
                <w:color w:val="auto"/>
              </w:rPr>
            </w:pPr>
            <w:r>
              <w:rPr>
                <w:rFonts w:ascii="Arial" w:cs="Arial" w:eastAsia="Arial" w:hAnsi="Arial"/>
                <w:sz w:val="20"/>
                <w:szCs w:val="20"/>
                <w:color w:val="0000FF"/>
                <w:w w:val="84"/>
              </w:rPr>
              <w:t>8,668,280</w:t>
            </w:r>
            <w:r>
              <w:rPr>
                <w:rFonts w:ascii="Arial" w:cs="Arial" w:eastAsia="Arial" w:hAnsi="Arial"/>
                <w:sz w:val="25"/>
                <w:szCs w:val="25"/>
                <w:color w:val="008000"/>
                <w:w w:val="84"/>
                <w:vertAlign w:val="superscript"/>
              </w:rPr>
              <w:t>(3)</w:t>
            </w:r>
          </w:p>
        </w:tc>
        <w:tc>
          <w:tcPr>
            <w:tcW w:w="580" w:type="dxa"/>
            <w:vAlign w:val="bottom"/>
          </w:tcPr>
          <w:p>
            <w:pPr>
              <w:jc w:val="right"/>
              <w:spacing w:after="0"/>
              <w:rPr>
                <w:sz w:val="20"/>
                <w:szCs w:val="20"/>
                <w:color w:val="auto"/>
              </w:rPr>
            </w:pPr>
            <w:r>
              <w:rPr>
                <w:rFonts w:ascii="Arial" w:cs="Arial" w:eastAsia="Arial" w:hAnsi="Arial"/>
                <w:sz w:val="13"/>
                <w:szCs w:val="13"/>
                <w:color w:val="008000"/>
              </w:rPr>
              <w:t>(3)</w:t>
            </w:r>
          </w:p>
        </w:tc>
        <w:tc>
          <w:tcPr>
            <w:tcW w:w="460" w:type="dxa"/>
            <w:vAlign w:val="bottom"/>
          </w:tcPr>
          <w:p>
            <w:pPr>
              <w:spacing w:after="0"/>
              <w:rPr>
                <w:sz w:val="23"/>
                <w:szCs w:val="23"/>
                <w:color w:val="auto"/>
              </w:rPr>
            </w:pPr>
          </w:p>
        </w:tc>
        <w:tc>
          <w:tcPr>
            <w:tcW w:w="940" w:type="dxa"/>
            <w:vAlign w:val="bottom"/>
          </w:tcPr>
          <w:p>
            <w:pPr>
              <w:ind w:left="380"/>
              <w:spacing w:after="0"/>
              <w:rPr>
                <w:sz w:val="20"/>
                <w:szCs w:val="20"/>
                <w:color w:val="auto"/>
              </w:rPr>
            </w:pPr>
            <w:r>
              <w:rPr>
                <w:rFonts w:ascii="Arial" w:cs="Arial" w:eastAsia="Arial" w:hAnsi="Arial"/>
                <w:sz w:val="20"/>
                <w:szCs w:val="20"/>
                <w:color w:val="0000FF"/>
              </w:rPr>
              <w:t>I</w:t>
            </w:r>
          </w:p>
        </w:tc>
        <w:tc>
          <w:tcPr>
            <w:tcW w:w="1380" w:type="dxa"/>
            <w:vAlign w:val="bottom"/>
            <w:gridSpan w:val="2"/>
          </w:tcPr>
          <w:p>
            <w:pPr>
              <w:ind w:left="20"/>
              <w:spacing w:after="0"/>
              <w:rPr>
                <w:sz w:val="20"/>
                <w:szCs w:val="20"/>
                <w:color w:val="auto"/>
              </w:rPr>
            </w:pPr>
            <w:r>
              <w:rPr>
                <w:rFonts w:ascii="Arial" w:cs="Arial" w:eastAsia="Arial" w:hAnsi="Arial"/>
                <w:sz w:val="20"/>
                <w:szCs w:val="20"/>
                <w:color w:val="0000FF"/>
              </w:rPr>
              <w:t>Venture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Pr>
          <w:p>
            <w:pPr>
              <w:ind w:left="80"/>
              <w:spacing w:after="0" w:line="208" w:lineRule="exact"/>
              <w:rPr>
                <w:sz w:val="20"/>
                <w:szCs w:val="20"/>
                <w:color w:val="auto"/>
              </w:rPr>
            </w:pPr>
            <w:r>
              <w:rPr>
                <w:rFonts w:ascii="Arial" w:cs="Arial" w:eastAsia="Arial" w:hAnsi="Arial"/>
                <w:sz w:val="20"/>
                <w:szCs w:val="20"/>
                <w:color w:val="0000FF"/>
              </w:rPr>
              <w:t>Stock</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jc w:val="center"/>
              <w:ind w:right="10"/>
              <w:spacing w:after="0" w:line="208" w:lineRule="exact"/>
              <w:rPr>
                <w:sz w:val="20"/>
                <w:szCs w:val="20"/>
                <w:color w:val="auto"/>
              </w:rPr>
            </w:pPr>
            <w:r>
              <w:rPr>
                <w:rFonts w:ascii="Arial" w:cs="Arial" w:eastAsia="Arial" w:hAnsi="Arial"/>
                <w:sz w:val="20"/>
                <w:szCs w:val="20"/>
                <w:color w:val="0000FF"/>
                <w:w w:val="87"/>
              </w:rPr>
              <w:t>Stock</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gridSpan w:val="2"/>
          </w:tcPr>
          <w:p>
            <w:pPr>
              <w:ind w:left="20"/>
              <w:spacing w:after="0" w:line="208" w:lineRule="exact"/>
              <w:rPr>
                <w:sz w:val="20"/>
                <w:szCs w:val="20"/>
                <w:color w:val="auto"/>
              </w:rPr>
            </w:pPr>
            <w:r>
              <w:rPr>
                <w:rFonts w:ascii="Arial" w:cs="Arial" w:eastAsia="Arial" w:hAnsi="Arial"/>
                <w:sz w:val="20"/>
                <w:szCs w:val="20"/>
                <w:color w:val="0000FF"/>
                <w:w w:val="91"/>
              </w:rPr>
              <w:t>Partners IV, L.P.</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008000"/>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7"/>
              </w:rPr>
              <w:t>Series C Convertible Preferred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0"/>
                <w:szCs w:val="20"/>
                <w:color w:val="0000FF"/>
              </w:rPr>
              <w:t>By OpenView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8000"/>
                <w:w w:val="87"/>
              </w:rPr>
              <w:t>(3)</w:t>
            </w:r>
          </w:p>
        </w:tc>
        <w:tc>
          <w:tcPr>
            <w:tcW w:w="1820" w:type="dxa"/>
            <w:vAlign w:val="bottom"/>
            <w:vMerge w:val="continue"/>
          </w:tcPr>
          <w:p>
            <w:pPr>
              <w:spacing w:after="0"/>
              <w:rPr>
                <w:sz w:val="10"/>
                <w:szCs w:val="10"/>
                <w:color w:val="auto"/>
              </w:rPr>
            </w:pPr>
          </w:p>
        </w:tc>
        <w:tc>
          <w:tcPr>
            <w:tcW w:w="1000" w:type="dxa"/>
            <w:vAlign w:val="bottom"/>
            <w:vMerge w:val="restart"/>
          </w:tcPr>
          <w:p>
            <w:pPr>
              <w:jc w:val="center"/>
              <w:ind w:right="12"/>
              <w:spacing w:after="0" w:line="240" w:lineRule="exact"/>
              <w:rPr>
                <w:sz w:val="20"/>
                <w:szCs w:val="20"/>
                <w:color w:val="auto"/>
              </w:rPr>
            </w:pPr>
            <w:r>
              <w:rPr>
                <w:rFonts w:ascii="Arial" w:cs="Arial" w:eastAsia="Arial" w:hAnsi="Arial"/>
                <w:sz w:val="20"/>
                <w:szCs w:val="20"/>
                <w:color w:val="0000FF"/>
                <w:w w:val="84"/>
              </w:rPr>
              <w:t>283,370</w:t>
            </w:r>
            <w:r>
              <w:rPr>
                <w:rFonts w:ascii="Arial" w:cs="Arial" w:eastAsia="Arial" w:hAnsi="Arial"/>
                <w:sz w:val="25"/>
                <w:szCs w:val="25"/>
                <w:color w:val="008000"/>
                <w:w w:val="84"/>
                <w:vertAlign w:val="superscript"/>
              </w:rPr>
              <w:t>(3)</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008000"/>
              </w:rPr>
              <w:t>(3)</w:t>
            </w:r>
          </w:p>
        </w:tc>
        <w:tc>
          <w:tcPr>
            <w:tcW w:w="460" w:type="dxa"/>
            <w:vAlign w:val="bottom"/>
          </w:tcPr>
          <w:p>
            <w:pPr>
              <w:spacing w:after="0"/>
              <w:rPr>
                <w:sz w:val="10"/>
                <w:szCs w:val="10"/>
                <w:color w:val="auto"/>
              </w:rPr>
            </w:pPr>
          </w:p>
        </w:tc>
        <w:tc>
          <w:tcPr>
            <w:tcW w:w="940" w:type="dxa"/>
            <w:vAlign w:val="bottom"/>
            <w:vMerge w:val="restart"/>
          </w:tcPr>
          <w:p>
            <w:pPr>
              <w:ind w:left="380"/>
              <w:spacing w:after="0"/>
              <w:rPr>
                <w:sz w:val="20"/>
                <w:szCs w:val="20"/>
                <w:color w:val="auto"/>
              </w:rPr>
            </w:pPr>
            <w:r>
              <w:rPr>
                <w:rFonts w:ascii="Arial" w:cs="Arial" w:eastAsia="Arial" w:hAnsi="Arial"/>
                <w:sz w:val="20"/>
                <w:szCs w:val="20"/>
                <w:color w:val="0000FF"/>
              </w:rPr>
              <w:t>I</w:t>
            </w:r>
          </w:p>
        </w:tc>
        <w:tc>
          <w:tcPr>
            <w:tcW w:w="1380" w:type="dxa"/>
            <w:vAlign w:val="bottom"/>
            <w:gridSpan w:val="2"/>
            <w:vMerge w:val="restart"/>
          </w:tcPr>
          <w:p>
            <w:pPr>
              <w:ind w:left="20"/>
              <w:spacing w:after="0"/>
              <w:rPr>
                <w:sz w:val="20"/>
                <w:szCs w:val="20"/>
                <w:color w:val="auto"/>
              </w:rPr>
            </w:pPr>
            <w:r>
              <w:rPr>
                <w:rFonts w:ascii="Arial" w:cs="Arial" w:eastAsia="Arial" w:hAnsi="Arial"/>
                <w:sz w:val="20"/>
                <w:szCs w:val="20"/>
                <w:color w:val="0000FF"/>
              </w:rPr>
              <w:t>Affiliates Fund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08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20"/>
                <w:szCs w:val="20"/>
                <w:color w:val="0000FF"/>
                <w:w w:val="87"/>
              </w:rPr>
              <w:t>Stock</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20"/>
                <w:szCs w:val="20"/>
                <w:color w:val="0000FF"/>
              </w:rPr>
              <w:t>IV, L.P.</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212"/>
        </w:trPr>
        <w:tc>
          <w:tcPr>
            <w:tcW w:w="20" w:type="dxa"/>
            <w:vAlign w:val="bottom"/>
            <w:tcBorders>
              <w:bottom w:val="single" w:sz="8" w:color="2C2C2C"/>
            </w:tcBorders>
          </w:tcPr>
          <w:p>
            <w:pPr>
              <w:spacing w:after="0"/>
              <w:rPr>
                <w:sz w:val="18"/>
                <w:szCs w:val="18"/>
                <w:color w:val="auto"/>
              </w:rPr>
            </w:pPr>
          </w:p>
        </w:tc>
        <w:tc>
          <w:tcPr>
            <w:tcW w:w="2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8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138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71" w:orient="portrait"/>
          <w:cols w:equalWidth="0" w:num="1">
            <w:col w:w="10940"/>
          </w:cols>
          <w:pgMar w:left="480" w:top="236" w:right="479" w:bottom="0" w:gutter="0" w:footer="0" w:header="0"/>
          <w:type w:val="continuous"/>
        </w:sectPr>
      </w:pPr>
    </w:p>
    <w:p>
      <w:pPr>
        <w:ind w:left="1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OpenView Management, LLC</w:t>
        </w:r>
      </w:hyperlink>
    </w:p>
    <w:p>
      <w:pPr>
        <w:sectPr>
          <w:pgSz w:w="11900" w:h="16871" w:orient="portrait"/>
          <w:cols w:equalWidth="0" w:num="1">
            <w:col w:w="10940"/>
          </w:cols>
          <w:pgMar w:left="480" w:top="236" w:right="47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3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303 CONGRESS STREET, 7TH FLOOR</w:t>
            </w: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02210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7064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98445" cy="70643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OpenView General Partner IV, L.P.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3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303 CONGRESS STREET, 7TH FLOOR</w:t>
            </w: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02210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OpenView Venture Partners IV, L.P.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3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303 CONGRESS STREET, 7TH FLOOR</w:t>
            </w: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02210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OpenView Affiliates Fund IV, L.P.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3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303 CONGRESS STREET, 7TH FLOOR</w:t>
            </w: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02210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jc w:val="both"/>
        <w:ind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securities are held by OpenView Venture Partners IV, L.P. ("OVP IV LP"). OpenView Management, LLC ("OVM LLC") is the general partner of OpenView General Partner IV, L.P. ("OGP IV LP"), which is the general partner of OVP IV LP. Each of OVM LLC and OGP IV LP disclaims beneficial ownership of all the shares held by OVP IV LP except to the extent, if any, of its pecuniary interest therein and this report shall not be deemed an admission that it is a beneficial owner of such securities for the purpose of Section 16 of the Exchange Act, or for any other purpose.</w:t>
      </w:r>
    </w:p>
    <w:p>
      <w:pPr>
        <w:spacing w:after="0" w:line="36" w:lineRule="exact"/>
        <w:rPr>
          <w:rFonts w:ascii="Arial" w:cs="Arial" w:eastAsia="Arial" w:hAnsi="Arial"/>
          <w:sz w:val="15"/>
          <w:szCs w:val="15"/>
          <w:color w:val="008000"/>
        </w:rPr>
      </w:pPr>
    </w:p>
    <w:p>
      <w:pPr>
        <w:jc w:val="both"/>
        <w:ind w:right="220" w:firstLine="5"/>
        <w:spacing w:after="0" w:line="241"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securities are held by OpenView Affiliates Fund IV, L.P. ("OAF IV LP"). OGP IV LP is the general partner of OAF IV LP. Each of OVM LLC and OGP IV LP disclaims beneficial ownership of all the shares held by OAF IV LP except to the extent, if any, of its pecuniary interest therein and this report shall not be deemed an admission that it is a beneficial owner of such securities for the purpose of Section 16 of the Exchange Act, or for any other purpose.</w:t>
      </w:r>
    </w:p>
    <w:p>
      <w:pPr>
        <w:spacing w:after="0" w:line="35" w:lineRule="exact"/>
        <w:rPr>
          <w:rFonts w:ascii="Arial" w:cs="Arial" w:eastAsia="Arial" w:hAnsi="Arial"/>
          <w:sz w:val="15"/>
          <w:szCs w:val="15"/>
          <w:color w:val="008000"/>
        </w:rPr>
      </w:pPr>
    </w:p>
    <w:p>
      <w:pPr>
        <w:jc w:val="both"/>
        <w:ind w:right="60"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Convertible Preferred Stock was initially convertible on a one-for-one basis into the Issuer's Class A Common Stock at any time at the holder's election and has no expiration date. The number of underlying shares of common stock reported in Column 3 gives effect to a 10-for-1 forward stock split effective as of October 27, 2021, pursuant to which each share of Convertible Preferred Stock became convertible into 10 shares of Class A Common Stock. The Convertible Preferred Stock will convert automatically upon closing of the Issuer's initial public offering.</w:t>
      </w:r>
    </w:p>
    <w:p>
      <w:pPr>
        <w:sectPr>
          <w:pgSz w:w="11900" w:h="16838" w:orient="portrait"/>
          <w:cols w:equalWidth="0" w:num="1">
            <w:col w:w="10840"/>
          </w:cols>
          <w:pgMar w:left="520" w:top="484" w:right="539" w:bottom="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Rufus King,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981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Legal Officer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026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802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OpenView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376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3761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3368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3368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Rufus King,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981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Legal Officer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0264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802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OpenView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3761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3761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2428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2428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of OpenView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648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864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4104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4104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8480" w:space="240"/>
            <w:col w:w="2120"/>
          </w:cols>
          <w:pgMar w:left="520" w:top="484" w:right="539" w:bottom="0" w:gutter="0" w:footer="0" w:header="0"/>
          <w:type w:val="continuous"/>
        </w:sectPr>
      </w:pPr>
    </w:p>
    <w:tbl>
      <w:tblPr>
        <w:tblLayout w:type="fixed"/>
        <w:tblInd w:w="6540" w:type="dxa"/>
        <w:tblCellMar>
          <w:top w:w="0" w:type="dxa"/>
          <w:left w:w="0" w:type="dxa"/>
          <w:bottom w:w="0" w:type="dxa"/>
          <w:right w:w="0" w:type="dxa"/>
        </w:tblCellMar>
      </w:tblPr>
      <w:tr>
        <w:trPr>
          <w:trHeight w:val="230"/>
        </w:trPr>
        <w:tc>
          <w:tcPr>
            <w:tcW w:w="166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9"/>
              </w:rPr>
              <w:t>/s/ Rufus King, Chief</w:t>
            </w:r>
          </w:p>
        </w:tc>
        <w:tc>
          <w:tcPr>
            <w:tcW w:w="5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0000FF"/>
                <w:w w:val="85"/>
              </w:rPr>
              <w:t>11/09/2021</w:t>
            </w:r>
          </w:p>
        </w:tc>
      </w:tr>
    </w:tbl>
    <w:p>
      <w:pPr>
        <w:sectPr>
          <w:pgSz w:w="11900" w:h="16838" w:orient="portrait"/>
          <w:cols w:equalWidth="0" w:num="1">
            <w:col w:w="10840"/>
          </w:cols>
          <w:pgMar w:left="520" w:top="484" w:right="53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20"/>
          <w:szCs w:val="20"/>
          <w:color w:val="0000FF"/>
        </w:rPr>
        <w:t>Legal Officer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0264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802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OpenView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76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376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LLC,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428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242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of OpenView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648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864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 IV,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155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71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011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8801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OpenView Affiliates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1127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112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6957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369570" cy="952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9"/>
          </w:tcPr>
          <w:p>
            <w:pPr>
              <w:spacing w:after="0"/>
              <w:rPr>
                <w:sz w:val="20"/>
                <w:szCs w:val="20"/>
                <w:color w:val="auto"/>
              </w:rPr>
            </w:pPr>
            <w:r>
              <w:rPr>
                <w:rFonts w:ascii="Arial" w:cs="Arial" w:eastAsia="Arial" w:hAnsi="Arial"/>
                <w:sz w:val="20"/>
                <w:szCs w:val="20"/>
                <w:color w:val="0000FF"/>
              </w:rPr>
              <w:t>/s/ Rufus King, Chief</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26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91"/>
              </w:rPr>
              <w:t>Legal Officer of</w:t>
            </w:r>
          </w:p>
        </w:tc>
        <w:tc>
          <w:tcPr>
            <w:tcW w:w="400" w:type="dxa"/>
            <w:vAlign w:val="bottom"/>
            <w:tcBorders>
              <w:top w:val="single" w:sz="8" w:color="auto"/>
            </w:tcBorders>
            <w:gridSpan w:val="4"/>
          </w:tcPr>
          <w:p>
            <w:pPr>
              <w:spacing w:after="0"/>
              <w:rPr>
                <w:sz w:val="19"/>
                <w:szCs w:val="19"/>
                <w:color w:val="auto"/>
              </w:rPr>
            </w:pPr>
          </w:p>
        </w:tc>
        <w:tc>
          <w:tcPr>
            <w:tcW w:w="520" w:type="dxa"/>
            <w:vAlign w:val="bottom"/>
            <w:gridSpan w:val="4"/>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9"/>
          </w:tcPr>
          <w:p>
            <w:pPr>
              <w:spacing w:after="0" w:line="220" w:lineRule="exact"/>
              <w:rPr>
                <w:sz w:val="20"/>
                <w:szCs w:val="20"/>
                <w:color w:val="auto"/>
              </w:rPr>
            </w:pPr>
            <w:r>
              <w:rPr>
                <w:rFonts w:ascii="Arial" w:cs="Arial" w:eastAsia="Arial" w:hAnsi="Arial"/>
                <w:sz w:val="20"/>
                <w:szCs w:val="20"/>
                <w:color w:val="0000FF"/>
                <w:w w:val="98"/>
              </w:rPr>
              <w:t>OpenView Management,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40" w:type="dxa"/>
            <w:vAlign w:val="bottom"/>
            <w:tcBorders>
              <w:top w:val="single" w:sz="8" w:color="auto"/>
            </w:tcBorders>
            <w:gridSpan w:val="8"/>
          </w:tcPr>
          <w:p>
            <w:pPr>
              <w:spacing w:after="0" w:line="220" w:lineRule="exact"/>
              <w:rPr>
                <w:sz w:val="20"/>
                <w:szCs w:val="20"/>
                <w:color w:val="auto"/>
              </w:rPr>
            </w:pPr>
            <w:r>
              <w:rPr>
                <w:rFonts w:ascii="Arial" w:cs="Arial" w:eastAsia="Arial" w:hAnsi="Arial"/>
                <w:sz w:val="20"/>
                <w:szCs w:val="20"/>
                <w:color w:val="0000FF"/>
                <w:w w:val="88"/>
              </w:rPr>
              <w:t>LLC, the general partner</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20" w:type="dxa"/>
            <w:vAlign w:val="bottom"/>
            <w:tcBorders>
              <w:top w:val="single" w:sz="8" w:color="auto"/>
            </w:tcBorders>
            <w:gridSpan w:val="7"/>
          </w:tcPr>
          <w:p>
            <w:pPr>
              <w:spacing w:after="0" w:line="220" w:lineRule="exact"/>
              <w:rPr>
                <w:sz w:val="20"/>
                <w:szCs w:val="20"/>
                <w:color w:val="auto"/>
              </w:rPr>
            </w:pPr>
            <w:r>
              <w:rPr>
                <w:rFonts w:ascii="Arial" w:cs="Arial" w:eastAsia="Arial" w:hAnsi="Arial"/>
                <w:sz w:val="20"/>
                <w:szCs w:val="20"/>
                <w:color w:val="0000FF"/>
                <w:w w:val="99"/>
              </w:rPr>
              <w:t>of OpenView General</w:t>
            </w:r>
          </w:p>
        </w:tc>
        <w:tc>
          <w:tcPr>
            <w:tcW w:w="260" w:type="dxa"/>
            <w:vAlign w:val="bottom"/>
            <w:gridSpan w:val="2"/>
          </w:tcPr>
          <w:p>
            <w:pPr>
              <w:spacing w:after="0"/>
              <w:rPr>
                <w:sz w:val="19"/>
                <w:szCs w:val="19"/>
                <w:color w:val="auto"/>
              </w:rPr>
            </w:pPr>
          </w:p>
        </w:tc>
        <w:tc>
          <w:tcPr>
            <w:tcW w:w="880" w:type="dxa"/>
            <w:vAlign w:val="bottom"/>
          </w:tcPr>
          <w:p>
            <w:pPr>
              <w:spacing w:after="0" w:line="220" w:lineRule="exact"/>
              <w:rPr>
                <w:sz w:val="20"/>
                <w:szCs w:val="20"/>
                <w:color w:val="auto"/>
              </w:rPr>
            </w:pPr>
            <w:r>
              <w:rPr>
                <w:rFonts w:ascii="Arial" w:cs="Arial" w:eastAsia="Arial" w:hAnsi="Arial"/>
                <w:sz w:val="20"/>
                <w:szCs w:val="20"/>
                <w:color w:val="0000FF"/>
                <w:w w:val="85"/>
              </w:rPr>
              <w:t>11/09/2021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00" w:type="dxa"/>
            <w:vAlign w:val="bottom"/>
            <w:tcBorders>
              <w:top w:val="single" w:sz="8" w:color="auto"/>
            </w:tcBorders>
            <w:gridSpan w:val="6"/>
          </w:tcPr>
          <w:p>
            <w:pPr>
              <w:spacing w:after="0" w:line="220" w:lineRule="exact"/>
              <w:rPr>
                <w:sz w:val="20"/>
                <w:szCs w:val="20"/>
                <w:color w:val="auto"/>
              </w:rPr>
            </w:pPr>
            <w:r>
              <w:rPr>
                <w:rFonts w:ascii="Arial" w:cs="Arial" w:eastAsia="Arial" w:hAnsi="Arial"/>
                <w:sz w:val="20"/>
                <w:szCs w:val="20"/>
                <w:color w:val="0000FF"/>
                <w:w w:val="95"/>
              </w:rPr>
              <w:t>Partner IV, L.P., the</w:t>
            </w:r>
          </w:p>
        </w:tc>
        <w:tc>
          <w:tcPr>
            <w:tcW w:w="480" w:type="dxa"/>
            <w:vAlign w:val="bottom"/>
            <w:gridSpan w:val="3"/>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38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6"/>
              </w:rPr>
              <w:t>general partner of</w:t>
            </w:r>
          </w:p>
        </w:tc>
        <w:tc>
          <w:tcPr>
            <w:tcW w:w="140" w:type="dxa"/>
            <w:vAlign w:val="bottom"/>
            <w:tcBorders>
              <w:top w:val="single" w:sz="8" w:color="auto"/>
            </w:tcBorders>
            <w:gridSpan w:val="2"/>
          </w:tcPr>
          <w:p>
            <w:pPr>
              <w:spacing w:after="0"/>
              <w:rPr>
                <w:sz w:val="19"/>
                <w:szCs w:val="19"/>
                <w:color w:val="auto"/>
              </w:rPr>
            </w:pPr>
          </w:p>
        </w:tc>
        <w:tc>
          <w:tcPr>
            <w:tcW w:w="660" w:type="dxa"/>
            <w:vAlign w:val="bottom"/>
            <w:gridSpan w:val="5"/>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9"/>
          </w:tcPr>
          <w:p>
            <w:pPr>
              <w:spacing w:after="0" w:line="220" w:lineRule="exact"/>
              <w:rPr>
                <w:sz w:val="20"/>
                <w:szCs w:val="20"/>
                <w:color w:val="auto"/>
              </w:rPr>
            </w:pPr>
            <w:r>
              <w:rPr>
                <w:rFonts w:ascii="Arial" w:cs="Arial" w:eastAsia="Arial" w:hAnsi="Arial"/>
                <w:sz w:val="20"/>
                <w:szCs w:val="20"/>
                <w:color w:val="0000FF"/>
              </w:rPr>
              <w:t>OpenView Venture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99"/>
              </w:rPr>
              <w:t>Partners IV, L.P.</w:t>
            </w:r>
          </w:p>
        </w:tc>
        <w:tc>
          <w:tcPr>
            <w:tcW w:w="700" w:type="dxa"/>
            <w:vAlign w:val="bottom"/>
            <w:gridSpan w:val="6"/>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9"/>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9"/>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9"/>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10"/>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10"/>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0" Type="http://schemas.openxmlformats.org/officeDocument/2006/relationships/hyperlink" Target="http://www.sec.gov/cgi-bin/browse-edgar?action=getcompany&amp;CIK=0001658115" TargetMode="External"/><Relationship Id="rId11" Type="http://schemas.openxmlformats.org/officeDocument/2006/relationships/hyperlink" Target="http://www.sec.gov/cgi-bin/browse-edgar?action=getcompany&amp;CIK=0001476840" TargetMode="External"/><Relationship Id="rId13" Type="http://schemas.openxmlformats.org/officeDocument/2006/relationships/hyperlink" Target="http://www.sec.gov/cgi-bin/browse-edgar?action=getcompany&amp;CIK=0001658111" TargetMode="External"/><Relationship Id="rId14" Type="http://schemas.openxmlformats.org/officeDocument/2006/relationships/hyperlink" Target="http://www.sec.gov/cgi-bin/browse-edgar?action=getcompany&amp;CIK=0001616720" TargetMode="External"/><Relationship Id="rId15" Type="http://schemas.openxmlformats.org/officeDocument/2006/relationships/hyperlink" Target="http://www.sec.gov/cgi-bin/browse-edgar?action=getcompany&amp;CIK=00016187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2021-11-09T19:15:00Z</dcterms:created>
  <dcterms:modified xsi:type="dcterms:W3CDTF">2021-11-09T19:15:00Z</dcterms:modified>
</cp:coreProperties>
</file>