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28.jpeg" ContentType="image/jpeg"/>
  <Override PartName="/word/media/image7.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12.jpeg" ContentType="image/jpeg"/>
  <Override PartName="/word/media/image10.gif" ContentType="image/gif"/>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November 7, 2023</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Expensify,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pPr>
      <w:r>
        <w:rPr>
          <w:rFonts w:ascii="Times New Roman;sans-serif" w:hAnsi="Times New Roman;sans-serif"/>
          <w:b/>
          <w:color w:val="000000"/>
          <w:sz w:val="20"/>
        </w:rPr>
        <w:t>401 SW 5</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Ave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Portland, Oregon 97204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(971) 365-3939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811"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6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7, 2023, Expensify, Inc. (“Expensify” or the “Company”) issued a press release announcing its financial results for the quarter ended September 30, 2023. A copy of this press release is furnished as Exhibit 99.1 to this current report on Form 8-K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7, 2023, the Company posted an investor presentation to its website at https://ir.expensify.com (the “Investor Presentation”). A copy of the Investor Presentation is furnished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bidi w:val="0"/>
        <w:spacing w:before="0" w:after="0"/>
        <w:jc w:val="left"/>
        <w:rPr/>
      </w:pPr>
      <w:r>
        <w:rPr/>
      </w:r>
    </w:p>
    <w:p>
      <w:pPr>
        <w:pStyle w:val="TextBody"/>
        <w:bidi w:val="0"/>
        <w:spacing w:lineRule="auto" w:line="276"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and this Item 7.01, including Exhibits 99.1 and 99.2, is being furnished and shall not be deemed “filed” for purposes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lineRule="auto" w:line="276" w:before="0" w:after="16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 xml:space="preserve">. </w:t>
      </w:r>
    </w:p>
    <w:tbl>
      <w:tblPr>
        <w:tblW w:w="7916"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39"/>
        <w:gridCol w:w="1939"/>
        <w:gridCol w:w="276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1-8xkq323earnings.htm">
              <w:r>
                <w:rPr>
                  <w:rStyle w:val="InternetLink"/>
                  <w:rFonts w:ascii="Times New Roman;sans-serif" w:hAnsi="Times New Roman;sans-serif"/>
                  <w:b w:val="false"/>
                  <w:color w:val="000080"/>
                  <w:sz w:val="20"/>
                  <w:u w:val="single"/>
                </w:rPr>
                <w:t xml:space="preserve">Press Release issued by Expensify, Inc., dated </w:t>
              </w:r>
            </w:hyperlink>
            <w:hyperlink w:anchor="exhibit991-8xkq323earnings.htm">
              <w:r>
                <w:rPr>
                  <w:rStyle w:val="InternetLink"/>
                  <w:rFonts w:ascii="Times New Roman;sans-serif" w:hAnsi="Times New Roman;sans-serif"/>
                  <w:b w:val="false"/>
                  <w:color w:val="000080"/>
                  <w:sz w:val="20"/>
                  <w:u w:val="single"/>
                </w:rPr>
                <w:t>November</w:t>
              </w:r>
            </w:hyperlink>
            <w:hyperlink w:anchor="exhibit991-8xkq323earnings.htm">
              <w:r>
                <w:rPr>
                  <w:rStyle w:val="InternetLink"/>
                  <w:rFonts w:ascii="Times New Roman;sans-serif" w:hAnsi="Times New Roman;sans-serif"/>
                  <w:b w:val="false"/>
                  <w:color w:val="000080"/>
                  <w:sz w:val="20"/>
                  <w:u w:val="single"/>
                </w:rPr>
                <w:t xml:space="preserve"> </w:t>
              </w:r>
            </w:hyperlink>
            <w:hyperlink w:anchor="exhibit991-8xkq323earnings.htm">
              <w:r>
                <w:rPr>
                  <w:rStyle w:val="InternetLink"/>
                  <w:rFonts w:ascii="Times New Roman;sans-serif" w:hAnsi="Times New Roman;sans-serif"/>
                  <w:b w:val="false"/>
                  <w:color w:val="000080"/>
                  <w:sz w:val="20"/>
                  <w:u w:val="single"/>
                </w:rPr>
                <w:t>7</w:t>
              </w:r>
            </w:hyperlink>
            <w:hyperlink w:anchor="exhibit991-8xkq323earnings.htm">
              <w:r>
                <w:rPr>
                  <w:rStyle w:val="InternetLink"/>
                  <w:rFonts w:ascii="Times New Roman;sans-serif" w:hAnsi="Times New Roman;sans-serif"/>
                  <w:b w:val="false"/>
                  <w:color w:val="000080"/>
                  <w:sz w:val="20"/>
                  <w:u w:val="single"/>
                </w:rPr>
                <w:t>, 2023.</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2-8xkq323investor.htm">
              <w:r>
                <w:rPr>
                  <w:rStyle w:val="InternetLink"/>
                  <w:rFonts w:ascii="Times New Roman;sans-serif" w:hAnsi="Times New Roman;sans-serif"/>
                  <w:b w:val="false"/>
                  <w:color w:val="000080"/>
                  <w:sz w:val="20"/>
                  <w:u w:val="single"/>
                </w:rPr>
                <w:t xml:space="preserve">Investor Presentation, dated </w:t>
              </w:r>
            </w:hyperlink>
            <w:hyperlink w:anchor="exhibit992-8xkq323investor.htm">
              <w:r>
                <w:rPr>
                  <w:rStyle w:val="InternetLink"/>
                  <w:rFonts w:ascii="Times New Roman;sans-serif" w:hAnsi="Times New Roman;sans-serif"/>
                  <w:b w:val="false"/>
                  <w:color w:val="000080"/>
                  <w:sz w:val="20"/>
                  <w:u w:val="single"/>
                </w:rPr>
                <w:t>November</w:t>
              </w:r>
            </w:hyperlink>
            <w:hyperlink w:anchor="exhibit992-8xkq323investor.htm">
              <w:r>
                <w:rPr>
                  <w:rStyle w:val="InternetLink"/>
                  <w:rFonts w:ascii="Times New Roman;sans-serif" w:hAnsi="Times New Roman;sans-serif"/>
                  <w:b w:val="false"/>
                  <w:color w:val="000080"/>
                  <w:sz w:val="20"/>
                  <w:u w:val="single"/>
                </w:rPr>
                <w:t xml:space="preserve"> </w:t>
              </w:r>
            </w:hyperlink>
            <w:hyperlink w:anchor="exhibit992-8xkq323investor.htm">
              <w:r>
                <w:rPr>
                  <w:rStyle w:val="InternetLink"/>
                  <w:rFonts w:ascii="Times New Roman;sans-serif" w:hAnsi="Times New Roman;sans-serif"/>
                  <w:b w:val="false"/>
                  <w:color w:val="000080"/>
                  <w:sz w:val="20"/>
                  <w:u w:val="single"/>
                </w:rPr>
                <w:t>7</w:t>
              </w:r>
            </w:hyperlink>
            <w:hyperlink w:anchor="exhibit992-8xkq323investor.htm">
              <w:r>
                <w:rPr>
                  <w:rStyle w:val="InternetLink"/>
                  <w:rFonts w:ascii="Times New Roman;sans-serif" w:hAnsi="Times New Roman;sans-serif"/>
                  <w:b w:val="false"/>
                  <w:color w:val="000080"/>
                  <w:sz w:val="20"/>
                  <w:u w:val="single"/>
                </w:rPr>
                <w:t>, 2023.</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SIGNATURE </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ans-serif" w:hAnsi="Times New Roman;sans-serif"/>
          <w:b/>
          <w:color w:val="000000"/>
          <w:sz w:val="20"/>
        </w:rPr>
      </w:pPr>
      <w:r>
        <w:rPr>
          <w:rFonts w:ascii="Times New Roman;sans-serif" w:hAnsi="Times New Roman;sans-serif"/>
          <w:b/>
          <w:color w:val="000000"/>
          <w:sz w:val="20"/>
        </w:rPr>
        <w:t>EXPENSIFY ANNOUNCES Q3 2023 RESULTS</w:t>
      </w:r>
    </w:p>
    <w:p>
      <w:pPr>
        <w:pStyle w:val="TextBody"/>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Interchange derived from the Expensify Card grew to $3.1 million, an increase of 65% as compared to the same period last year.</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PORTLAND, Ore.--(BUSINESS WIRE)--November 7, 2023-- Expensify, Inc. (Nasdaq: EXFY), a payments superapp that helps individuals and businesses around the world simplify the way they manage money across expenses, corporate cards and bills, today released a letter to shareholders from Founder and CEO David Barrett alongside results for its quarter ended September 30, 2023.</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u w:val="single"/>
        </w:rPr>
      </w:pPr>
      <w:r>
        <w:rPr>
          <w:rFonts w:ascii="Times New Roman;sans-serif" w:hAnsi="Times New Roman;sans-serif"/>
          <w:b/>
          <w:color w:val="000000"/>
          <w:sz w:val="20"/>
          <w:u w:val="single"/>
        </w:rPr>
        <w:t>A Message From Our Founder</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 xml:space="preserve">This was a challenging quarter, but I am happy to share that we are trimming costs – which should improve profitability for years to come – and we are making </w:t>
      </w:r>
      <w:r>
        <w:rPr>
          <w:rFonts w:ascii="Times New Roman;sans-serif" w:hAnsi="Times New Roman;sans-serif"/>
          <w:b/>
          <w:color w:val="000000"/>
          <w:sz w:val="20"/>
        </w:rPr>
        <w:t>great</w:t>
      </w:r>
      <w:r>
        <w:rPr>
          <w:color w:val="000000"/>
        </w:rPr>
        <w:t xml:space="preserve"> </w:t>
      </w:r>
      <w:r>
        <w:rPr>
          <w:rFonts w:ascii="Times New Roman;sans-serif" w:hAnsi="Times New Roman;sans-serif"/>
          <w:b w:val="false"/>
          <w:color w:val="000000"/>
          <w:sz w:val="20"/>
        </w:rPr>
        <w:t>strides with our SEM, SEO, and overall conversion optimization efforts.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competitive environment is shifting back in our favor. Previously-free competitors are announcing expensive pricing plans compared to our cost of $6/employee (versus $15/employee elsewhere).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(We have traditionally presented ARPU on an active-user basis, where we charge about $18 for each employee actively using the product. But only about 1/3rd of employees are active in a given month. So on an apples-to-apples, per-employee basis, we're actually more like $6/employee.)</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On top of clearer skies coming into view, this quarter was one of our best ever for product development. Our engineering team -- supercharged by over 2,000 open source developers -- has made phenomenal progress on building out New Expensify into a financial superapp that does all of:</w:t>
      </w:r>
    </w:p>
    <w:p>
      <w:pPr>
        <w:pStyle w:val="TextBody"/>
        <w:bidi w:val="0"/>
        <w:spacing w:before="0" w:after="2"/>
        <w:jc w:val="left"/>
        <w:rPr/>
      </w:pPr>
      <w:r>
        <w:rPr/>
      </w:r>
    </w:p>
    <w:p>
      <w:pPr>
        <w:pStyle w:val="TextBody"/>
        <w:bidi w:val="0"/>
        <w:spacing w:lineRule="auto" w:line="300" w:before="0" w:after="2"/>
        <w:ind w:left="0" w:right="0" w:hanging="360"/>
        <w:jc w:val="left"/>
        <w:rPr/>
      </w:pPr>
      <w:r>
        <w:rPr>
          <w:color w:val="000000"/>
        </w:rPr>
        <w:t>•</w:t>
      </w:r>
      <w:r>
        <w:rPr>
          <w:rFonts w:ascii="Times New Roman;sans-serif" w:hAnsi="Times New Roman;sans-serif"/>
          <w:b w:val="false"/>
          <w:color w:val="000000"/>
          <w:sz w:val="20"/>
        </w:rPr>
        <w:t>WhatsApp-style DM and group chat with anybody having an email address or phone number, in or out of your contact book</w:t>
      </w:r>
    </w:p>
    <w:p>
      <w:pPr>
        <w:pStyle w:val="TextBody"/>
        <w:bidi w:val="0"/>
        <w:spacing w:lineRule="auto" w:line="300" w:before="0" w:after="2"/>
        <w:ind w:left="0" w:right="0" w:hanging="360"/>
        <w:jc w:val="left"/>
        <w:rPr/>
      </w:pPr>
      <w:r>
        <w:rPr>
          <w:color w:val="000000"/>
        </w:rPr>
        <w:t>•</w:t>
      </w:r>
      <w:r>
        <w:rPr>
          <w:rFonts w:ascii="Times New Roman;sans-serif" w:hAnsi="Times New Roman;sans-serif"/>
          <w:b w:val="false"/>
          <w:color w:val="000000"/>
          <w:sz w:val="20"/>
        </w:rPr>
        <w:t>Venmo-style request/send money, but with integrated receipt scanning and distance requests</w:t>
      </w:r>
    </w:p>
    <w:p>
      <w:pPr>
        <w:pStyle w:val="TextBody"/>
        <w:bidi w:val="0"/>
        <w:spacing w:lineRule="auto" w:line="300" w:before="0" w:after="2"/>
        <w:ind w:left="0" w:right="0" w:hanging="360"/>
        <w:jc w:val="left"/>
        <w:rPr/>
      </w:pPr>
      <w:r>
        <w:rPr>
          <w:color w:val="000000"/>
        </w:rPr>
        <w:t>•</w:t>
      </w:r>
      <w:r>
        <w:rPr>
          <w:rFonts w:ascii="Times New Roman;sans-serif" w:hAnsi="Times New Roman;sans-serif"/>
          <w:b w:val="false"/>
          <w:color w:val="000000"/>
          <w:sz w:val="20"/>
        </w:rPr>
        <w:t>Splitwise-style bill splitting, but with group chat, receipt scanning, and currency conversion</w:t>
      </w:r>
    </w:p>
    <w:p>
      <w:pPr>
        <w:pStyle w:val="TextBody"/>
        <w:bidi w:val="0"/>
        <w:spacing w:lineRule="auto" w:line="300" w:before="0" w:after="2"/>
        <w:ind w:left="0" w:right="0" w:hanging="360"/>
        <w:jc w:val="left"/>
        <w:rPr/>
      </w:pPr>
      <w:r>
        <w:rPr>
          <w:color w:val="000000"/>
        </w:rPr>
        <w:t>•</w:t>
      </w:r>
      <w:r>
        <w:rPr>
          <w:rFonts w:ascii="Times New Roman;sans-serif" w:hAnsi="Times New Roman;sans-serif"/>
          <w:b w:val="false"/>
          <w:color w:val="000000"/>
          <w:sz w:val="20"/>
        </w:rPr>
        <w:t>Slack-style business chat, but without all of the confusing ways to invite someone: just invite them and they are in</w:t>
      </w:r>
    </w:p>
    <w:p>
      <w:pPr>
        <w:pStyle w:val="TextBody"/>
        <w:bidi w:val="0"/>
        <w:spacing w:lineRule="auto" w:line="300" w:before="0" w:after="2"/>
        <w:ind w:left="0" w:right="0" w:hanging="360"/>
        <w:jc w:val="left"/>
        <w:rPr/>
      </w:pPr>
      <w:r>
        <w:rPr>
          <w:color w:val="000000"/>
        </w:rPr>
        <w:t>•</w:t>
      </w:r>
      <w:r>
        <w:rPr>
          <w:rFonts w:ascii="Times New Roman;sans-serif" w:hAnsi="Times New Roman;sans-serif"/>
          <w:b w:val="false"/>
          <w:color w:val="000000"/>
          <w:sz w:val="20"/>
        </w:rPr>
        <w:t>All married with Expensify-style real-time expense management, simplified for a largely untapped VSB and SMB market</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Whoever you are and whatever you're doing, big company or small, employee or boss, for work or for play – if it involves moving money, New Expensify will get the job done the same way, with the same app, and for one low monthly price. We still have work to do to bring that dream to reality, but it's getting close. With luck, our long-awaited migration of Expensify Classic to New Expensify should be actively underway by this time next quarter.</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Ultimately, I believe the whole industry is still in a challenging environment. Instability and high interest rates seem likely here to stay for a while. But in the long run, this just reinforces the pillars of our product strategy:</w:t>
      </w:r>
    </w:p>
    <w:p>
      <w:pPr>
        <w:pStyle w:val="TextBody"/>
        <w:bidi w:val="0"/>
        <w:spacing w:before="0" w:after="2"/>
        <w:jc w:val="left"/>
        <w:rPr/>
      </w:pPr>
      <w:r>
        <w:rPr/>
      </w:r>
    </w:p>
    <w:p>
      <w:pPr>
        <w:pStyle w:val="TextBody"/>
        <w:bidi w:val="0"/>
        <w:spacing w:lineRule="auto" w:line="300" w:before="0" w:after="2"/>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1.Expand the addressable market by reaching for the 99% of global businesses who are on the sidelines.</w:t>
      </w:r>
    </w:p>
    <w:p>
      <w:pPr>
        <w:pStyle w:val="TextBody"/>
        <w:bidi w:val="0"/>
        <w:spacing w:lineRule="auto" w:line="300" w:before="0" w:after="2"/>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2.Lower our cost of sale with viral lead generation from chat/P2P consumer features.</w:t>
      </w:r>
    </w:p>
    <w:p>
      <w:pPr>
        <w:pStyle w:val="TextBody"/>
        <w:bidi w:val="0"/>
        <w:spacing w:lineRule="auto" w:line="300" w:before="0" w:after="2"/>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3.Increase our value to the customer with a financial superapp of many use cases for a single price.</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We're not done yet. But all the major technical, regulatory, compliance, and product design challenges are behind us. Soon, we expect Expensify will offer a product competitive with:</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Ramp's $15/employee/mo value</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Slack's $12.50/employee/mo value</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Bill's $94/mo value</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 along with invoicing, payroll, and travel management</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 xml:space="preserve">All for an average price of </w:t>
      </w:r>
      <w:r>
        <w:rPr>
          <w:rFonts w:ascii="Times New Roman;sans-serif" w:hAnsi="Times New Roman;sans-serif"/>
          <w:b/>
          <w:color w:val="000000"/>
          <w:sz w:val="20"/>
        </w:rPr>
        <w:t>$6 per employee per month</w:t>
      </w:r>
      <w:r>
        <w:rPr>
          <w:rFonts w:ascii="Times New Roman;sans-serif" w:hAnsi="Times New Roman;sans-serif"/>
          <w:b w:val="false"/>
          <w:color w:val="000000"/>
          <w:sz w:val="20"/>
        </w:rPr>
        <w:t>. It's an admittedly ambitious vision. But it's looking better and better every day, and I couldn't be more excited.</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-david</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Founder and CEO of Expensify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left"/>
        <w:rPr>
          <w:rFonts w:ascii="Times New Roman;sans-serif" w:hAnsi="Times New Roman;sans-serif"/>
          <w:b/>
          <w:color w:val="000000"/>
          <w:sz w:val="20"/>
          <w:u w:val="single"/>
        </w:rPr>
      </w:pPr>
      <w:r>
        <w:rPr>
          <w:rFonts w:ascii="Times New Roman;sans-serif" w:hAnsi="Times New Roman;sans-serif"/>
          <w:b/>
          <w:color w:val="000000"/>
          <w:sz w:val="20"/>
          <w:u w:val="single"/>
        </w:rPr>
        <w:t>Third Quarter 2023 Highlights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 xml:space="preserve">Financial: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Revenue was $36.5 million, a decrease of 14% compared to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The Company utilized $5.1 million cash in operating activities.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Free cash flow was $(7.1)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Net loss was $17.0 million, compared to $8.2 million for the same period last year.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Non-GAAP net loss was $6.7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Adjusted EBITDA was $(3.5)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Interchange derived from the Expensify Card grew to $3.1 million, an increase of 65% compared to the same period last year.</w:t>
      </w:r>
    </w:p>
    <w:p>
      <w:pPr>
        <w:pStyle w:val="TextBody"/>
        <w:bidi w:val="0"/>
        <w:spacing w:lineRule="auto" w:line="300" w:before="0" w:after="2"/>
        <w:ind w:left="0" w:right="0" w:hanging="360"/>
        <w:jc w:val="left"/>
        <w:rPr/>
      </w:pPr>
      <w:r>
        <w:rPr>
          <w:color w:val="000000"/>
        </w:rPr>
        <w:t>•</w:t>
      </w:r>
      <w:r>
        <w:rPr>
          <w:rFonts w:ascii="Times New Roman;sans-serif" w:hAnsi="Times New Roman;sans-serif"/>
          <w:b w:val="false"/>
          <w:color w:val="000000"/>
          <w:sz w:val="20"/>
        </w:rPr>
        <w:t>Immediately following the end of the current quarter, the Company deployed $36.0 million of available cash to further reduce outstanding debt by paying off its term loan in full.</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Business</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Paid members</w:t>
      </w:r>
      <w:r>
        <w:rPr>
          <w:color w:val="000000"/>
        </w:rPr>
        <w:t xml:space="preserve">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Paid members were 719,000, a decrease of 6% from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Share purchases -</w:t>
      </w:r>
      <w:r>
        <w:rPr>
          <w:color w:val="000000"/>
        </w:rPr>
        <w:t xml:space="preserve"> </w:t>
      </w:r>
      <w:r>
        <w:rPr>
          <w:rFonts w:ascii="Times New Roman;sans-serif" w:hAnsi="Times New Roman;sans-serif"/>
          <w:b w:val="false"/>
          <w:color w:val="000000"/>
          <w:sz w:val="20"/>
        </w:rPr>
        <w:t>Expensify employees purchased 275,210 shares of common stock during the quarter, resulting in gross cash proceeds to the Company of $1.1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Accounting Channel - </w:t>
      </w:r>
      <w:r>
        <w:rPr>
          <w:rFonts w:ascii="Times New Roman;sans-serif" w:hAnsi="Times New Roman;sans-serif"/>
          <w:b w:val="false"/>
          <w:color w:val="000000"/>
          <w:sz w:val="20"/>
        </w:rPr>
        <w:t>The Company announced that Accounting Partners onboarding clients to the Expensify Card will receive 50 basis points in revenue share for their clients, further strengthening the Company’s presence in the accounting channel.</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Expense reductions</w:t>
      </w:r>
      <w:r>
        <w:rPr>
          <w:color w:val="000000"/>
        </w:rPr>
        <w:t xml:space="preserve">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company's reduction of debt by $36.0 million in October reduced projected Q4 2023 and FY 2024 interest expense by $0.9 million and $3.8 million, respectively. Further internal expense cuts are expected to reduce operating costs by approximately $15.0 million in 2024, which is expected to result in positive cash flow in 2024 and beyond.</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Expensify Card accounting treatment -</w:t>
      </w:r>
      <w:r>
        <w:rPr>
          <w:color w:val="000000"/>
        </w:rPr>
        <w:t xml:space="preserve"> </w:t>
      </w:r>
      <w:r>
        <w:rPr>
          <w:rFonts w:ascii="Times New Roman;sans-serif" w:hAnsi="Times New Roman;sans-serif"/>
          <w:b w:val="false"/>
          <w:color w:val="000000"/>
          <w:sz w:val="20"/>
        </w:rPr>
        <w:t>The company will become the program manager of the Expensify Card starting in late Q4. New cards issued after that time will receive a different accounting treatment in which interchange is categorized as revenue, rather than contra cost of revenue, and the company will receive 20% more interchange under the new card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Outlook</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pStyle w:val="TextBody"/>
        <w:bidi w:val="0"/>
        <w:spacing w:before="0" w:after="2"/>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estimate of expected stock-based compensation for the next four fiscal quarters is as follows, which is driven primarily by the pre-IPO grant of RSUs issued to all employees (which vest quarterly over eight years with approximately six years remaining).</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Est. stock-based compensation (millions)</w:t>
      </w:r>
    </w:p>
    <w:tbl>
      <w:tblPr>
        <w:tblW w:w="10152" w:type="dxa"/>
        <w:jc w:val="left"/>
        <w:tblInd w:w="0" w:type="dxa"/>
        <w:tblLayout w:type="fixed"/>
        <w:tblCellMar>
          <w:top w:w="28" w:type="dxa"/>
          <w:left w:w="28" w:type="dxa"/>
          <w:bottom w:w="28" w:type="dxa"/>
          <w:right w:w="28" w:type="dxa"/>
        </w:tblCellMar>
      </w:tblPr>
      <w:tblGrid>
        <w:gridCol w:w="727"/>
        <w:gridCol w:w="639"/>
        <w:gridCol w:w="644"/>
        <w:gridCol w:w="196"/>
        <w:gridCol w:w="376"/>
        <w:gridCol w:w="109"/>
        <w:gridCol w:w="109"/>
        <w:gridCol w:w="109"/>
        <w:gridCol w:w="109"/>
        <w:gridCol w:w="196"/>
        <w:gridCol w:w="466"/>
        <w:gridCol w:w="109"/>
        <w:gridCol w:w="109"/>
        <w:gridCol w:w="109"/>
        <w:gridCol w:w="109"/>
        <w:gridCol w:w="196"/>
        <w:gridCol w:w="376"/>
        <w:gridCol w:w="109"/>
        <w:gridCol w:w="109"/>
        <w:gridCol w:w="109"/>
        <w:gridCol w:w="109"/>
        <w:gridCol w:w="196"/>
        <w:gridCol w:w="466"/>
        <w:gridCol w:w="109"/>
        <w:gridCol w:w="109"/>
        <w:gridCol w:w="109"/>
        <w:gridCol w:w="109"/>
        <w:gridCol w:w="196"/>
        <w:gridCol w:w="376"/>
        <w:gridCol w:w="109"/>
        <w:gridCol w:w="109"/>
        <w:gridCol w:w="109"/>
        <w:gridCol w:w="109"/>
        <w:gridCol w:w="196"/>
        <w:gridCol w:w="466"/>
        <w:gridCol w:w="109"/>
        <w:gridCol w:w="109"/>
        <w:gridCol w:w="109"/>
        <w:gridCol w:w="109"/>
        <w:gridCol w:w="196"/>
        <w:gridCol w:w="376"/>
        <w:gridCol w:w="109"/>
        <w:gridCol w:w="109"/>
        <w:gridCol w:w="109"/>
        <w:gridCol w:w="109"/>
        <w:gridCol w:w="196"/>
        <w:gridCol w:w="46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3" w:type="dxa"/>
            <w:gridSpan w:val="30"/>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Q3 2024</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Availability of Information on Expensify’s Website</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pStyle w:val="TextBody"/>
        <w:bidi w:val="0"/>
        <w:spacing w:before="0" w:after="0"/>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Conference Call </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 </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Measures</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financial measures prepared in accordance with U.S. generally accepted accounting principles (“GAAP”), we provide certain non-GAAP financial measures, including adjusted EBITDA, adjusted EBITDA margin, non-GAAP net loss, and free cash flow.</w:t>
      </w:r>
    </w:p>
    <w:p>
      <w:pPr>
        <w:pStyle w:val="TextBody"/>
        <w:bidi w:val="0"/>
        <w:spacing w:before="0" w:after="0"/>
        <w:jc w:val="left"/>
        <w:rPr/>
      </w:pPr>
      <w:r>
        <w:rPr/>
      </w:r>
    </w:p>
    <w:p>
      <w:pPr>
        <w:pStyle w:val="TextBody"/>
        <w:bidi w:val="0"/>
        <w:spacing w:lineRule="auto" w:line="3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color w:val="000000"/>
          <w:sz w:val="20"/>
        </w:rPr>
        <w:t>Adjusted EBITDA.</w:t>
      </w:r>
      <w:r>
        <w:rPr>
          <w:color w:val="000000"/>
        </w:rPr>
        <w:t xml:space="preserve"> </w:t>
      </w:r>
      <w:r>
        <w:rPr>
          <w:rFonts w:ascii="Times New Roman;sans-serif" w:hAnsi="Times New Roman;sans-serif"/>
          <w:b w:val="false"/>
          <w:color w:val="000000"/>
          <w:sz w:val="20"/>
        </w:rPr>
        <w:t>We define adjusted EBITDA as net income from operations excluding provision for income taxes, interest and other expenses, net, depreciation and amortization and stock-based compensation.</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color w:val="000000"/>
          <w:sz w:val="20"/>
        </w:rPr>
        <w:t>Non-GAAP net loss.</w:t>
      </w:r>
      <w:r>
        <w:rPr>
          <w:color w:val="000000"/>
        </w:rPr>
        <w:t xml:space="preserve"> </w:t>
      </w:r>
      <w:r>
        <w:rPr>
          <w:rFonts w:ascii="Times New Roman;sans-serif" w:hAnsi="Times New Roman;sans-serif"/>
          <w:b w:val="false"/>
          <w:color w:val="000000"/>
          <w:sz w:val="20"/>
        </w:rPr>
        <w:t>We define non-GAAP net loss as net income (loss) from operations in accordance with US GAAP excluding stock-based compensation.</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color w:val="000000"/>
          <w:sz w:val="20"/>
        </w:rPr>
        <w:t>Free cash flow.</w:t>
      </w:r>
      <w:r>
        <w:rPr>
          <w:color w:val="000000"/>
        </w:rPr>
        <w:t xml:space="preserve"> </w:t>
      </w:r>
      <w:r>
        <w:rPr>
          <w:rFonts w:ascii="Times New Roman;sans-serif" w:hAnsi="Times New Roman;sans-serif"/>
          <w:b w:val="false"/>
          <w:color w:val="000000"/>
          <w:sz w:val="20"/>
        </w:rPr>
        <w:t>We define Free cash flow as net cash (used in) provided by operating activities excluding changes in settlement assets and settlement liabilities, which represent funds held for customers and customer funds in transit, respectively, reduced by the purchases of property and equipment and software development costs.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tables at the end of the Condensed Consolidated Financial Statements provide reconciliations to the most directly comparable GAAP financial measure to each of these non-GAAP financial measures.</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future cash flow, projected costs, prospects, plans, objectives of management and expected market growth, product developments and their potential impact, the amount and timing of any share repurchases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geopolitical tensions, including the war in Ukraine and the escalating conflict in Israel, Gaza and surrounding areas; our ability to effectively manage our exposure to fluctuations in foreign currency exchange rates; the increased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our protections against security breaches, </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About Expensify</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Expensify is a payments superapp that helps individuals and businesses around the world simplify the way they manage money. More than 12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pStyle w:val="TextBody"/>
        <w:bidi w:val="0"/>
        <w:spacing w:before="0" w:after="2"/>
        <w:jc w:val="left"/>
        <w:rPr/>
      </w:pPr>
      <w:r>
        <w:rPr/>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Nick Tooker</w:t>
      </w:r>
    </w:p>
    <w:p>
      <w:pPr>
        <w:pStyle w:val="TextBody"/>
        <w:bidi w:val="0"/>
        <w:spacing w:lineRule="auto" w:line="27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investors@expensify.com</w:t>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Press Contact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Dean</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press@expensify.com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data) </w:t>
      </w:r>
    </w:p>
    <w:tbl>
      <w:tblPr>
        <w:tblW w:w="10205" w:type="dxa"/>
        <w:jc w:val="center"/>
        <w:tblInd w:w="0" w:type="dxa"/>
        <w:tblLayout w:type="fixed"/>
        <w:tblCellMar>
          <w:top w:w="28" w:type="dxa"/>
          <w:left w:w="28" w:type="dxa"/>
          <w:bottom w:w="28" w:type="dxa"/>
          <w:right w:w="28" w:type="dxa"/>
        </w:tblCellMar>
      </w:tblPr>
      <w:tblGrid>
        <w:gridCol w:w="2884"/>
        <w:gridCol w:w="2360"/>
        <w:gridCol w:w="2395"/>
        <w:gridCol w:w="206"/>
        <w:gridCol w:w="776"/>
        <w:gridCol w:w="114"/>
        <w:gridCol w:w="109"/>
        <w:gridCol w:w="109"/>
        <w:gridCol w:w="109"/>
        <w:gridCol w:w="205"/>
        <w:gridCol w:w="771"/>
        <w:gridCol w:w="167"/>
      </w:tblGrid>
      <w:tr>
        <w:trPr/>
        <w:tc>
          <w:tcPr>
            <w:tcW w:w="2884"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assets,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187,115 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software,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right-of-use assets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 net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212,314 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210,241 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0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line of credit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 net of original issue discount and debt issuance costs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current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liabilities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non-current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original issue discount and debt issuance costs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113,000 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w:t>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$0.0001; 10,000,000 shares of preferred stock authorized as of September 30, 2023 and December 31, 2022; no shares of preferred stock issued and outstanding as of September 30, 2023 and December 31, 2022</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1,000,000,000 shares of Class A common stock authorized as of September 30, 2023 and December 31, 2022; 69,158,181 and 68,238,245 shares of Class A common stock issued and outstanding as of September 30, 2023 and December 31, 2022, respectively; 24,994,989 and 24,997,561 shares of LT10 common stock authorized as of September 30, 2023 and December 31, 2022, respectively; 7,333,619 and 7,336,191 shares of LT10 common stock issued and outstanding as of September 30, 2023 and December 31, 2022, respectively; 24,998,941 and 24,999,020 shares of LT50 common stock authorized as of September 30, 2023 and December 31, 2022, respectively; 7,207,428 and 6,854,931 shares of LT50 common stock issued and outstanding as of September 30, 2023 and December 31, 2022, respectively</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(133,569)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(97,573)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97,241 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212,314 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210,241 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1702"/>
        <w:gridCol w:w="1341"/>
        <w:gridCol w:w="1347"/>
        <w:gridCol w:w="228"/>
        <w:gridCol w:w="857"/>
        <w:gridCol w:w="113"/>
        <w:gridCol w:w="113"/>
        <w:gridCol w:w="113"/>
        <w:gridCol w:w="113"/>
        <w:gridCol w:w="244"/>
        <w:gridCol w:w="837"/>
        <w:gridCol w:w="113"/>
        <w:gridCol w:w="109"/>
        <w:gridCol w:w="109"/>
        <w:gridCol w:w="109"/>
        <w:gridCol w:w="219"/>
        <w:gridCol w:w="862"/>
        <w:gridCol w:w="109"/>
        <w:gridCol w:w="109"/>
        <w:gridCol w:w="109"/>
        <w:gridCol w:w="109"/>
        <w:gridCol w:w="219"/>
        <w:gridCol w:w="862"/>
        <w:gridCol w:w="159"/>
      </w:tblGrid>
      <w:tr>
        <w:trPr/>
        <w:tc>
          <w:tcPr>
            <w:tcW w:w="170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Cost of revenue, net </w:t>
            </w:r>
            <w:r>
              <w:rPr>
                <w:rFonts w:ascii="Times New Roman;sans-serif" w:hAnsi="Times New Roman;sans-serif"/>
                <w:b w:val="false"/>
                <w:color w:val="000000"/>
                <w:sz w:val="13"/>
              </w:rPr>
              <w:t>(1)</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Research and development </w:t>
            </w:r>
            <w:r>
              <w:rPr>
                <w:rFonts w:ascii="Times New Roman;sans-serif" w:hAnsi="Times New Roman;sans-serif"/>
                <w:b w:val="false"/>
                <w:color w:val="000000"/>
                <w:sz w:val="13"/>
              </w:rPr>
              <w:t>(1)</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General and administrative </w:t>
            </w:r>
            <w:r>
              <w:rPr>
                <w:rFonts w:ascii="Times New Roman;sans-serif" w:hAnsi="Times New Roman;sans-serif"/>
                <w:b w:val="false"/>
                <w:color w:val="000000"/>
                <w:sz w:val="13"/>
              </w:rPr>
              <w:t>(1)</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Sales and marketing </w:t>
            </w:r>
            <w:r>
              <w:rPr>
                <w:rFonts w:ascii="Times New Roman;sans-serif" w:hAnsi="Times New Roman;sans-serif"/>
                <w:b w:val="false"/>
                <w:color w:val="000000"/>
                <w:sz w:val="13"/>
              </w:rPr>
              <w:t>(1)</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93,994 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expenses,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used to compute net loss per share:</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82,469,190 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80,941,664 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82,085,508 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80,523,557 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expense as follows:</w:t>
      </w:r>
    </w:p>
    <w:tbl>
      <w:tblPr>
        <w:tblW w:w="8540" w:type="dxa"/>
        <w:jc w:val="center"/>
        <w:tblInd w:w="0" w:type="dxa"/>
        <w:tblLayout w:type="fixed"/>
        <w:tblCellMar>
          <w:top w:w="28" w:type="dxa"/>
          <w:left w:w="28" w:type="dxa"/>
          <w:bottom w:w="28" w:type="dxa"/>
          <w:right w:w="28" w:type="dxa"/>
        </w:tblCellMar>
      </w:tblPr>
      <w:tblGrid>
        <w:gridCol w:w="1064"/>
        <w:gridCol w:w="934"/>
        <w:gridCol w:w="941"/>
        <w:gridCol w:w="236"/>
        <w:gridCol w:w="778"/>
        <w:gridCol w:w="131"/>
        <w:gridCol w:w="131"/>
        <w:gridCol w:w="131"/>
        <w:gridCol w:w="131"/>
        <w:gridCol w:w="236"/>
        <w:gridCol w:w="778"/>
        <w:gridCol w:w="131"/>
        <w:gridCol w:w="109"/>
        <w:gridCol w:w="109"/>
        <w:gridCol w:w="109"/>
        <w:gridCol w:w="223"/>
        <w:gridCol w:w="737"/>
        <w:gridCol w:w="124"/>
        <w:gridCol w:w="124"/>
        <w:gridCol w:w="124"/>
        <w:gridCol w:w="124"/>
        <w:gridCol w:w="223"/>
        <w:gridCol w:w="737"/>
        <w:gridCol w:w="175"/>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 net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 expense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13,364 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41,793 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8648" w:type="dxa"/>
        <w:jc w:val="left"/>
        <w:tblInd w:w="0" w:type="dxa"/>
        <w:tblLayout w:type="fixed"/>
        <w:tblCellMar>
          <w:top w:w="28" w:type="dxa"/>
          <w:left w:w="28" w:type="dxa"/>
          <w:bottom w:w="28" w:type="dxa"/>
          <w:right w:w="28" w:type="dxa"/>
        </w:tblCellMar>
      </w:tblPr>
      <w:tblGrid>
        <w:gridCol w:w="2342"/>
        <w:gridCol w:w="2055"/>
        <w:gridCol w:w="2067"/>
        <w:gridCol w:w="181"/>
        <w:gridCol w:w="616"/>
        <w:gridCol w:w="109"/>
        <w:gridCol w:w="109"/>
        <w:gridCol w:w="109"/>
        <w:gridCol w:w="109"/>
        <w:gridCol w:w="181"/>
        <w:gridCol w:w="616"/>
        <w:gridCol w:w="154"/>
      </w:tblGrid>
      <w:tr>
        <w:trPr/>
        <w:tc>
          <w:tcPr>
            <w:tcW w:w="234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Nine Months Ended September 30,</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operating activities:</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(23,612)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to net cash provided by operating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Reduction of operating lease right-of-use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impairment, receivables and sale or disposal of equipment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original issue discount and debt issuance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tax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assets and liabilities: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Settlement assets,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Related party loan receivable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current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 and other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Settlement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investing activities:</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Software development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financing activities:</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of finance leases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of outstanding debt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early exercised stock options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common stock purchased under Matching Plan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common stock on exercise of stock options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for employee taxes withheld from stock-based awards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and retirement of common stock</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financing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(decrease) increase in cash and cash equivalents and restricted cash</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and restricted cash, beginning of period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and restricted cash, end of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disclosure of cash flow information:</w:t>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income taxes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investing and financing items: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capitalized as software development costs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 acquired through operating leases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 acquired through finance leases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Reconciliation of cash and cash equivalents and restricted cash to the Condensed Consolidated Balance Sheets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106,212 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included in other current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included in settlement assets,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cash, cash equivalents and restricted cash</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148,069 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Reconciliation of GAAP to Non-GAAP Financial Measures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percentages)</w:t>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and Adjusted EBITDA Margin</w:t>
      </w:r>
    </w:p>
    <w:tbl>
      <w:tblPr>
        <w:tblW w:w="6287" w:type="dxa"/>
        <w:jc w:val="left"/>
        <w:tblInd w:w="0" w:type="dxa"/>
        <w:tblLayout w:type="fixed"/>
        <w:tblCellMar>
          <w:top w:w="28" w:type="dxa"/>
          <w:left w:w="28" w:type="dxa"/>
          <w:bottom w:w="28" w:type="dxa"/>
          <w:right w:w="28" w:type="dxa"/>
        </w:tblCellMar>
      </w:tblPr>
      <w:tblGrid>
        <w:gridCol w:w="1256"/>
        <w:gridCol w:w="1098"/>
        <w:gridCol w:w="1110"/>
        <w:gridCol w:w="211"/>
        <w:gridCol w:w="796"/>
        <w:gridCol w:w="271"/>
        <w:gridCol w:w="109"/>
        <w:gridCol w:w="109"/>
        <w:gridCol w:w="109"/>
        <w:gridCol w:w="211"/>
        <w:gridCol w:w="691"/>
        <w:gridCol w:w="316"/>
      </w:tblGrid>
      <w:tr>
        <w:trPr/>
        <w:tc>
          <w:tcPr>
            <w:tcW w:w="125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margin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Net Loss and Non-GAAP Net Loss Margin</w:t>
      </w:r>
    </w:p>
    <w:tbl>
      <w:tblPr>
        <w:tblW w:w="5133" w:type="dxa"/>
        <w:jc w:val="left"/>
        <w:tblInd w:w="0" w:type="dxa"/>
        <w:tblLayout w:type="fixed"/>
        <w:tblCellMar>
          <w:top w:w="28" w:type="dxa"/>
          <w:left w:w="28" w:type="dxa"/>
          <w:bottom w:w="28" w:type="dxa"/>
          <w:right w:w="28" w:type="dxa"/>
        </w:tblCellMar>
      </w:tblPr>
      <w:tblGrid>
        <w:gridCol w:w="838"/>
        <w:gridCol w:w="732"/>
        <w:gridCol w:w="740"/>
        <w:gridCol w:w="211"/>
        <w:gridCol w:w="796"/>
        <w:gridCol w:w="271"/>
        <w:gridCol w:w="109"/>
        <w:gridCol w:w="109"/>
        <w:gridCol w:w="109"/>
        <w:gridCol w:w="211"/>
        <w:gridCol w:w="691"/>
        <w:gridCol w:w="316"/>
      </w:tblGrid>
      <w:tr>
        <w:trPr/>
        <w:tc>
          <w:tcPr>
            <w:tcW w:w="83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margin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loss margin</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Cash Flow and Free Cash Flow</w:t>
      </w:r>
    </w:p>
    <w:tbl>
      <w:tblPr>
        <w:tblW w:w="7227" w:type="dxa"/>
        <w:jc w:val="left"/>
        <w:tblInd w:w="0" w:type="dxa"/>
        <w:tblLayout w:type="fixed"/>
        <w:tblCellMar>
          <w:top w:w="28" w:type="dxa"/>
          <w:left w:w="28" w:type="dxa"/>
          <w:bottom w:w="28" w:type="dxa"/>
          <w:right w:w="28" w:type="dxa"/>
        </w:tblCellMar>
      </w:tblPr>
      <w:tblGrid>
        <w:gridCol w:w="1628"/>
        <w:gridCol w:w="1434"/>
        <w:gridCol w:w="1438"/>
        <w:gridCol w:w="248"/>
        <w:gridCol w:w="813"/>
        <w:gridCol w:w="128"/>
        <w:gridCol w:w="128"/>
        <w:gridCol w:w="128"/>
        <w:gridCol w:w="128"/>
        <w:gridCol w:w="248"/>
        <w:gridCol w:w="725"/>
        <w:gridCol w:w="181"/>
      </w:tblGrid>
      <w:tr>
        <w:trPr/>
        <w:tc>
          <w:tcPr>
            <w:tcW w:w="16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changes in assets and liabilities:</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assets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liabilities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cash flow</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9"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21"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23"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25"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27"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29"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31"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jc w:val="center"/>
        <w:rPr/>
      </w:pPr>
      <w:r>
        <w:rPr/>
        <w:drawing>
          <wp:inline distT="0" distB="0" distL="0" distR="0">
            <wp:extent cx="7248525" cy="594360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1"/>
                    <a:stretch>
                      <a:fillRect/>
                    </a:stretch>
                  </pic:blipFill>
                  <pic:spPr bwMode="auto">
                    <a:xfrm>
                      <a:off x="0" y="0"/>
                      <a:ext cx="7248525" cy="59436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3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descr=""/>
                    <pic:cNvPicPr>
                      <a:picLocks noChangeAspect="1" noChangeArrowheads="1"/>
                    </pic:cNvPicPr>
                  </pic:nvPicPr>
                  <pic:blipFill>
                    <a:blip r:embed="rId1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3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 descr=""/>
                    <pic:cNvPicPr>
                      <a:picLocks noChangeAspect="1" noChangeArrowheads="1"/>
                    </pic:cNvPicPr>
                  </pic:nvPicPr>
                  <pic:blipFill>
                    <a:blip r:embed="rId1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3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1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39"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1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41"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pPr>
      <w:r>
        <w:rPr/>
        <w:drawing>
          <wp:inline distT="0" distB="0" distL="0" distR="0">
            <wp:extent cx="9144000" cy="51435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16"/>
                    <a:stretch>
                      <a:fillRect/>
                    </a:stretch>
                  </pic:blipFill>
                  <pic:spPr bwMode="auto">
                    <a:xfrm>
                      <a:off x="0" y="0"/>
                      <a:ext cx="9144000" cy="51435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43"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6" descr=""/>
                    <pic:cNvPicPr>
                      <a:picLocks noChangeAspect="1" noChangeArrowheads="1"/>
                    </pic:cNvPicPr>
                  </pic:nvPicPr>
                  <pic:blipFill>
                    <a:blip r:embed="rId1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45"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1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47"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1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49"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9" descr=""/>
                    <pic:cNvPicPr>
                      <a:picLocks noChangeAspect="1" noChangeArrowheads="1"/>
                    </pic:cNvPicPr>
                  </pic:nvPicPr>
                  <pic:blipFill>
                    <a:blip r:embed="rId20"/>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1"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0" descr=""/>
                    <pic:cNvPicPr>
                      <a:picLocks noChangeAspect="1" noChangeArrowheads="1"/>
                    </pic:cNvPicPr>
                  </pic:nvPicPr>
                  <pic:blipFill>
                    <a:blip r:embed="rId2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5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1" descr=""/>
                    <pic:cNvPicPr>
                      <a:picLocks noChangeAspect="1" noChangeArrowheads="1"/>
                    </pic:cNvPicPr>
                  </pic:nvPicPr>
                  <pic:blipFill>
                    <a:blip r:embed="rId2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5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2" descr=""/>
                    <pic:cNvPicPr>
                      <a:picLocks noChangeAspect="1" noChangeArrowheads="1"/>
                    </pic:cNvPicPr>
                  </pic:nvPicPr>
                  <pic:blipFill>
                    <a:blip r:embed="rId2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5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 descr=""/>
                    <pic:cNvPicPr>
                      <a:picLocks noChangeAspect="1" noChangeArrowheads="1"/>
                    </pic:cNvPicPr>
                  </pic:nvPicPr>
                  <pic:blipFill>
                    <a:blip r:embed="rId2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59"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6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4" descr=""/>
                    <pic:cNvPicPr>
                      <a:picLocks noChangeAspect="1" noChangeArrowheads="1"/>
                    </pic:cNvPicPr>
                  </pic:nvPicPr>
                  <pic:blipFill>
                    <a:blip r:embed="rId2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1"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6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5" descr=""/>
                    <pic:cNvPicPr>
                      <a:picLocks noChangeAspect="1" noChangeArrowheads="1"/>
                    </pic:cNvPicPr>
                  </pic:nvPicPr>
                  <pic:blipFill>
                    <a:blip r:embed="rId2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3"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6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6" descr=""/>
                    <pic:cNvPicPr>
                      <a:picLocks noChangeAspect="1" noChangeArrowheads="1"/>
                    </pic:cNvPicPr>
                  </pic:nvPicPr>
                  <pic:blipFill>
                    <a:blip r:embed="rId2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5"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6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7" descr=""/>
                    <pic:cNvPicPr>
                      <a:picLocks noChangeAspect="1" noChangeArrowheads="1"/>
                    </pic:cNvPicPr>
                  </pic:nvPicPr>
                  <pic:blipFill>
                    <a:blip r:embed="rId28"/>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7"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6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 descr=""/>
                    <pic:cNvPicPr>
                      <a:picLocks noChangeAspect="1" noChangeArrowheads="1"/>
                    </pic:cNvPicPr>
                  </pic:nvPicPr>
                  <pic:blipFill>
                    <a:blip r:embed="rId2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9"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7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9" descr=""/>
                    <pic:cNvPicPr>
                      <a:picLocks noChangeAspect="1" noChangeArrowheads="1"/>
                    </pic:cNvPicPr>
                  </pic:nvPicPr>
                  <pic:blipFill>
                    <a:blip r:embed="rId3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1"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7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0" descr=""/>
                    <pic:cNvPicPr>
                      <a:picLocks noChangeAspect="1" noChangeArrowheads="1"/>
                    </pic:cNvPicPr>
                  </pic:nvPicPr>
                  <pic:blipFill>
                    <a:blip r:embed="rId31"/>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7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1" descr=""/>
                    <pic:cNvPicPr>
                      <a:picLocks noChangeAspect="1" noChangeArrowheads="1"/>
                    </pic:cNvPicPr>
                  </pic:nvPicPr>
                  <pic:blipFill>
                    <a:blip r:embed="rId3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7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2" descr=""/>
                    <pic:cNvPicPr>
                      <a:picLocks noChangeAspect="1" noChangeArrowheads="1"/>
                    </pic:cNvPicPr>
                  </pic:nvPicPr>
                  <pic:blipFill>
                    <a:blip r:embed="rId3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7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3" descr=""/>
                    <pic:cNvPicPr>
                      <a:picLocks noChangeAspect="1" noChangeArrowheads="1"/>
                    </pic:cNvPicPr>
                  </pic:nvPicPr>
                  <pic:blipFill>
                    <a:blip r:embed="rId3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8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4" descr=""/>
                    <pic:cNvPicPr>
                      <a:picLocks noChangeAspect="1" noChangeArrowheads="1"/>
                    </pic:cNvPicPr>
                  </pic:nvPicPr>
                  <pic:blipFill>
                    <a:blip r:embed="rId35"/>
                    <a:stretch>
                      <a:fillRect/>
                    </a:stretch>
                  </pic:blipFill>
                  <pic:spPr bwMode="auto">
                    <a:xfrm>
                      <a:off x="0" y="0"/>
                      <a:ext cx="9144000" cy="51435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gif"/><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28.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4649</Words>
  <Characters>26448</Characters>
  <CharactersWithSpaces>30496</CharactersWithSpaces>
  <Paragraphs>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