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David Barrett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15278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36667.2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12/15/2023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13372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Compenstaion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12/15/2023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1906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12/13/2023 110000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214802.33</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75000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187500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71970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179205.3</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12/12/2023 85000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192950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12/11/2023 83000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194220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12/08/2023 84000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204960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12/07/2023 58221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144970.29</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54000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11/30/2023 7391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17812.31</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95700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Note for 3(e): As of November 3, 2023, as stated in Issuer's quarterly report on Form 10-Q for the quarterly period ending September 30, 2023. Note for Table II: Barrett Trust LLC is a manager-managed limited liability company. The investment and voting decisions of Barrett Trust LLC are made by its manager, David Barrett, and its controlling member is the Barrett Family Trust, for which David Barrett serves as trustee.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ectPr>
          <w:pgSz w:w="11900" w:h="16838" w:orient="portrait"/>
          <w:cols w:equalWidth="0" w:num="2">
            <w:col w:w="820" w:space="120"/>
            <w:col w:w="1030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Notice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111"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2023-12-15T19:47:58Z</dcterms:created>
  <dcterms:modified xsi:type="dcterms:W3CDTF">2023-12-15T19:47:58Z</dcterms:modified>
</cp:coreProperties>
</file>