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-6350</wp:posOffset>
            </wp:positionV>
            <wp:extent cx="144145" cy="194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145" cy="194945"/>
                    </a:xfrm>
                    <a:prstGeom prst="rect">
                      <a:avLst/>
                    </a:prstGeom>
                    <a:noFill/>
                  </pic:spPr>
                </pic:pic>
              </a:graphicData>
            </a:graphic>
          </wp:anchor>
        </w:drawing>
      </w:r>
    </w:p>
    <w:p>
      <w:pPr>
        <w:ind w:left="360" w:right="120" w:hanging="273"/>
        <w:spacing w:after="0" w:line="191" w:lineRule="auto"/>
        <w:tabs>
          <w:tab w:leader="none" w:pos="360" w:val="left"/>
        </w:tabs>
        <w:numPr>
          <w:ilvl w:val="0"/>
          <w:numId w:val="1"/>
        </w:numPr>
        <w:rPr>
          <w:rFonts w:ascii="Times New Roman" w:cs="Times New Roman" w:eastAsia="Times New Roman" w:hAnsi="Times New Roman"/>
          <w:sz w:val="25"/>
          <w:szCs w:val="25"/>
          <w:color w:val="0000FF"/>
          <w:highlight w:val="white"/>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523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52399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180" w:space="28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Martirano David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15 HUMBOLDT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Expensify,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06/03/2022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525" w:type="dxa"/>
        <w:tblCellMar>
          <w:top w:w="0" w:type="dxa"/>
          <w:left w:w="0" w:type="dxa"/>
          <w:bottom w:w="0" w:type="dxa"/>
          <w:right w:w="0" w:type="dxa"/>
        </w:tblCellMar>
      </w:tblPr>
      <w:tr>
        <w:trPr>
          <w:trHeight w:val="175"/>
        </w:trPr>
        <w:tc>
          <w:tcPr>
            <w:tcW w:w="1100" w:type="dxa"/>
            <w:vAlign w:val="bottom"/>
          </w:tcPr>
          <w:p>
            <w:pPr>
              <w:spacing w:after="0"/>
              <w:rPr>
                <w:sz w:val="20"/>
                <w:szCs w:val="20"/>
                <w:color w:val="auto"/>
              </w:rPr>
            </w:pPr>
            <w:r>
              <w:rPr>
                <w:rFonts w:ascii="Arial" w:cs="Arial" w:eastAsia="Arial" w:hAnsi="Arial"/>
                <w:sz w:val="13"/>
                <w:szCs w:val="13"/>
                <w:color w:val="auto"/>
              </w:rPr>
              <w:t>Director</w:t>
            </w:r>
          </w:p>
        </w:tc>
        <w:tc>
          <w:tcPr>
            <w:tcW w:w="360" w:type="dxa"/>
            <w:vAlign w:val="bottom"/>
          </w:tcPr>
          <w:p>
            <w:pPr>
              <w:spacing w:after="0"/>
              <w:rPr>
                <w:sz w:val="15"/>
                <w:szCs w:val="15"/>
                <w:color w:val="auto"/>
              </w:rPr>
            </w:pPr>
          </w:p>
        </w:tc>
        <w:tc>
          <w:tcPr>
            <w:tcW w:w="94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1100" w:type="dxa"/>
            <w:vAlign w:val="bottom"/>
          </w:tcPr>
          <w:p>
            <w:pPr>
              <w:spacing w:after="0"/>
              <w:rPr>
                <w:sz w:val="20"/>
                <w:szCs w:val="20"/>
                <w:color w:val="auto"/>
              </w:rPr>
            </w:pPr>
            <w:r>
              <w:rPr>
                <w:rFonts w:ascii="Arial" w:cs="Arial" w:eastAsia="Arial" w:hAnsi="Arial"/>
                <w:sz w:val="13"/>
                <w:szCs w:val="13"/>
                <w:color w:val="auto"/>
              </w:rPr>
              <w:t>Officer (give title</w:t>
            </w:r>
          </w:p>
        </w:tc>
        <w:tc>
          <w:tcPr>
            <w:tcW w:w="3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X</w:t>
            </w:r>
          </w:p>
        </w:tc>
        <w:tc>
          <w:tcPr>
            <w:tcW w:w="9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1100" w:type="dxa"/>
            <w:vAlign w:val="bottom"/>
            <w:vMerge w:val="restart"/>
          </w:tcPr>
          <w:p>
            <w:pPr>
              <w:spacing w:after="0"/>
              <w:rPr>
                <w:sz w:val="20"/>
                <w:szCs w:val="20"/>
                <w:color w:val="auto"/>
              </w:rPr>
            </w:pPr>
            <w:r>
              <w:rPr>
                <w:rFonts w:ascii="Arial" w:cs="Arial" w:eastAsia="Arial" w:hAnsi="Arial"/>
                <w:sz w:val="13"/>
                <w:szCs w:val="13"/>
                <w:color w:val="auto"/>
              </w:rPr>
              <w:t>below)</w:t>
            </w:r>
          </w:p>
        </w:tc>
        <w:tc>
          <w:tcPr>
            <w:tcW w:w="360" w:type="dxa"/>
            <w:vAlign w:val="bottom"/>
            <w:vMerge w:val="continue"/>
          </w:tcPr>
          <w:p>
            <w:pPr>
              <w:spacing w:after="0"/>
              <w:rPr>
                <w:sz w:val="10"/>
                <w:szCs w:val="10"/>
                <w:color w:val="auto"/>
              </w:rPr>
            </w:pPr>
          </w:p>
        </w:tc>
        <w:tc>
          <w:tcPr>
            <w:tcW w:w="9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110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326"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16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PROVIDENCE</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RI</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02906</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gridSpan w:val="3"/>
            <w:vMerge w:val="restart"/>
          </w:tcPr>
          <w:p>
            <w:pPr>
              <w:jc w:val="center"/>
              <w:ind w:left="44"/>
              <w:spacing w:after="0"/>
              <w:rPr>
                <w:sz w:val="20"/>
                <w:szCs w:val="20"/>
                <w:color w:val="auto"/>
              </w:rPr>
            </w:pPr>
            <w:r>
              <w:rPr>
                <w:rFonts w:ascii="Times New Roman" w:cs="Times New Roman" w:eastAsia="Times New Roman" w:hAnsi="Times New Roman"/>
                <w:sz w:val="17"/>
                <w:szCs w:val="17"/>
                <w:color w:val="0000FF"/>
              </w:rPr>
              <w:t>230,140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3"/>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gridSpan w:val="3"/>
            <w:vMerge w:val="restart"/>
          </w:tcPr>
          <w:p>
            <w:pPr>
              <w:jc w:val="center"/>
              <w:ind w:left="44"/>
              <w:spacing w:after="0"/>
              <w:rPr>
                <w:sz w:val="20"/>
                <w:szCs w:val="20"/>
                <w:color w:val="auto"/>
              </w:rPr>
            </w:pPr>
            <w:r>
              <w:rPr>
                <w:rFonts w:ascii="Times New Roman" w:cs="Times New Roman" w:eastAsia="Times New Roman" w:hAnsi="Times New Roman"/>
                <w:sz w:val="17"/>
                <w:szCs w:val="17"/>
                <w:color w:val="0000FF"/>
              </w:rPr>
              <w:t>255,270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3"/>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gridSpan w:val="3"/>
            <w:vMerge w:val="restart"/>
          </w:tcPr>
          <w:p>
            <w:pPr>
              <w:jc w:val="center"/>
              <w:ind w:left="64"/>
              <w:spacing w:after="0"/>
              <w:rPr>
                <w:sz w:val="20"/>
                <w:szCs w:val="20"/>
                <w:color w:val="auto"/>
              </w:rPr>
            </w:pPr>
            <w:r>
              <w:rPr>
                <w:rFonts w:ascii="Times New Roman" w:cs="Times New Roman" w:eastAsia="Times New Roman" w:hAnsi="Times New Roman"/>
                <w:sz w:val="17"/>
                <w:szCs w:val="17"/>
                <w:color w:val="0000FF"/>
              </w:rPr>
              <w:t>3,281,880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3"/>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gridSpan w:val="2"/>
            <w:vMerge w:val="restart"/>
          </w:tcPr>
          <w:p>
            <w:pPr>
              <w:ind w:left="640"/>
              <w:spacing w:after="0"/>
              <w:rPr>
                <w:sz w:val="20"/>
                <w:szCs w:val="20"/>
                <w:color w:val="auto"/>
              </w:rPr>
            </w:pPr>
            <w:r>
              <w:rPr>
                <w:rFonts w:ascii="Times New Roman" w:cs="Times New Roman" w:eastAsia="Times New Roman" w:hAnsi="Times New Roman"/>
                <w:sz w:val="17"/>
                <w:szCs w:val="17"/>
                <w:color w:val="0000FF"/>
              </w:rPr>
              <w:t>06/03/2022</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(4)</w:t>
            </w:r>
          </w:p>
        </w:tc>
        <w:tc>
          <w:tcPr>
            <w:tcW w:w="1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1,915,646</w:t>
            </w:r>
          </w:p>
        </w:tc>
        <w:tc>
          <w:tcPr>
            <w:tcW w:w="3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w:t>
            </w:r>
          </w:p>
        </w:tc>
        <w:tc>
          <w:tcPr>
            <w:tcW w:w="36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gridSpan w:val="3"/>
            <w:vMerge w:val="restart"/>
          </w:tcPr>
          <w:p>
            <w:pPr>
              <w:jc w:val="center"/>
              <w:ind w:left="44"/>
              <w:spacing w:after="0"/>
              <w:rPr>
                <w:sz w:val="20"/>
                <w:szCs w:val="20"/>
                <w:color w:val="auto"/>
              </w:rPr>
            </w:pPr>
            <w:r>
              <w:rPr>
                <w:rFonts w:ascii="Times New Roman" w:cs="Times New Roman" w:eastAsia="Times New Roman" w:hAnsi="Times New Roman"/>
                <w:sz w:val="17"/>
                <w:szCs w:val="17"/>
                <w:color w:val="0000FF"/>
              </w:rPr>
              <w:t>429,544</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58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360" w:type="dxa"/>
            <w:vAlign w:val="bottom"/>
            <w:gridSpan w:val="2"/>
            <w:vMerge w:val="continue"/>
          </w:tcPr>
          <w:p>
            <w:pPr>
              <w:spacing w:after="0"/>
              <w:rPr>
                <w:sz w:val="10"/>
                <w:szCs w:val="10"/>
                <w:color w:val="auto"/>
              </w:rPr>
            </w:pPr>
          </w:p>
        </w:tc>
        <w:tc>
          <w:tcPr>
            <w:tcW w:w="1400" w:type="dxa"/>
            <w:vAlign w:val="bottom"/>
            <w:gridSpan w:val="3"/>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gridSpan w:val="3"/>
            <w:vMerge w:val="restart"/>
          </w:tcPr>
          <w:p>
            <w:pPr>
              <w:jc w:val="center"/>
              <w:ind w:left="44"/>
              <w:spacing w:after="0"/>
              <w:rPr>
                <w:sz w:val="20"/>
                <w:szCs w:val="20"/>
                <w:color w:val="auto"/>
              </w:rPr>
            </w:pPr>
            <w:r>
              <w:rPr>
                <w:rFonts w:ascii="Times New Roman" w:cs="Times New Roman" w:eastAsia="Times New Roman" w:hAnsi="Times New Roman"/>
                <w:sz w:val="17"/>
                <w:szCs w:val="17"/>
                <w:color w:val="0000FF"/>
              </w:rPr>
              <w:t>922,000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3"/>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gridSpan w:val="3"/>
            <w:vMerge w:val="restart"/>
          </w:tcPr>
          <w:p>
            <w:pPr>
              <w:jc w:val="center"/>
              <w:ind w:left="44"/>
              <w:spacing w:after="0"/>
              <w:rPr>
                <w:sz w:val="20"/>
                <w:szCs w:val="20"/>
                <w:color w:val="auto"/>
              </w:rPr>
            </w:pPr>
            <w:r>
              <w:rPr>
                <w:rFonts w:ascii="Times New Roman" w:cs="Times New Roman" w:eastAsia="Times New Roman" w:hAnsi="Times New Roman"/>
                <w:sz w:val="17"/>
                <w:szCs w:val="17"/>
                <w:color w:val="0000FF"/>
              </w:rPr>
              <w:t>110,360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3"/>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by PJC-DV II LLC ("DV II"). David Martirano (the "Reporting Person") is the Manager of DV II and in such capacity may be deemed to beneficially own such shares.</w:t>
      </w:r>
    </w:p>
    <w:p>
      <w:pPr>
        <w:spacing w:after="0" w:line="50"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by Point Judith Venture Fund III, L.P. ("Fund III"). Point Judith Capital Partners III LLC ("Partners III") is the general partner of Fund III. The Reporting Person is the manager of Partners III, and in such capacity may be deemed to beneficially own such shares.</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by Point Judith Venture Fund III (QP), L.P. ("Fund III (QP)"). Partners III is the general partner of Fund III (QP). The Reporting Person is the manager of Partners III and in such capacity may be deemed to beneficially own such shares.</w:t>
      </w:r>
    </w:p>
    <w:p>
      <w:pPr>
        <w:spacing w:after="0" w:line="7" w:lineRule="exact"/>
        <w:rPr>
          <w:rFonts w:ascii="Times New Roman" w:cs="Times New Roman" w:eastAsia="Times New Roman" w:hAnsi="Times New Roman"/>
          <w:sz w:val="13"/>
          <w:szCs w:val="13"/>
          <w:color w:val="008000"/>
        </w:rPr>
      </w:pPr>
    </w:p>
    <w:p>
      <w:pPr>
        <w:jc w:val="both"/>
        <w:ind w:left="40" w:right="480" w:firstLine="7"/>
        <w:spacing w:after="0" w:line="253"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by members of PJC-DV LLC ("DV"). On June 3, 2022, DV made a pro rata distribution for no consideration of 2,345,190 shares to its members, consisting of a third party unrelated to the Reporting Person and DMM SPV Management LLC ("DMM"), who received 1,915,646 and 429,544 shares, respectively. The Reporting Person is the manager of DMM and in such capacity may be deemed to beneficially own the shares held by DMM. After giving effect to the distribution, DV no longer held any shares of the issuer.</w:t>
      </w:r>
    </w:p>
    <w:p>
      <w:pPr>
        <w:spacing w:after="0" w:line="20"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by Point Judith Venture Fund IV, L.P. ("Fund IV"). Point Judith Capital Partners IV LLC ("Partners IV") is the general partner of Fund IV. The Reporting Person is the manager of Partners IV, and in such capacity may be deemed to beneficially own such shares.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by MKC Holdings Group LLC ("MKC"). The Reporting Person is the manager of MKC and in such capacity may be deemed to beneficially own such shares.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As a result of the transaction reported herein, the Reporting Person is no longer a 10% holder of the issuer.</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David Martirano</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06/06/2022</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92188"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2022-06-06T17:51:59Z</dcterms:created>
  <dcterms:modified xsi:type="dcterms:W3CDTF">2022-06-06T17:51:59Z</dcterms:modified>
</cp:coreProperties>
</file>