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60" w:type="dxa"/>
            <w:vAlign w:val="bottom"/>
          </w:tcPr>
          <w:p>
            <w:pPr>
              <w:ind w:left="40"/>
              <w:spacing w:after="0"/>
              <w:rPr>
                <w:sz w:val="20"/>
                <w:szCs w:val="20"/>
                <w:color w:val="auto"/>
              </w:rPr>
            </w:pPr>
            <w:r>
              <w:rPr>
                <w:rFonts w:ascii="Arial" w:cs="Arial" w:eastAsia="Arial" w:hAnsi="Arial"/>
                <w:sz w:val="22"/>
                <w:szCs w:val="22"/>
                <w:color w:val="auto"/>
              </w:rPr>
              <w:t>0001970717</w:t>
            </w: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60" w:type="dxa"/>
            <w:vAlign w:val="bottom"/>
          </w:tcPr>
          <w:p>
            <w:pPr>
              <w:ind w:left="40"/>
              <w:spacing w:after="0"/>
              <w:rPr>
                <w:sz w:val="20"/>
                <w:szCs w:val="20"/>
                <w:color w:val="auto"/>
              </w:rPr>
            </w:pPr>
            <w:r>
              <w:rPr>
                <w:rFonts w:ascii="Arial" w:cs="Arial" w:eastAsia="Arial" w:hAnsi="Arial"/>
                <w:sz w:val="22"/>
                <w:szCs w:val="22"/>
                <w:color w:val="auto"/>
              </w:rPr>
              <w:t>XXXXXXXX</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4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60" w:type="dxa"/>
            <w:vAlign w:val="bottom"/>
          </w:tcPr>
          <w:p>
            <w:pPr>
              <w:spacing w:after="0"/>
              <w:rPr>
                <w:sz w:val="24"/>
                <w:szCs w:val="24"/>
                <w:color w:val="auto"/>
              </w:rPr>
            </w:pPr>
          </w:p>
        </w:tc>
        <w:tc>
          <w:tcPr>
            <w:tcW w:w="2300" w:type="dxa"/>
            <w:vAlign w:val="bottom"/>
          </w:tcPr>
          <w:p>
            <w:pPr>
              <w:ind w:left="740"/>
              <w:spacing w:after="0"/>
              <w:rPr>
                <w:sz w:val="20"/>
                <w:szCs w:val="20"/>
                <w:color w:val="auto"/>
              </w:rPr>
            </w:pPr>
            <w:r>
              <w:rPr>
                <w:rFonts w:ascii="Arial" w:cs="Arial" w:eastAsia="Arial" w:hAnsi="Arial"/>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60" w:type="dxa"/>
            <w:vAlign w:val="bottom"/>
          </w:tcPr>
          <w:p>
            <w:pPr>
              <w:spacing w:after="0"/>
              <w:rPr>
                <w:sz w:val="24"/>
                <w:szCs w:val="24"/>
                <w:color w:val="auto"/>
              </w:rPr>
            </w:pPr>
          </w:p>
        </w:tc>
        <w:tc>
          <w:tcPr>
            <w:tcW w:w="2300" w:type="dxa"/>
            <w:vAlign w:val="bottom"/>
          </w:tcPr>
          <w:p>
            <w:pPr>
              <w:ind w:left="740"/>
              <w:spacing w:after="0"/>
              <w:rPr>
                <w:sz w:val="20"/>
                <w:szCs w:val="20"/>
                <w:color w:val="auto"/>
              </w:rPr>
            </w:pPr>
            <w:r>
              <w:rPr>
                <w:rFonts w:ascii="Arial" w:cs="Arial" w:eastAsia="Arial" w:hAnsi="Arial"/>
                <w:sz w:val="22"/>
                <w:szCs w:val="22"/>
                <w:color w:val="auto"/>
              </w:rPr>
              <w:t>001-41043</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2300" w:type="dxa"/>
            <w:vAlign w:val="bottom"/>
          </w:tcPr>
          <w:p>
            <w:pPr>
              <w:ind w:left="740"/>
              <w:spacing w:after="0"/>
              <w:rPr>
                <w:sz w:val="20"/>
                <w:szCs w:val="20"/>
                <w:color w:val="auto"/>
              </w:rPr>
            </w:pPr>
            <w:r>
              <w:rPr>
                <w:rFonts w:ascii="Arial" w:cs="Arial" w:eastAsia="Arial" w:hAnsi="Arial"/>
                <w:sz w:val="22"/>
                <w:szCs w:val="22"/>
                <w:color w:val="auto"/>
                <w:w w:val="96"/>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460" w:type="dxa"/>
            <w:vAlign w:val="bottom"/>
          </w:tcPr>
          <w:p>
            <w:pPr>
              <w:spacing w:after="0"/>
              <w:rPr>
                <w:sz w:val="21"/>
                <w:szCs w:val="21"/>
                <w:color w:val="auto"/>
              </w:rPr>
            </w:pPr>
          </w:p>
        </w:tc>
        <w:tc>
          <w:tcPr>
            <w:tcW w:w="2300" w:type="dxa"/>
            <w:vAlign w:val="bottom"/>
          </w:tcPr>
          <w:p>
            <w:pPr>
              <w:ind w:left="740"/>
              <w:spacing w:after="0" w:line="243" w:lineRule="exact"/>
              <w:rPr>
                <w:sz w:val="20"/>
                <w:szCs w:val="20"/>
                <w:color w:val="auto"/>
              </w:rPr>
            </w:pPr>
            <w:r>
              <w:rPr>
                <w:rFonts w:ascii="Arial" w:cs="Arial" w:eastAsia="Arial" w:hAnsi="Arial"/>
                <w:sz w:val="22"/>
                <w:szCs w:val="22"/>
                <w:color w:val="auto"/>
              </w:rPr>
              <w:t>Portland</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2300" w:type="dxa"/>
            <w:vAlign w:val="bottom"/>
            <w:vMerge w:val="restart"/>
          </w:tcPr>
          <w:p>
            <w:pPr>
              <w:ind w:left="740"/>
              <w:spacing w:after="0" w:line="243" w:lineRule="exact"/>
              <w:rPr>
                <w:sz w:val="20"/>
                <w:szCs w:val="20"/>
                <w:color w:val="auto"/>
              </w:rPr>
            </w:pPr>
            <w:r>
              <w:rPr>
                <w:rFonts w:ascii="Arial" w:cs="Arial" w:eastAsia="Arial" w:hAnsi="Arial"/>
                <w:sz w:val="22"/>
                <w:szCs w:val="22"/>
                <w:color w:val="auto"/>
              </w:rPr>
              <w:t>OREGON</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2300" w:type="dxa"/>
            <w:vAlign w:val="bottom"/>
          </w:tcPr>
          <w:p>
            <w:pPr>
              <w:ind w:left="740"/>
              <w:spacing w:after="0"/>
              <w:rPr>
                <w:sz w:val="20"/>
                <w:szCs w:val="20"/>
                <w:color w:val="auto"/>
              </w:rPr>
            </w:pPr>
            <w:r>
              <w:rPr>
                <w:rFonts w:ascii="Arial" w:cs="Arial" w:eastAsia="Arial" w:hAnsi="Arial"/>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2300" w:type="dxa"/>
            <w:vAlign w:val="bottom"/>
          </w:tcPr>
          <w:p>
            <w:pPr>
              <w:ind w:left="740"/>
              <w:spacing w:after="0"/>
              <w:rPr>
                <w:sz w:val="20"/>
                <w:szCs w:val="20"/>
                <w:color w:val="auto"/>
              </w:rPr>
            </w:pPr>
            <w:r>
              <w:rPr>
                <w:rFonts w:ascii="Arial" w:cs="Arial" w:eastAsia="Arial" w:hAnsi="Arial"/>
                <w:sz w:val="22"/>
                <w:szCs w:val="22"/>
                <w:color w:val="auto"/>
              </w:rPr>
              <w:t>5733405022</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Arial" w:cs="Arial" w:eastAsia="Arial" w:hAnsi="Arial"/>
                <w:sz w:val="22"/>
                <w:szCs w:val="22"/>
                <w:color w:val="auto"/>
                <w:w w:val="99"/>
              </w:rPr>
              <w:t>Name of Person for Whose Account the Securities are To Be Sold</w:t>
            </w:r>
          </w:p>
        </w:tc>
        <w:tc>
          <w:tcPr>
            <w:tcW w:w="2300" w:type="dxa"/>
            <w:vAlign w:val="bottom"/>
          </w:tcPr>
          <w:p>
            <w:pPr>
              <w:ind w:left="740"/>
              <w:spacing w:after="0"/>
              <w:rPr>
                <w:sz w:val="20"/>
                <w:szCs w:val="20"/>
                <w:color w:val="auto"/>
              </w:rPr>
            </w:pPr>
            <w:r>
              <w:rPr>
                <w:rFonts w:ascii="Arial" w:cs="Arial" w:eastAsia="Arial" w:hAnsi="Arial"/>
                <w:sz w:val="22"/>
                <w:szCs w:val="22"/>
                <w:color w:val="auto"/>
                <w:w w:val="91"/>
              </w:rPr>
              <w:t>Barrett Trust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-3220085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-3220085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*See note 2(a) in Remarks below</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Raymod James &amp;</w:t>
      </w:r>
    </w:p>
    <w:p>
      <w:pPr>
        <w:ind w:left="2520"/>
        <w:spacing w:after="0" w:line="238" w:lineRule="auto"/>
        <w:rPr>
          <w:sz w:val="20"/>
          <w:szCs w:val="20"/>
          <w:color w:val="auto"/>
        </w:rPr>
      </w:pPr>
      <w:r>
        <w:rPr>
          <w:rFonts w:ascii="Arial" w:cs="Arial" w:eastAsia="Arial" w:hAnsi="Arial"/>
          <w:sz w:val="22"/>
          <w:szCs w:val="22"/>
          <w:color w:val="auto"/>
        </w:rPr>
        <w:t>Associates Inc</w:t>
      </w:r>
    </w:p>
    <w:p>
      <w:pPr>
        <w:ind w:left="40"/>
        <w:spacing w:after="0"/>
        <w:tabs>
          <w:tab w:leader="none" w:pos="2500" w:val="left"/>
        </w:tabs>
        <w:rPr>
          <w:sz w:val="20"/>
          <w:szCs w:val="20"/>
          <w:color w:val="auto"/>
        </w:rPr>
      </w:pPr>
      <w:r>
        <w:rPr>
          <w:rFonts w:ascii="Arial" w:cs="Arial" w:eastAsia="Arial" w:hAnsi="Arial"/>
          <w:sz w:val="22"/>
          <w:szCs w:val="22"/>
          <w:color w:val="auto"/>
        </w:rPr>
        <w:t>Class A Common</w:t>
      </w:r>
      <w:r>
        <w:rPr>
          <w:sz w:val="20"/>
          <w:szCs w:val="20"/>
          <w:color w:val="auto"/>
        </w:rPr>
        <w:tab/>
      </w:r>
      <w:r>
        <w:rPr>
          <w:rFonts w:ascii="Arial" w:cs="Arial" w:eastAsia="Arial" w:hAnsi="Arial"/>
          <w:sz w:val="19"/>
          <w:szCs w:val="19"/>
          <w:color w:val="auto"/>
        </w:rPr>
        <w:t>880 Carillon Parkway</w:t>
      </w:r>
    </w:p>
    <w:p>
      <w:pPr>
        <w:ind w:left="2520"/>
        <w:spacing w:after="0" w:line="231" w:lineRule="auto"/>
        <w:rPr>
          <w:sz w:val="20"/>
          <w:szCs w:val="20"/>
          <w:color w:val="auto"/>
        </w:rPr>
      </w:pPr>
      <w:r>
        <w:rPr>
          <w:rFonts w:ascii="Arial" w:cs="Arial" w:eastAsia="Arial" w:hAnsi="Arial"/>
          <w:sz w:val="22"/>
          <w:szCs w:val="22"/>
          <w:color w:val="auto"/>
        </w:rPr>
        <w:t>St. Petersburg  FL</w:t>
      </w:r>
    </w:p>
    <w:p>
      <w:pPr>
        <w:ind w:left="2520"/>
        <w:spacing w:after="0"/>
        <w:rPr>
          <w:sz w:val="20"/>
          <w:szCs w:val="20"/>
          <w:color w:val="auto"/>
        </w:rPr>
      </w:pPr>
      <w:r>
        <w:rPr>
          <w:rFonts w:ascii="Arial" w:cs="Arial" w:eastAsia="Arial" w:hAnsi="Arial"/>
          <w:sz w:val="22"/>
          <w:szCs w:val="22"/>
          <w:color w:val="auto"/>
        </w:rPr>
        <w:t>33716</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260000</w:t>
            </w:r>
          </w:p>
        </w:tc>
        <w:tc>
          <w:tcPr>
            <w:tcW w:w="1280" w:type="dxa"/>
            <w:vAlign w:val="bottom"/>
          </w:tcPr>
          <w:p>
            <w:pPr>
              <w:jc w:val="right"/>
              <w:ind w:right="352"/>
              <w:spacing w:after="0"/>
              <w:rPr>
                <w:sz w:val="20"/>
                <w:szCs w:val="20"/>
                <w:color w:val="auto"/>
              </w:rPr>
            </w:pPr>
            <w:r>
              <w:rPr>
                <w:rFonts w:ascii="Arial" w:cs="Arial" w:eastAsia="Arial" w:hAnsi="Arial"/>
                <w:sz w:val="22"/>
                <w:szCs w:val="22"/>
                <w:color w:val="auto"/>
                <w:w w:val="93"/>
              </w:rPr>
              <w:t>1713400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68507818</w:t>
            </w:r>
          </w:p>
        </w:tc>
        <w:tc>
          <w:tcPr>
            <w:tcW w:w="1280" w:type="dxa"/>
            <w:vAlign w:val="bottom"/>
          </w:tcPr>
          <w:p>
            <w:pPr>
              <w:ind w:left="40"/>
              <w:spacing w:after="0"/>
              <w:rPr>
                <w:sz w:val="20"/>
                <w:szCs w:val="20"/>
                <w:color w:val="auto"/>
              </w:rPr>
            </w:pPr>
            <w:r>
              <w:rPr>
                <w:rFonts w:ascii="Arial" w:cs="Arial" w:eastAsia="Arial" w:hAnsi="Arial"/>
                <w:sz w:val="22"/>
                <w:szCs w:val="22"/>
                <w:color w:val="auto"/>
              </w:rPr>
              <w:t>06/01/2023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20" w:val="left"/>
          <w:tab w:leader="none" w:pos="7340" w:val="left"/>
          <w:tab w:leader="none" w:pos="868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2960" w:type="dxa"/>
            <w:vAlign w:val="bottom"/>
          </w:tcPr>
          <w:p>
            <w:pPr>
              <w:ind w:left="1660"/>
              <w:spacing w:after="0"/>
              <w:rPr>
                <w:sz w:val="20"/>
                <w:szCs w:val="20"/>
                <w:color w:val="auto"/>
              </w:rPr>
            </w:pPr>
            <w:r>
              <w:rPr>
                <w:rFonts w:ascii="Arial" w:cs="Arial" w:eastAsia="Arial" w:hAnsi="Arial"/>
                <w:sz w:val="22"/>
                <w:szCs w:val="22"/>
                <w:b w:val="1"/>
                <w:bCs w:val="1"/>
                <w:color w:val="auto"/>
              </w:rPr>
              <w:t>Transaction</w:t>
            </w:r>
          </w:p>
        </w:tc>
        <w:tc>
          <w:tcPr>
            <w:tcW w:w="1520" w:type="dxa"/>
            <w:vAlign w:val="bottom"/>
          </w:tcPr>
          <w:p>
            <w:pPr>
              <w:jc w:val="center"/>
              <w:ind w:left="72"/>
              <w:spacing w:after="0"/>
              <w:rPr>
                <w:sz w:val="20"/>
                <w:szCs w:val="20"/>
                <w:color w:val="auto"/>
              </w:rPr>
            </w:pPr>
            <w:r>
              <w:rPr>
                <w:rFonts w:ascii="Arial" w:cs="Arial" w:eastAsia="Arial" w:hAnsi="Arial"/>
                <w:sz w:val="22"/>
                <w:szCs w:val="22"/>
                <w:b w:val="1"/>
                <w:bCs w:val="1"/>
                <w:color w:val="auto"/>
                <w:w w:val="92"/>
              </w:rPr>
              <w:t>Whom</w:t>
            </w:r>
          </w:p>
        </w:tc>
        <w:tc>
          <w:tcPr>
            <w:tcW w:w="272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Arial" w:cs="Arial" w:eastAsia="Arial" w:hAnsi="Arial"/>
                <w:sz w:val="22"/>
                <w:szCs w:val="22"/>
                <w:b w:val="1"/>
                <w:bCs w:val="1"/>
                <w:color w:val="auto"/>
                <w:w w:val="90"/>
              </w:rPr>
              <w:t>Acquired</w:t>
            </w:r>
          </w:p>
        </w:tc>
        <w:tc>
          <w:tcPr>
            <w:tcW w:w="272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Arial" w:cs="Arial" w:eastAsia="Arial" w:hAnsi="Arial"/>
                <w:sz w:val="22"/>
                <w:szCs w:val="22"/>
                <w:color w:val="auto"/>
              </w:rPr>
              <w:t>Class A</w:t>
            </w:r>
          </w:p>
        </w:tc>
        <w:tc>
          <w:tcPr>
            <w:tcW w:w="2960" w:type="dxa"/>
            <w:vAlign w:val="bottom"/>
            <w:vMerge w:val="restart"/>
          </w:tcPr>
          <w:p>
            <w:pPr>
              <w:ind w:left="340"/>
              <w:spacing w:after="0"/>
              <w:rPr>
                <w:sz w:val="20"/>
                <w:szCs w:val="20"/>
                <w:color w:val="auto"/>
              </w:rPr>
            </w:pPr>
            <w:r>
              <w:rPr>
                <w:rFonts w:ascii="Arial" w:cs="Arial" w:eastAsia="Arial" w:hAnsi="Arial"/>
                <w:sz w:val="22"/>
                <w:szCs w:val="22"/>
                <w:color w:val="auto"/>
                <w:w w:val="91"/>
              </w:rPr>
              <w:t>04/29/2009 Founding Shares</w:t>
            </w:r>
          </w:p>
        </w:tc>
        <w:tc>
          <w:tcPr>
            <w:tcW w:w="1520" w:type="dxa"/>
            <w:vAlign w:val="bottom"/>
            <w:vMerge w:val="restart"/>
          </w:tcPr>
          <w:p>
            <w:pPr>
              <w:ind w:left="120"/>
              <w:spacing w:after="0"/>
              <w:rPr>
                <w:sz w:val="20"/>
                <w:szCs w:val="20"/>
                <w:color w:val="auto"/>
              </w:rPr>
            </w:pPr>
            <w:r>
              <w:rPr>
                <w:rFonts w:ascii="Arial" w:cs="Arial" w:eastAsia="Arial" w:hAnsi="Arial"/>
                <w:sz w:val="22"/>
                <w:szCs w:val="22"/>
                <w:color w:val="auto"/>
                <w:w w:val="96"/>
              </w:rPr>
              <w:t>Expensify, Inc.</w:t>
            </w:r>
          </w:p>
        </w:tc>
        <w:tc>
          <w:tcPr>
            <w:tcW w:w="2720" w:type="dxa"/>
            <w:vAlign w:val="bottom"/>
            <w:vMerge w:val="restart"/>
          </w:tcPr>
          <w:p>
            <w:pPr>
              <w:jc w:val="right"/>
              <w:ind w:right="412"/>
              <w:spacing w:after="0"/>
              <w:rPr>
                <w:sz w:val="20"/>
                <w:szCs w:val="20"/>
                <w:color w:val="auto"/>
              </w:rPr>
            </w:pPr>
            <w:r>
              <w:rPr>
                <w:rFonts w:ascii="Arial" w:cs="Arial" w:eastAsia="Arial" w:hAnsi="Arial"/>
                <w:sz w:val="22"/>
                <w:szCs w:val="22"/>
                <w:color w:val="auto"/>
              </w:rPr>
              <w:t>260000</w:t>
            </w:r>
          </w:p>
        </w:tc>
        <w:tc>
          <w:tcPr>
            <w:tcW w:w="2620" w:type="dxa"/>
            <w:vAlign w:val="bottom"/>
            <w:vMerge w:val="restart"/>
          </w:tcPr>
          <w:p>
            <w:pPr>
              <w:ind w:left="140"/>
              <w:spacing w:after="0"/>
              <w:rPr>
                <w:sz w:val="20"/>
                <w:szCs w:val="20"/>
                <w:color w:val="auto"/>
              </w:rPr>
            </w:pPr>
            <w:r>
              <w:rPr>
                <w:rFonts w:ascii="Arial" w:cs="Arial" w:eastAsia="Arial" w:hAnsi="Arial"/>
                <w:sz w:val="22"/>
                <w:szCs w:val="22"/>
                <w:color w:val="auto"/>
                <w:w w:val="86"/>
              </w:rPr>
              <w:t>04/29/2009 Founding Shares</w:t>
            </w:r>
          </w:p>
        </w:tc>
        <w:tc>
          <w:tcPr>
            <w:tcW w:w="0" w:type="dxa"/>
            <w:vAlign w:val="bottom"/>
          </w:tcPr>
          <w:p>
            <w:pPr>
              <w:spacing w:after="0"/>
              <w:rPr>
                <w:sz w:val="1"/>
                <w:szCs w:val="1"/>
                <w:color w:val="auto"/>
              </w:rPr>
            </w:pPr>
          </w:p>
        </w:tc>
      </w:tr>
      <w:tr>
        <w:trPr>
          <w:trHeight w:val="153"/>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96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29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Barrett Trust LLC</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5331 NE 31st Ave</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05/10/2023 30000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176569.61</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Portland  OR  97211</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Barrett Trust LLC</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5331 NE 31st Ave</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04/12/2023 30000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242104.08</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Portland  OR  97211</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Barrett Trust LLC</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5331 NE 31st Ave</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03/09/2023 30000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245302.06</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Portland  OR  97211</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tcPr>
          <w:p>
            <w:pPr>
              <w:spacing w:after="0"/>
              <w:rPr>
                <w:sz w:val="21"/>
                <w:szCs w:val="21"/>
                <w:color w:val="auto"/>
              </w:rPr>
            </w:pPr>
          </w:p>
        </w:tc>
        <w:tc>
          <w:tcPr>
            <w:tcW w:w="9860" w:type="dxa"/>
            <w:vAlign w:val="bottom"/>
          </w:tcPr>
          <w:p>
            <w:pPr>
              <w:ind w:left="100"/>
              <w:spacing w:after="0"/>
              <w:rPr>
                <w:sz w:val="20"/>
                <w:szCs w:val="20"/>
                <w:color w:val="auto"/>
              </w:rPr>
            </w:pPr>
            <w:r>
              <w:rPr>
                <w:rFonts w:ascii="Arial" w:cs="Arial" w:eastAsia="Arial" w:hAnsi="Arial"/>
                <w:sz w:val="22"/>
                <w:szCs w:val="22"/>
                <w:color w:val="auto"/>
                <w:w w:val="90"/>
              </w:rPr>
              <w:t>Note for 2(a): The person for whose account the securities are to be sold is a manager-managed limited liability</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9860" w:type="dxa"/>
            <w:vAlign w:val="bottom"/>
          </w:tcPr>
          <w:p>
            <w:pPr>
              <w:ind w:left="100"/>
              <w:spacing w:after="0" w:line="243" w:lineRule="exact"/>
              <w:rPr>
                <w:sz w:val="20"/>
                <w:szCs w:val="20"/>
                <w:color w:val="auto"/>
              </w:rPr>
            </w:pPr>
            <w:r>
              <w:rPr>
                <w:rFonts w:ascii="Arial" w:cs="Arial" w:eastAsia="Arial" w:hAnsi="Arial"/>
                <w:sz w:val="22"/>
                <w:szCs w:val="22"/>
                <w:color w:val="auto"/>
                <w:w w:val="89"/>
              </w:rPr>
              <w:t>company, Barrett Trust LLC. The investment and voting decisions of Barrett Trust LLC are made by its manager,</w:t>
            </w:r>
          </w:p>
        </w:tc>
        <w:tc>
          <w:tcPr>
            <w:tcW w:w="0" w:type="dxa"/>
            <w:vAlign w:val="bottom"/>
          </w:tcPr>
          <w:p>
            <w:pPr>
              <w:spacing w:after="0"/>
              <w:rPr>
                <w:sz w:val="1"/>
                <w:szCs w:val="1"/>
                <w:color w:val="auto"/>
              </w:rPr>
            </w:pPr>
          </w:p>
        </w:tc>
      </w:tr>
      <w:tr>
        <w:trPr>
          <w:trHeight w:val="243"/>
        </w:trPr>
        <w:tc>
          <w:tcPr>
            <w:tcW w:w="880" w:type="dxa"/>
            <w:vAlign w:val="bottom"/>
            <w:vMerge w:val="restart"/>
          </w:tcPr>
          <w:p>
            <w:pPr>
              <w:spacing w:after="0"/>
              <w:rPr>
                <w:sz w:val="20"/>
                <w:szCs w:val="20"/>
                <w:color w:val="auto"/>
              </w:rPr>
            </w:pPr>
            <w:r>
              <w:rPr>
                <w:rFonts w:ascii="Arial" w:cs="Arial" w:eastAsia="Arial" w:hAnsi="Arial"/>
                <w:sz w:val="22"/>
                <w:szCs w:val="22"/>
                <w:color w:val="auto"/>
                <w:w w:val="97"/>
              </w:rPr>
              <w:t>Remarks</w:t>
            </w:r>
          </w:p>
        </w:tc>
        <w:tc>
          <w:tcPr>
            <w:tcW w:w="9860" w:type="dxa"/>
            <w:vAlign w:val="bottom"/>
          </w:tcPr>
          <w:p>
            <w:pPr>
              <w:ind w:left="100"/>
              <w:spacing w:after="0" w:line="243" w:lineRule="exact"/>
              <w:rPr>
                <w:sz w:val="20"/>
                <w:szCs w:val="20"/>
                <w:color w:val="auto"/>
              </w:rPr>
            </w:pPr>
            <w:r>
              <w:rPr>
                <w:rFonts w:ascii="Arial" w:cs="Arial" w:eastAsia="Arial" w:hAnsi="Arial"/>
                <w:sz w:val="22"/>
                <w:szCs w:val="22"/>
                <w:color w:val="auto"/>
                <w:w w:val="90"/>
              </w:rPr>
              <w:t>David Barrett, and its controlling member is the Barrett Family Trust, for which David Barrett serves as trustee.</w:t>
            </w:r>
          </w:p>
        </w:tc>
        <w:tc>
          <w:tcPr>
            <w:tcW w:w="0" w:type="dxa"/>
            <w:vAlign w:val="bottom"/>
          </w:tcPr>
          <w:p>
            <w:pPr>
              <w:spacing w:after="0"/>
              <w:rPr>
                <w:sz w:val="1"/>
                <w:szCs w:val="1"/>
                <w:color w:val="auto"/>
              </w:rPr>
            </w:pPr>
          </w:p>
        </w:tc>
      </w:tr>
      <w:tr>
        <w:trPr>
          <w:trHeight w:val="261"/>
        </w:trPr>
        <w:tc>
          <w:tcPr>
            <w:tcW w:w="880" w:type="dxa"/>
            <w:vAlign w:val="bottom"/>
            <w:vMerge w:val="continue"/>
          </w:tcPr>
          <w:p>
            <w:pPr>
              <w:spacing w:after="0"/>
              <w:rPr>
                <w:sz w:val="22"/>
                <w:szCs w:val="22"/>
                <w:color w:val="auto"/>
              </w:rPr>
            </w:pPr>
          </w:p>
        </w:tc>
        <w:tc>
          <w:tcPr>
            <w:tcW w:w="9860" w:type="dxa"/>
            <w:vAlign w:val="bottom"/>
          </w:tcPr>
          <w:p>
            <w:pPr>
              <w:ind w:left="100"/>
              <w:spacing w:after="0"/>
              <w:rPr>
                <w:sz w:val="20"/>
                <w:szCs w:val="20"/>
                <w:color w:val="auto"/>
              </w:rPr>
            </w:pPr>
            <w:r>
              <w:rPr>
                <w:rFonts w:ascii="Arial" w:cs="Arial" w:eastAsia="Arial" w:hAnsi="Arial"/>
                <w:sz w:val="22"/>
                <w:szCs w:val="22"/>
                <w:color w:val="auto"/>
                <w:w w:val="91"/>
              </w:rPr>
              <w:t>David Barrett is Chief Executive Officer and a director of the issuer. Note for 3(d): based on closing price as of</w:t>
            </w:r>
          </w:p>
        </w:tc>
        <w:tc>
          <w:tcPr>
            <w:tcW w:w="0" w:type="dxa"/>
            <w:vAlign w:val="bottom"/>
          </w:tcPr>
          <w:p>
            <w:pPr>
              <w:spacing w:after="0"/>
              <w:rPr>
                <w:sz w:val="1"/>
                <w:szCs w:val="1"/>
                <w:color w:val="auto"/>
              </w:rPr>
            </w:pPr>
          </w:p>
        </w:tc>
      </w:tr>
    </w:tbl>
    <w:p>
      <w:pPr>
        <w:ind w:left="1020" w:right="300"/>
        <w:spacing w:after="0" w:line="236" w:lineRule="auto"/>
        <w:rPr>
          <w:sz w:val="20"/>
          <w:szCs w:val="20"/>
          <w:color w:val="auto"/>
        </w:rPr>
      </w:pPr>
      <w:r>
        <w:rPr>
          <w:rFonts w:ascii="Arial" w:cs="Arial" w:eastAsia="Arial" w:hAnsi="Arial"/>
          <w:sz w:val="22"/>
          <w:szCs w:val="22"/>
          <w:color w:val="auto"/>
        </w:rPr>
        <w:t>5/30/2023. Note for 3(e): As of March 5, 2023, as stated in Issuer's quarterly report on Form 10-Q for the quarterly period ending March 31, 2023.</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2"/>
                <w:szCs w:val="22"/>
                <w:color w:val="auto"/>
              </w:rPr>
              <w:t>Date of</w:t>
            </w:r>
          </w:p>
        </w:tc>
        <w:tc>
          <w:tcPr>
            <w:tcW w:w="1140" w:type="dxa"/>
            <w:vAlign w:val="bottom"/>
            <w:vMerge w:val="restart"/>
          </w:tcPr>
          <w:p>
            <w:pPr>
              <w:jc w:val="right"/>
              <w:spacing w:after="0"/>
              <w:rPr>
                <w:sz w:val="20"/>
                <w:szCs w:val="20"/>
                <w:color w:val="auto"/>
              </w:rPr>
            </w:pPr>
            <w:r>
              <w:rPr>
                <w:rFonts w:ascii="Arial" w:cs="Arial" w:eastAsia="Arial" w:hAnsi="Arial"/>
                <w:sz w:val="22"/>
                <w:szCs w:val="22"/>
                <w:color w:val="auto"/>
              </w:rPr>
              <w:t>05/31/2023</w:t>
            </w:r>
          </w:p>
        </w:tc>
        <w:tc>
          <w:tcPr>
            <w:tcW w:w="0" w:type="dxa"/>
            <w:vAlign w:val="bottom"/>
          </w:tcPr>
          <w:p>
            <w:pPr>
              <w:spacing w:after="0"/>
              <w:rPr>
                <w:sz w:val="1"/>
                <w:szCs w:val="1"/>
                <w:color w:val="auto"/>
              </w:rPr>
            </w:pPr>
          </w:p>
        </w:tc>
      </w:tr>
      <w:tr>
        <w:trPr>
          <w:trHeight w:val="153"/>
        </w:trPr>
        <w:tc>
          <w:tcPr>
            <w:tcW w:w="820" w:type="dxa"/>
            <w:vAlign w:val="bottom"/>
            <w:vMerge w:val="restart"/>
          </w:tcPr>
          <w:p>
            <w:pPr>
              <w:spacing w:after="0"/>
              <w:rPr>
                <w:sz w:val="20"/>
                <w:szCs w:val="20"/>
                <w:color w:val="auto"/>
              </w:rPr>
            </w:pPr>
            <w:r>
              <w:rPr>
                <w:rFonts w:ascii="Arial" w:cs="Arial" w:eastAsia="Arial" w:hAnsi="Arial"/>
                <w:sz w:val="22"/>
                <w:szCs w:val="22"/>
                <w:color w:val="auto"/>
              </w:rPr>
              <w:t>Notice</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96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Signature /s/ Cole Eason as attorney-in-fact</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144</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With respect to holdings of and transactions in securities issued by Expensify,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199" w:lineRule="exact"/>
        <w:rPr>
          <w:sz w:val="20"/>
          <w:szCs w:val="20"/>
          <w:color w:val="auto"/>
        </w:rPr>
      </w:pPr>
    </w:p>
    <w:p>
      <w:pPr>
        <w:ind w:left="660" w:hanging="328"/>
        <w:spacing w:after="0" w:line="324"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execute for and on behalf of the undersigned an electronic Notice of Proposed Sale of Securities Pursuant to Rule 144 (</w:t>
      </w:r>
      <w:r>
        <w:rPr>
          <w:rFonts w:ascii="Arial" w:cs="Arial" w:eastAsia="Arial" w:hAnsi="Arial"/>
          <w:sz w:val="16"/>
          <w:szCs w:val="16"/>
          <w:b w:val="1"/>
          <w:bCs w:val="1"/>
          <w:i w:val="1"/>
          <w:iCs w:val="1"/>
          <w:color w:val="auto"/>
        </w:rPr>
        <w:t>“Form 144”</w:t>
      </w:r>
      <w:r>
        <w:rPr>
          <w:rFonts w:ascii="Arial" w:cs="Arial" w:eastAsia="Arial" w:hAnsi="Arial"/>
          <w:sz w:val="16"/>
          <w:szCs w:val="16"/>
          <w:color w:val="auto"/>
        </w:rPr>
        <w:t>) relating to such sales, in accordance with the requirements of Rule 144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w:t>
      </w:r>
    </w:p>
    <w:p>
      <w:pPr>
        <w:spacing w:after="0" w:line="151" w:lineRule="exact"/>
        <w:rPr>
          <w:rFonts w:ascii="Arial" w:cs="Arial" w:eastAsia="Arial" w:hAnsi="Arial"/>
          <w:sz w:val="16"/>
          <w:szCs w:val="16"/>
          <w:color w:val="auto"/>
        </w:rPr>
      </w:pPr>
    </w:p>
    <w:p>
      <w:pPr>
        <w:jc w:val="both"/>
        <w:ind w:left="660" w:hanging="328"/>
        <w:spacing w:after="0" w:line="24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5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31st day of May, 2023.</w:t>
      </w:r>
    </w:p>
    <w:p>
      <w:pPr>
        <w:spacing w:after="0" w:line="200" w:lineRule="exact"/>
        <w:rPr>
          <w:sz w:val="20"/>
          <w:szCs w:val="20"/>
          <w:color w:val="auto"/>
        </w:rPr>
      </w:pPr>
    </w:p>
    <w:p>
      <w:pPr>
        <w:spacing w:after="0" w:line="332"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Barrett Trust LLC</w:t>
      </w:r>
    </w:p>
    <w:p>
      <w:pPr>
        <w:spacing w:after="0" w:line="29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8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815"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David Barrett</w:t>
      </w:r>
    </w:p>
    <w:p>
      <w:pPr>
        <w:spacing w:after="0" w:line="3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General Manager</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2023-05-31T16:31:32Z</dcterms:created>
  <dcterms:modified xsi:type="dcterms:W3CDTF">2023-05-31T16:31:32Z</dcterms:modified>
</cp:coreProperties>
</file>