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March 30,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Expensify, Inc.</w:t>
      </w:r>
    </w:p>
    <w:p>
      <w:pPr>
        <w:spacing w:after="0" w:line="49" w:lineRule="exact"/>
        <w:rPr>
          <w:sz w:val="24"/>
          <w:szCs w:val="24"/>
          <w:color w:val="auto"/>
        </w:rPr>
      </w:pPr>
    </w:p>
    <w:tbl>
      <w:tblPr>
        <w:tblLayout w:type="fixed"/>
        <w:tblInd w:w="106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5020" w:type="dxa"/>
            <w:vAlign w:val="bottom"/>
          </w:tcPr>
          <w:p>
            <w:pPr>
              <w:jc w:val="center"/>
              <w:ind w:right="62"/>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1700" w:type="dxa"/>
            <w:vAlign w:val="bottom"/>
          </w:tcPr>
          <w:p>
            <w:pPr>
              <w:spacing w:after="0"/>
              <w:rPr>
                <w:sz w:val="19"/>
                <w:szCs w:val="19"/>
                <w:color w:val="auto"/>
              </w:rPr>
            </w:pPr>
          </w:p>
        </w:tc>
      </w:tr>
      <w:tr>
        <w:trPr>
          <w:trHeight w:val="238"/>
        </w:trPr>
        <w:tc>
          <w:tcPr>
            <w:tcW w:w="2120" w:type="dxa"/>
            <w:vAlign w:val="bottom"/>
          </w:tcPr>
          <w:p>
            <w:pPr>
              <w:jc w:val="center"/>
              <w:ind w:right="406"/>
              <w:spacing w:after="0"/>
              <w:rPr>
                <w:sz w:val="20"/>
                <w:szCs w:val="20"/>
                <w:color w:val="auto"/>
              </w:rPr>
            </w:pPr>
            <w:r>
              <w:rPr>
                <w:rFonts w:ascii="Arial" w:cs="Arial" w:eastAsia="Arial" w:hAnsi="Arial"/>
                <w:sz w:val="17"/>
                <w:szCs w:val="17"/>
                <w:b w:val="1"/>
                <w:bCs w:val="1"/>
                <w:color w:val="auto"/>
                <w:w w:val="91"/>
              </w:rPr>
              <w:t>Delaware</w:t>
            </w:r>
          </w:p>
        </w:tc>
        <w:tc>
          <w:tcPr>
            <w:tcW w:w="5020" w:type="dxa"/>
            <w:vAlign w:val="bottom"/>
          </w:tcPr>
          <w:p>
            <w:pPr>
              <w:jc w:val="center"/>
              <w:ind w:right="82"/>
              <w:spacing w:after="0"/>
              <w:rPr>
                <w:sz w:val="20"/>
                <w:szCs w:val="20"/>
                <w:color w:val="auto"/>
              </w:rPr>
            </w:pPr>
            <w:r>
              <w:rPr>
                <w:rFonts w:ascii="Arial" w:cs="Arial" w:eastAsia="Arial" w:hAnsi="Arial"/>
                <w:sz w:val="17"/>
                <w:szCs w:val="17"/>
                <w:b w:val="1"/>
                <w:bCs w:val="1"/>
                <w:color w:val="auto"/>
                <w:w w:val="90"/>
              </w:rPr>
              <w:t>001-41043</w:t>
            </w:r>
          </w:p>
        </w:tc>
        <w:tc>
          <w:tcPr>
            <w:tcW w:w="1700" w:type="dxa"/>
            <w:vAlign w:val="bottom"/>
          </w:tcPr>
          <w:p>
            <w:pPr>
              <w:jc w:val="center"/>
              <w:ind w:left="546"/>
              <w:spacing w:after="0"/>
              <w:rPr>
                <w:sz w:val="20"/>
                <w:szCs w:val="20"/>
                <w:color w:val="auto"/>
              </w:rPr>
            </w:pPr>
            <w:r>
              <w:rPr>
                <w:rFonts w:ascii="Arial" w:cs="Arial" w:eastAsia="Arial" w:hAnsi="Arial"/>
                <w:sz w:val="17"/>
                <w:szCs w:val="17"/>
                <w:b w:val="1"/>
                <w:bCs w:val="1"/>
                <w:color w:val="auto"/>
                <w:w w:val="92"/>
              </w:rPr>
              <w:t>27-0239450</w:t>
            </w:r>
          </w:p>
        </w:tc>
      </w:tr>
      <w:tr>
        <w:trPr>
          <w:trHeight w:val="173"/>
        </w:trPr>
        <w:tc>
          <w:tcPr>
            <w:tcW w:w="2120" w:type="dxa"/>
            <w:vAlign w:val="bottom"/>
          </w:tcPr>
          <w:p>
            <w:pPr>
              <w:jc w:val="center"/>
              <w:ind w:right="406"/>
              <w:spacing w:after="0"/>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tcPr>
          <w:p>
            <w:pPr>
              <w:jc w:val="center"/>
              <w:ind w:right="82"/>
              <w:spacing w:after="0"/>
              <w:rPr>
                <w:sz w:val="20"/>
                <w:szCs w:val="20"/>
                <w:color w:val="auto"/>
              </w:rPr>
            </w:pPr>
            <w:r>
              <w:rPr>
                <w:rFonts w:ascii="Arial" w:cs="Arial" w:eastAsia="Arial" w:hAnsi="Arial"/>
                <w:sz w:val="14"/>
                <w:szCs w:val="14"/>
                <w:b w:val="1"/>
                <w:bCs w:val="1"/>
                <w:color w:val="auto"/>
                <w:w w:val="87"/>
              </w:rPr>
              <w:t>(Commission</w:t>
            </w:r>
          </w:p>
        </w:tc>
        <w:tc>
          <w:tcPr>
            <w:tcW w:w="1700" w:type="dxa"/>
            <w:vAlign w:val="bottom"/>
          </w:tcPr>
          <w:p>
            <w:pPr>
              <w:jc w:val="center"/>
              <w:ind w:left="546"/>
              <w:spacing w:after="0"/>
              <w:rPr>
                <w:sz w:val="20"/>
                <w:szCs w:val="20"/>
                <w:color w:val="auto"/>
              </w:rPr>
            </w:pPr>
            <w:r>
              <w:rPr>
                <w:rFonts w:ascii="Arial" w:cs="Arial" w:eastAsia="Arial" w:hAnsi="Arial"/>
                <w:sz w:val="14"/>
                <w:szCs w:val="14"/>
                <w:b w:val="1"/>
                <w:bCs w:val="1"/>
                <w:color w:val="auto"/>
                <w:w w:val="91"/>
              </w:rPr>
              <w:t>(IRS Employer</w:t>
            </w:r>
          </w:p>
        </w:tc>
      </w:tr>
      <w:tr>
        <w:trPr>
          <w:trHeight w:val="178"/>
        </w:trPr>
        <w:tc>
          <w:tcPr>
            <w:tcW w:w="2120" w:type="dxa"/>
            <w:vAlign w:val="bottom"/>
          </w:tcPr>
          <w:p>
            <w:pPr>
              <w:jc w:val="center"/>
              <w:ind w:right="426"/>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File Number)</w:t>
            </w:r>
          </w:p>
        </w:tc>
        <w:tc>
          <w:tcPr>
            <w:tcW w:w="1700" w:type="dxa"/>
            <w:vAlign w:val="bottom"/>
          </w:tcPr>
          <w:p>
            <w:pPr>
              <w:jc w:val="center"/>
              <w:ind w:left="546"/>
              <w:spacing w:after="0"/>
              <w:rPr>
                <w:sz w:val="20"/>
                <w:szCs w:val="20"/>
                <w:color w:val="auto"/>
              </w:rPr>
            </w:pPr>
            <w:r>
              <w:rPr>
                <w:rFonts w:ascii="Arial" w:cs="Arial" w:eastAsia="Arial" w:hAnsi="Arial"/>
                <w:sz w:val="14"/>
                <w:szCs w:val="14"/>
                <w:b w:val="1"/>
                <w:bCs w:val="1"/>
                <w:color w:val="auto"/>
                <w:w w:val="91"/>
              </w:rPr>
              <w:t>Identification No.)</w:t>
            </w:r>
          </w:p>
        </w:tc>
      </w:tr>
      <w:tr>
        <w:trPr>
          <w:trHeight w:val="419"/>
        </w:trPr>
        <w:tc>
          <w:tcPr>
            <w:tcW w:w="2120" w:type="dxa"/>
            <w:vAlign w:val="bottom"/>
          </w:tcPr>
          <w:p>
            <w:pPr>
              <w:spacing w:after="0"/>
              <w:rPr>
                <w:sz w:val="24"/>
                <w:szCs w:val="24"/>
                <w:color w:val="auto"/>
              </w:rPr>
            </w:pPr>
          </w:p>
        </w:tc>
        <w:tc>
          <w:tcPr>
            <w:tcW w:w="5020" w:type="dxa"/>
            <w:vAlign w:val="bottom"/>
          </w:tcPr>
          <w:p>
            <w:pPr>
              <w:jc w:val="center"/>
              <w:ind w:right="62"/>
              <w:spacing w:after="0"/>
              <w:rPr>
                <w:sz w:val="20"/>
                <w:szCs w:val="20"/>
                <w:color w:val="auto"/>
              </w:rPr>
            </w:pPr>
            <w:r>
              <w:rPr>
                <w:rFonts w:ascii="Arial" w:cs="Arial" w:eastAsia="Arial" w:hAnsi="Arial"/>
                <w:sz w:val="17"/>
                <w:szCs w:val="17"/>
                <w:b w:val="1"/>
                <w:bCs w:val="1"/>
                <w:color w:val="auto"/>
                <w:w w:val="89"/>
              </w:rPr>
              <w:t>401 SW 5</w:t>
            </w:r>
            <w:r>
              <w:rPr>
                <w:rFonts w:ascii="Arial" w:cs="Arial" w:eastAsia="Arial" w:hAnsi="Arial"/>
                <w:sz w:val="22"/>
                <w:szCs w:val="22"/>
                <w:b w:val="1"/>
                <w:bCs w:val="1"/>
                <w:color w:val="auto"/>
                <w:w w:val="89"/>
                <w:vertAlign w:val="superscript"/>
              </w:rPr>
              <w:t>th</w:t>
            </w:r>
            <w:r>
              <w:rPr>
                <w:rFonts w:ascii="Arial" w:cs="Arial" w:eastAsia="Arial" w:hAnsi="Arial"/>
                <w:sz w:val="17"/>
                <w:szCs w:val="17"/>
                <w:b w:val="1"/>
                <w:bCs w:val="1"/>
                <w:color w:val="auto"/>
                <w:w w:val="89"/>
              </w:rPr>
              <w:t xml:space="preserve"> Ave</w:t>
            </w:r>
          </w:p>
        </w:tc>
        <w:tc>
          <w:tcPr>
            <w:tcW w:w="1700" w:type="dxa"/>
            <w:vAlign w:val="bottom"/>
          </w:tcPr>
          <w:p>
            <w:pPr>
              <w:spacing w:after="0"/>
              <w:rPr>
                <w:sz w:val="24"/>
                <w:szCs w:val="24"/>
                <w:color w:val="auto"/>
              </w:rPr>
            </w:pPr>
          </w:p>
        </w:tc>
      </w:tr>
      <w:tr>
        <w:trPr>
          <w:trHeight w:val="202"/>
        </w:trPr>
        <w:tc>
          <w:tcPr>
            <w:tcW w:w="2120" w:type="dxa"/>
            <w:vAlign w:val="bottom"/>
          </w:tcPr>
          <w:p>
            <w:pPr>
              <w:spacing w:after="0"/>
              <w:rPr>
                <w:sz w:val="17"/>
                <w:szCs w:val="17"/>
                <w:color w:val="auto"/>
              </w:rPr>
            </w:pPr>
          </w:p>
        </w:tc>
        <w:tc>
          <w:tcPr>
            <w:tcW w:w="5020" w:type="dxa"/>
            <w:vAlign w:val="bottom"/>
          </w:tcPr>
          <w:p>
            <w:pPr>
              <w:jc w:val="center"/>
              <w:ind w:right="62"/>
              <w:spacing w:after="0"/>
              <w:rPr>
                <w:sz w:val="20"/>
                <w:szCs w:val="20"/>
                <w:color w:val="auto"/>
              </w:rPr>
            </w:pPr>
            <w:r>
              <w:rPr>
                <w:rFonts w:ascii="Arial" w:cs="Arial" w:eastAsia="Arial" w:hAnsi="Arial"/>
                <w:sz w:val="17"/>
                <w:szCs w:val="17"/>
                <w:b w:val="1"/>
                <w:bCs w:val="1"/>
                <w:color w:val="auto"/>
                <w:w w:val="92"/>
              </w:rPr>
              <w:t>Portland, Oregon 97204</w:t>
            </w:r>
          </w:p>
        </w:tc>
        <w:tc>
          <w:tcPr>
            <w:tcW w:w="1700" w:type="dxa"/>
            <w:vAlign w:val="bottom"/>
          </w:tcPr>
          <w:p>
            <w:pPr>
              <w:spacing w:after="0"/>
              <w:rPr>
                <w:sz w:val="17"/>
                <w:szCs w:val="17"/>
                <w:color w:val="auto"/>
              </w:rPr>
            </w:pPr>
          </w:p>
        </w:tc>
      </w:tr>
      <w:tr>
        <w:trPr>
          <w:trHeight w:val="178"/>
        </w:trPr>
        <w:tc>
          <w:tcPr>
            <w:tcW w:w="2120" w:type="dxa"/>
            <w:vAlign w:val="bottom"/>
          </w:tcPr>
          <w:p>
            <w:pPr>
              <w:spacing w:after="0"/>
              <w:rPr>
                <w:sz w:val="15"/>
                <w:szCs w:val="15"/>
                <w:color w:val="auto"/>
              </w:rPr>
            </w:pPr>
          </w:p>
        </w:tc>
        <w:tc>
          <w:tcPr>
            <w:tcW w:w="502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(Address of Principal Executive Offices) (Zip Code)</w:t>
            </w:r>
          </w:p>
        </w:tc>
        <w:tc>
          <w:tcPr>
            <w:tcW w:w="1700" w:type="dxa"/>
            <w:vAlign w:val="bottom"/>
          </w:tcPr>
          <w:p>
            <w:pPr>
              <w:spacing w:after="0"/>
              <w:rPr>
                <w:sz w:val="15"/>
                <w:szCs w:val="15"/>
                <w:color w:val="auto"/>
              </w:rPr>
            </w:pPr>
          </w:p>
        </w:tc>
      </w:tr>
      <w:tr>
        <w:trPr>
          <w:trHeight w:val="286"/>
        </w:trPr>
        <w:tc>
          <w:tcPr>
            <w:tcW w:w="2120" w:type="dxa"/>
            <w:vAlign w:val="bottom"/>
          </w:tcPr>
          <w:p>
            <w:pPr>
              <w:spacing w:after="0"/>
              <w:rPr>
                <w:sz w:val="24"/>
                <w:szCs w:val="24"/>
                <w:color w:val="auto"/>
              </w:rPr>
            </w:pPr>
          </w:p>
        </w:tc>
        <w:tc>
          <w:tcPr>
            <w:tcW w:w="5020" w:type="dxa"/>
            <w:vAlign w:val="bottom"/>
          </w:tcPr>
          <w:p>
            <w:pPr>
              <w:jc w:val="center"/>
              <w:ind w:right="62"/>
              <w:spacing w:after="0"/>
              <w:rPr>
                <w:sz w:val="20"/>
                <w:szCs w:val="20"/>
                <w:color w:val="auto"/>
              </w:rPr>
            </w:pPr>
            <w:r>
              <w:rPr>
                <w:rFonts w:ascii="Arial" w:cs="Arial" w:eastAsia="Arial" w:hAnsi="Arial"/>
                <w:sz w:val="17"/>
                <w:szCs w:val="17"/>
                <w:b w:val="1"/>
                <w:bCs w:val="1"/>
                <w:color w:val="auto"/>
                <w:w w:val="92"/>
              </w:rPr>
              <w:t>(971) 365-3939</w:t>
            </w:r>
          </w:p>
        </w:tc>
        <w:tc>
          <w:tcPr>
            <w:tcW w:w="1700" w:type="dxa"/>
            <w:vAlign w:val="bottom"/>
          </w:tcPr>
          <w:p>
            <w:pPr>
              <w:spacing w:after="0"/>
              <w:rPr>
                <w:sz w:val="24"/>
                <w:szCs w:val="24"/>
                <w:color w:val="auto"/>
              </w:rPr>
            </w:pPr>
          </w:p>
        </w:tc>
      </w:tr>
      <w:tr>
        <w:trPr>
          <w:trHeight w:val="178"/>
        </w:trPr>
        <w:tc>
          <w:tcPr>
            <w:tcW w:w="2120" w:type="dxa"/>
            <w:vAlign w:val="bottom"/>
          </w:tcPr>
          <w:p>
            <w:pPr>
              <w:spacing w:after="0"/>
              <w:rPr>
                <w:sz w:val="15"/>
                <w:szCs w:val="15"/>
                <w:color w:val="auto"/>
              </w:rPr>
            </w:pPr>
          </w:p>
        </w:tc>
        <w:tc>
          <w:tcPr>
            <w:tcW w:w="502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700" w:type="dxa"/>
            <w:vAlign w:val="bottom"/>
          </w:tcPr>
          <w:p>
            <w:pPr>
              <w:spacing w:after="0"/>
              <w:rPr>
                <w:sz w:val="15"/>
                <w:szCs w:val="15"/>
                <w:color w:val="auto"/>
              </w:rPr>
            </w:pPr>
          </w:p>
        </w:tc>
      </w:tr>
      <w:tr>
        <w:trPr>
          <w:trHeight w:val="286"/>
        </w:trPr>
        <w:tc>
          <w:tcPr>
            <w:tcW w:w="2120" w:type="dxa"/>
            <w:vAlign w:val="bottom"/>
          </w:tcPr>
          <w:p>
            <w:pPr>
              <w:spacing w:after="0"/>
              <w:rPr>
                <w:sz w:val="24"/>
                <w:szCs w:val="24"/>
                <w:color w:val="auto"/>
              </w:rPr>
            </w:pPr>
          </w:p>
        </w:tc>
        <w:tc>
          <w:tcPr>
            <w:tcW w:w="5020" w:type="dxa"/>
            <w:vAlign w:val="bottom"/>
          </w:tcPr>
          <w:p>
            <w:pPr>
              <w:jc w:val="center"/>
              <w:ind w:right="42"/>
              <w:spacing w:after="0"/>
              <w:rPr>
                <w:sz w:val="20"/>
                <w:szCs w:val="20"/>
                <w:color w:val="auto"/>
              </w:rPr>
            </w:pPr>
            <w:r>
              <w:rPr>
                <w:rFonts w:ascii="Arial" w:cs="Arial" w:eastAsia="Arial" w:hAnsi="Arial"/>
                <w:sz w:val="17"/>
                <w:szCs w:val="17"/>
                <w:b w:val="1"/>
                <w:bCs w:val="1"/>
                <w:color w:val="auto"/>
                <w:w w:val="91"/>
              </w:rPr>
              <w:t>Not applicable</w:t>
            </w:r>
          </w:p>
        </w:tc>
        <w:tc>
          <w:tcPr>
            <w:tcW w:w="1700" w:type="dxa"/>
            <w:vAlign w:val="bottom"/>
          </w:tcPr>
          <w:p>
            <w:pPr>
              <w:spacing w:after="0"/>
              <w:rPr>
                <w:sz w:val="24"/>
                <w:szCs w:val="24"/>
                <w:color w:val="auto"/>
              </w:rPr>
            </w:pPr>
          </w:p>
        </w:tc>
      </w:tr>
      <w:tr>
        <w:trPr>
          <w:trHeight w:val="178"/>
        </w:trPr>
        <w:tc>
          <w:tcPr>
            <w:tcW w:w="2120" w:type="dxa"/>
            <w:vAlign w:val="bottom"/>
          </w:tcPr>
          <w:p>
            <w:pPr>
              <w:spacing w:after="0"/>
              <w:rPr>
                <w:sz w:val="15"/>
                <w:szCs w:val="15"/>
                <w:color w:val="auto"/>
              </w:rPr>
            </w:pPr>
          </w:p>
        </w:tc>
        <w:tc>
          <w:tcPr>
            <w:tcW w:w="5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r>
    </w:tbl>
    <w:p>
      <w:pPr>
        <w:spacing w:after="0" w:line="89" w:lineRule="exact"/>
        <w:rPr>
          <w:sz w:val="24"/>
          <w:szCs w:val="24"/>
          <w:color w:val="auto"/>
        </w:rPr>
      </w:pPr>
    </w:p>
    <w:p>
      <w:pPr>
        <w:ind w:right="460"/>
        <w:spacing w:after="0" w:line="26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2"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9" w:lineRule="exact"/>
        <w:rPr>
          <w:rFonts w:ascii="MS PGothic" w:cs="MS PGothic" w:eastAsia="MS PGothic" w:hAnsi="MS PGothic"/>
          <w:sz w:val="17"/>
          <w:szCs w:val="17"/>
          <w:color w:val="auto"/>
        </w:rPr>
      </w:pPr>
    </w:p>
    <w:p>
      <w:pPr>
        <w:ind w:left="400" w:hanging="380"/>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9" w:lineRule="exact"/>
        <w:rPr>
          <w:rFonts w:ascii="MS PGothic" w:cs="MS PGothic" w:eastAsia="MS PGothic" w:hAnsi="MS PGothic"/>
          <w:sz w:val="17"/>
          <w:szCs w:val="17"/>
          <w:color w:val="auto"/>
        </w:rPr>
      </w:pPr>
    </w:p>
    <w:p>
      <w:pPr>
        <w:ind w:left="400" w:hanging="380"/>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9" w:lineRule="exact"/>
        <w:rPr>
          <w:rFonts w:ascii="MS PGothic" w:cs="MS PGothic" w:eastAsia="MS PGothic" w:hAnsi="MS PGothic"/>
          <w:sz w:val="17"/>
          <w:szCs w:val="17"/>
          <w:color w:val="auto"/>
        </w:rPr>
      </w:pPr>
    </w:p>
    <w:p>
      <w:pPr>
        <w:ind w:left="400" w:hanging="380"/>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w:t>
            </w:r>
          </w:p>
        </w:tc>
      </w:tr>
      <w:tr>
        <w:trPr>
          <w:trHeight w:val="191"/>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Title of each class</w:t>
            </w: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6"/>
              </w:rPr>
              <w:t>on which registered</w:t>
            </w:r>
          </w:p>
        </w:tc>
      </w:tr>
      <w:tr>
        <w:trPr>
          <w:trHeight w:val="24"/>
        </w:trPr>
        <w:tc>
          <w:tcPr>
            <w:tcW w:w="3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94"/>
        </w:trPr>
        <w:tc>
          <w:tcPr>
            <w:tcW w:w="3980" w:type="dxa"/>
            <w:vAlign w:val="bottom"/>
            <w:gridSpan w:val="2"/>
          </w:tcPr>
          <w:p>
            <w:pPr>
              <w:jc w:val="center"/>
              <w:ind w:right="160"/>
              <w:spacing w:after="0" w:line="194" w:lineRule="exact"/>
              <w:rPr>
                <w:sz w:val="20"/>
                <w:szCs w:val="20"/>
                <w:color w:val="auto"/>
              </w:rPr>
            </w:pPr>
            <w:r>
              <w:rPr>
                <w:rFonts w:ascii="Arial" w:cs="Arial" w:eastAsia="Arial" w:hAnsi="Arial"/>
                <w:sz w:val="17"/>
                <w:szCs w:val="17"/>
                <w:b w:val="1"/>
                <w:bCs w:val="1"/>
                <w:color w:val="auto"/>
                <w:w w:val="91"/>
              </w:rPr>
              <w:t>Class A Common Stock, par value $0.0001 per</w:t>
            </w:r>
          </w:p>
        </w:tc>
        <w:tc>
          <w:tcPr>
            <w:tcW w:w="3680" w:type="dxa"/>
            <w:vAlign w:val="bottom"/>
            <w:gridSpan w:val="2"/>
          </w:tcPr>
          <w:p>
            <w:pPr>
              <w:ind w:left="1520"/>
              <w:spacing w:after="0" w:line="194" w:lineRule="exact"/>
              <w:rPr>
                <w:sz w:val="20"/>
                <w:szCs w:val="20"/>
                <w:color w:val="auto"/>
              </w:rPr>
            </w:pPr>
            <w:r>
              <w:rPr>
                <w:rFonts w:ascii="Arial" w:cs="Arial" w:eastAsia="Arial" w:hAnsi="Arial"/>
                <w:sz w:val="17"/>
                <w:szCs w:val="17"/>
                <w:b w:val="1"/>
                <w:bCs w:val="1"/>
                <w:color w:val="auto"/>
              </w:rPr>
              <w:t>EXFY</w:t>
            </w:r>
          </w:p>
        </w:tc>
        <w:tc>
          <w:tcPr>
            <w:tcW w:w="35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5"/>
              </w:rPr>
              <w:t>The Nasdaq Stock Market LLC</w:t>
            </w:r>
          </w:p>
        </w:tc>
      </w:tr>
      <w:tr>
        <w:trPr>
          <w:trHeight w:val="223"/>
        </w:trPr>
        <w:tc>
          <w:tcPr>
            <w:tcW w:w="39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share</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92" w:lineRule="exact"/>
        <w:rPr>
          <w:sz w:val="24"/>
          <w:szCs w:val="24"/>
          <w:color w:val="auto"/>
        </w:rPr>
      </w:pPr>
    </w:p>
    <w:p>
      <w:pPr>
        <w:ind w:right="200"/>
        <w:spacing w:after="0" w:line="27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892810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146"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On March 30, 2022, Expensify, Inc. (“Expensify” or the “Company”) issued an updated press release containing more details on its financial results for the year and quarter ended December 31, 2021. A copy of this press release is furnished as Exhibit 99.1 to this current report on Form 8-K and is incorporated herein by reference.</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information contained in this Item 7.01, including Exhibit 99.1,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33" w:lineRule="exact"/>
        <w:rPr>
          <w:sz w:val="20"/>
          <w:szCs w:val="20"/>
          <w:color w:val="auto"/>
        </w:rPr>
      </w:pPr>
    </w:p>
    <w:p>
      <w:pPr>
        <w:ind w:left="240" w:hanging="237"/>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181"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107" w:lineRule="exact"/>
        <w:rPr>
          <w:sz w:val="20"/>
          <w:szCs w:val="20"/>
          <w:color w:val="auto"/>
        </w:rPr>
      </w:pPr>
    </w:p>
    <w:p>
      <w:pPr>
        <w:ind w:left="280"/>
        <w:spacing w:after="0"/>
        <w:tabs>
          <w:tab w:leader="none" w:pos="920" w:val="left"/>
        </w:tabs>
        <w:rPr>
          <w:rFonts w:ascii="Arial" w:cs="Arial" w:eastAsia="Arial" w:hAnsi="Arial"/>
          <w:sz w:val="15"/>
          <w:szCs w:val="15"/>
          <w:u w:val="single" w:color="auto"/>
          <w:color w:val="0000FF"/>
        </w:rPr>
      </w:pPr>
      <w:r>
        <w:rPr>
          <w:rFonts w:ascii="Arial" w:cs="Arial" w:eastAsia="Arial" w:hAnsi="Arial"/>
          <w:sz w:val="17"/>
          <w:szCs w:val="17"/>
          <w:color w:val="auto"/>
        </w:rPr>
        <w:t>99.1</w:t>
      </w:r>
      <w:r>
        <w:rPr>
          <w:sz w:val="20"/>
          <w:szCs w:val="20"/>
          <w:color w:val="auto"/>
        </w:rPr>
        <w:tab/>
      </w:r>
      <w:hyperlink w:anchor="page4">
        <w:r>
          <w:rPr>
            <w:rFonts w:ascii="Arial" w:cs="Arial" w:eastAsia="Arial" w:hAnsi="Arial"/>
            <w:sz w:val="15"/>
            <w:szCs w:val="15"/>
            <w:u w:val="single" w:color="auto"/>
            <w:color w:val="0000FF"/>
          </w:rPr>
          <w:t>Press Release issued by Expensify, Inc., dated March 30, 2022.</w:t>
        </w:r>
      </w:hyperlink>
    </w:p>
    <w:p>
      <w:pPr>
        <w:spacing w:after="0" w:line="101"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918845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359" w:right="47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7"/>
          <w:szCs w:val="17"/>
          <w:b w:val="1"/>
          <w:bCs w:val="1"/>
          <w:u w:val="single" w:color="auto"/>
          <w:color w:val="auto"/>
        </w:rPr>
        <w:t>SIGNATURE</w:t>
      </w: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Expensify, Inc.</w:t>
      </w:r>
    </w:p>
    <w:p>
      <w:pPr>
        <w:spacing w:after="0" w:line="256" w:lineRule="exact"/>
        <w:rPr>
          <w:sz w:val="20"/>
          <w:szCs w:val="20"/>
          <w:color w:val="auto"/>
        </w:rPr>
      </w:pPr>
    </w:p>
    <w:p>
      <w:pPr>
        <w:ind w:left="8600"/>
        <w:spacing w:after="0"/>
        <w:tabs>
          <w:tab w:leader="none" w:pos="9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22860</wp:posOffset>
            </wp:positionV>
            <wp:extent cx="1318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9" w:lineRule="exact"/>
        <w:rPr>
          <w:sz w:val="20"/>
          <w:szCs w:val="20"/>
          <w:color w:val="auto"/>
        </w:rPr>
      </w:pPr>
    </w:p>
    <w:p>
      <w:pPr>
        <w:ind w:left="8600"/>
        <w:spacing w:after="0"/>
        <w:tabs>
          <w:tab w:leader="none" w:pos="91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Ryan Schaffer</w:t>
      </w:r>
    </w:p>
    <w:p>
      <w:pPr>
        <w:spacing w:after="0" w:line="62" w:lineRule="exact"/>
        <w:rPr>
          <w:sz w:val="20"/>
          <w:szCs w:val="20"/>
          <w:color w:val="auto"/>
        </w:rPr>
      </w:pPr>
    </w:p>
    <w:p>
      <w:pPr>
        <w:ind w:left="8600"/>
        <w:spacing w:after="0"/>
        <w:tabs>
          <w:tab w:leader="none" w:pos="9160" w:val="left"/>
        </w:tabs>
        <w:rPr>
          <w:sz w:val="20"/>
          <w:szCs w:val="20"/>
          <w:color w:val="auto"/>
        </w:rPr>
      </w:pPr>
      <w:r>
        <w:rPr>
          <w:rFonts w:ascii="Arial" w:cs="Arial" w:eastAsia="Arial" w:hAnsi="Arial"/>
          <w:sz w:val="16"/>
          <w:szCs w:val="16"/>
          <w:color w:val="auto"/>
        </w:rPr>
        <w:t>Title:</w:t>
        <w:tab/>
        <w:t>Chief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Date: March 31, 2022</w:t>
      </w:r>
    </w:p>
    <w:p>
      <w:pPr>
        <w:sectPr>
          <w:pgSz w:w="11900" w:h="16838" w:orient="portrait"/>
          <w:cols w:equalWidth="0" w:num="1">
            <w:col w:w="10780"/>
          </w:cols>
          <w:pgMar w:left="320" w:top="1359"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CORRECTING AND REPLACING Expensify Announces Q4 and Full Year Fiscal 2021 Results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Ended the year with 62% revenue growth and the largest quarterly increase in paid members since the start of the pandemic.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CORRECTION...by Expensify, Inc.</w:t>
      </w:r>
    </w:p>
    <w:p>
      <w:pPr>
        <w:spacing w:after="0" w:line="243" w:lineRule="exact"/>
        <w:rPr>
          <w:sz w:val="20"/>
          <w:szCs w:val="20"/>
          <w:color w:val="auto"/>
        </w:rPr>
      </w:pPr>
    </w:p>
    <w:p>
      <w:pPr>
        <w:ind w:right="340"/>
        <w:spacing w:after="0" w:line="349" w:lineRule="auto"/>
        <w:rPr>
          <w:sz w:val="20"/>
          <w:szCs w:val="20"/>
          <w:color w:val="auto"/>
        </w:rPr>
      </w:pPr>
      <w:r>
        <w:rPr>
          <w:rFonts w:ascii="Arial" w:cs="Arial" w:eastAsia="Arial" w:hAnsi="Arial"/>
          <w:sz w:val="15"/>
          <w:szCs w:val="15"/>
          <w:color w:val="auto"/>
        </w:rPr>
        <w:t>PORTLAND, Ore.--(BUSINESS WIRE)--The release dated March 30, 2022, has been updated to include footnotes breaking out the company’s stock based compensation and the impact of the company’s IPO related bonus by financial statement line item. Additionally, the subhead should read 62% instead of 63%.</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Expensify Announces Q4 and Full Year Fiscal 2021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Ended the year with 62% revenue growth and the largest quarterly increase in paid members since the start of the pandemic.</w:t>
      </w:r>
    </w:p>
    <w:p>
      <w:pPr>
        <w:spacing w:after="0" w:line="245"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Expensify, Inc. (Nasdaq: EXFY), a payments superapp that helps individuals and businesses around the world simplify the way they manage money across expenses, corporate cards and bills, today announced results for its fourth quarter and full year ended December 31, 2021.</w:t>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major highlight of 2021 was releasing our Free Plan in October and growing it to more than 3,100 customers by year end,” says David Barrett, founder and CEO of Expensify. “We opened the floodgates into our product wider than they’ve ever been before, to individuals and businesses of all types, and it’s been a huge success in such a short amount of time. Free expense management, corporate cards, invoicing, bill pay, and travel booking all in one place – it’s the perfect foundation on which to build the reimagined, chat-centric future for our product.”</w:t>
      </w:r>
    </w:p>
    <w:p>
      <w:pPr>
        <w:spacing w:after="0" w:line="20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“We’re proud to have ended 2021 with a bang,” says Ryan Schaffer, Chief Financial Officer of Expensify. “The pandemic has been a sobering stress test on the resiliency of our viral business model, but we’ve shown that our bottom-up approach to member acquisition has the power to weather any storm. The results speak for themselves: product-led growth and word-of-mouth adoption propelled us to a 62% revenue increase in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Q4 2021:</w:t>
      </w:r>
    </w:p>
    <w:p>
      <w:pPr>
        <w:spacing w:after="0" w:line="28"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was $40.4 million, an increase of 56.0% from the same period last year.</w:t>
      </w:r>
    </w:p>
    <w:p>
      <w:pPr>
        <w:spacing w:after="0" w:line="14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IPO-related bonus expense of $14.2 million impacted net (loss) income.</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income was $(21.9) million, compared to $1.7 million for the same period last year. The loss was primarily due to the IPO-related bonus.</w:t>
      </w:r>
    </w:p>
    <w:p>
      <w:pPr>
        <w:spacing w:after="0" w:line="151" w:lineRule="exact"/>
        <w:rPr>
          <w:rFonts w:ascii="Arial" w:cs="Arial" w:eastAsia="Arial" w:hAnsi="Arial"/>
          <w:sz w:val="16"/>
          <w:szCs w:val="16"/>
          <w:color w:val="auto"/>
        </w:rPr>
      </w:pPr>
    </w:p>
    <w:p>
      <w:pPr>
        <w:ind w:left="1240" w:hanging="309"/>
        <w:spacing w:after="0"/>
        <w:tabs>
          <w:tab w:leader="none" w:pos="1240" w:val="left"/>
        </w:tabs>
        <w:numPr>
          <w:ilvl w:val="1"/>
          <w:numId w:val="3"/>
        </w:numPr>
        <w:rPr>
          <w:rFonts w:ascii="Arial" w:cs="Arial" w:eastAsia="Arial" w:hAnsi="Arial"/>
          <w:sz w:val="15"/>
          <w:szCs w:val="15"/>
          <w:color w:val="auto"/>
        </w:rPr>
      </w:pPr>
      <w:r>
        <w:rPr>
          <w:rFonts w:ascii="Arial" w:cs="Arial" w:eastAsia="Arial" w:hAnsi="Arial"/>
          <w:sz w:val="15"/>
          <w:szCs w:val="15"/>
          <w:color w:val="auto"/>
        </w:rPr>
        <w:t>Non-GAAP net income was $4.4 million. Non-GAAP net income excludes stock based compensation which was not excluded in prior periods.</w:t>
      </w:r>
    </w:p>
    <w:p>
      <w:pPr>
        <w:spacing w:after="0" w:line="175" w:lineRule="exact"/>
        <w:rPr>
          <w:rFonts w:ascii="Arial" w:cs="Arial" w:eastAsia="Arial" w:hAnsi="Arial"/>
          <w:sz w:val="15"/>
          <w:szCs w:val="15"/>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was $(6.9) million, compared to $10.2 million for the same period last year.</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excluding the IPO bonus was $7.3 million, compared to $10.2 million for the same period last year.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Fiscal 2021:</w:t>
      </w:r>
    </w:p>
    <w:p>
      <w:pPr>
        <w:spacing w:after="0" w:line="28"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was $142.8 million, an increase of 61.8% from the same period last year.</w:t>
      </w:r>
    </w:p>
    <w:p>
      <w:pPr>
        <w:spacing w:after="0" w:line="14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IPO-related bonus expense of $48.4 million impacted net (loss) income and Adjusted EBITDA.</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loss was $(13.6) million, compared to $(1.7) million for the same period last year. The loss was primarily due to the IPO-related bonus.</w:t>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40" w:hanging="309"/>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Non-GAAP net income was $49.4 million.</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was $9.5 million, compared to $26.8 million for the same period last year.</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excluding the IPO bonus was $58.0 million, compared to $26.8 million for the same period last year.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w:t>
      </w:r>
    </w:p>
    <w:p>
      <w:pPr>
        <w:spacing w:after="0" w:line="140"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Paid members </w:t>
      </w:r>
      <w:r>
        <w:rPr>
          <w:rFonts w:ascii="Arial" w:cs="Arial" w:eastAsia="Arial" w:hAnsi="Arial"/>
          <w:sz w:val="17"/>
          <w:szCs w:val="17"/>
          <w:color w:val="auto"/>
        </w:rPr>
        <w:t>- saw major growth, with 711 thousand in the fourth quarter of 2021.</w:t>
      </w:r>
    </w:p>
    <w:p>
      <w:pPr>
        <w:spacing w:after="0" w:line="152" w:lineRule="exact"/>
        <w:rPr>
          <w:rFonts w:ascii="Arial" w:cs="Arial" w:eastAsia="Arial" w:hAnsi="Arial"/>
          <w:sz w:val="17"/>
          <w:szCs w:val="17"/>
          <w:color w:val="auto"/>
        </w:rPr>
      </w:pPr>
    </w:p>
    <w:p>
      <w:pPr>
        <w:ind w:left="620" w:right="380" w:hanging="307"/>
        <w:spacing w:after="0" w:line="287"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Free plan </w:t>
      </w:r>
      <w:r>
        <w:rPr>
          <w:rFonts w:ascii="Arial" w:cs="Arial" w:eastAsia="Arial" w:hAnsi="Arial"/>
          <w:sz w:val="17"/>
          <w:szCs w:val="17"/>
          <w:color w:val="auto"/>
        </w:rPr>
        <w:t>- launched in October and grew to over 3,100 customers by December 2021. Includes expense management, the Expensify Card, next-day</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invoicing, bill pay, and travel booking.</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Expensify Card </w:t>
      </w:r>
      <w:r>
        <w:rPr>
          <w:rFonts w:ascii="Arial" w:cs="Arial" w:eastAsia="Arial" w:hAnsi="Arial"/>
          <w:sz w:val="17"/>
          <w:szCs w:val="17"/>
          <w:color w:val="auto"/>
        </w:rPr>
        <w:t>- adoption continued at a rapid pace and interchange increased by 185% in 2021.</w:t>
      </w:r>
    </w:p>
    <w:p>
      <w:pPr>
        <w:spacing w:after="0" w:line="139" w:lineRule="exact"/>
        <w:rPr>
          <w:rFonts w:ascii="Arial" w:cs="Arial" w:eastAsia="Arial" w:hAnsi="Arial"/>
          <w:sz w:val="17"/>
          <w:szCs w:val="17"/>
          <w:color w:val="auto"/>
        </w:rPr>
      </w:pPr>
    </w:p>
    <w:p>
      <w:pPr>
        <w:ind w:left="620" w:right="600" w:hanging="307"/>
        <w:spacing w:after="0" w:line="287"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Cash back </w:t>
      </w:r>
      <w:r>
        <w:rPr>
          <w:rFonts w:ascii="Arial" w:cs="Arial" w:eastAsia="Arial" w:hAnsi="Arial"/>
          <w:sz w:val="17"/>
          <w:szCs w:val="17"/>
          <w:color w:val="auto"/>
        </w:rPr>
        <w:t>- introduced unlimited cash back on the Expensify Card, with an introductory rate of 4% followed by an ongoing rate of 2% across all</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purchases and categories.</w:t>
      </w:r>
    </w:p>
    <w:p>
      <w:pPr>
        <w:spacing w:after="0" w:line="86" w:lineRule="exact"/>
        <w:rPr>
          <w:rFonts w:ascii="Arial" w:cs="Arial" w:eastAsia="Arial" w:hAnsi="Arial"/>
          <w:sz w:val="17"/>
          <w:szCs w:val="17"/>
          <w:color w:val="auto"/>
        </w:rPr>
      </w:pPr>
    </w:p>
    <w:p>
      <w:pPr>
        <w:ind w:left="620" w:right="20" w:hanging="307"/>
        <w:spacing w:after="0" w:line="287"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Invoicing and bill pay </w:t>
      </w:r>
      <w:r>
        <w:rPr>
          <w:rFonts w:ascii="Arial" w:cs="Arial" w:eastAsia="Arial" w:hAnsi="Arial"/>
          <w:sz w:val="17"/>
          <w:szCs w:val="17"/>
          <w:color w:val="auto"/>
        </w:rPr>
        <w:t>- completed Expensify’s expansion into accounts payable and receivable, rounding out its offerings as a full-service preaccounting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w:t>
      </w:r>
    </w:p>
    <w:p>
      <w:pPr>
        <w:spacing w:after="0" w:line="86" w:lineRule="exact"/>
        <w:rPr>
          <w:rFonts w:ascii="Arial" w:cs="Arial" w:eastAsia="Arial" w:hAnsi="Arial"/>
          <w:sz w:val="17"/>
          <w:szCs w:val="17"/>
          <w:color w:val="auto"/>
        </w:rPr>
      </w:pPr>
    </w:p>
    <w:p>
      <w:pPr>
        <w:ind w:left="620" w:right="80" w:hanging="307"/>
        <w:spacing w:after="0" w:line="287"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New.expensify.com </w:t>
      </w:r>
      <w:r>
        <w:rPr>
          <w:rFonts w:ascii="Arial" w:cs="Arial" w:eastAsia="Arial" w:hAnsi="Arial"/>
          <w:sz w:val="17"/>
          <w:szCs w:val="17"/>
          <w:color w:val="auto"/>
        </w:rPr>
        <w:t>- launched a sneak peek of Expensify’s future product that mixes chat and payments for easy financial collaboration across work and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 life.</w:t>
      </w:r>
    </w:p>
    <w:p>
      <w:pPr>
        <w:spacing w:after="0" w:line="73" w:lineRule="exact"/>
        <w:rPr>
          <w:rFonts w:ascii="Arial" w:cs="Arial" w:eastAsia="Arial" w:hAnsi="Arial"/>
          <w:sz w:val="17"/>
          <w:szCs w:val="17"/>
          <w:color w:val="auto"/>
        </w:rPr>
      </w:pPr>
    </w:p>
    <w:p>
      <w:pPr>
        <w:ind w:left="620" w:right="220" w:hanging="307"/>
        <w:spacing w:after="0" w:line="287"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Expensify.org </w:t>
      </w:r>
      <w:r>
        <w:rPr>
          <w:rFonts w:ascii="Arial" w:cs="Arial" w:eastAsia="Arial" w:hAnsi="Arial"/>
          <w:sz w:val="17"/>
          <w:szCs w:val="17"/>
          <w:color w:val="auto"/>
        </w:rPr>
        <w:t>- funded more than 50 grassroots organizations fighting injustice in their communities, reimbursed thousands of families on SNAP/EBT</w:t>
      </w:r>
      <w:r>
        <w:rPr>
          <w:rFonts w:ascii="Arial" w:cs="Arial" w:eastAsia="Arial" w:hAnsi="Arial"/>
          <w:sz w:val="17"/>
          <w:szCs w:val="17"/>
          <w:b w:val="1"/>
          <w:bCs w:val="1"/>
          <w:color w:val="auto"/>
        </w:rPr>
        <w:t xml:space="preserve"> </w:t>
      </w:r>
      <w:r>
        <w:rPr>
          <w:rFonts w:ascii="Arial" w:cs="Arial" w:eastAsia="Arial" w:hAnsi="Arial"/>
          <w:sz w:val="17"/>
          <w:szCs w:val="17"/>
          <w:color w:val="auto"/>
        </w:rPr>
        <w:t>for groceries and COVID-19 vaccinations, and donated clothing to people experiencing homelessness.</w:t>
      </w:r>
    </w:p>
    <w:p>
      <w:pPr>
        <w:spacing w:after="0" w:line="86" w:lineRule="exact"/>
        <w:rPr>
          <w:rFonts w:ascii="Arial" w:cs="Arial" w:eastAsia="Arial" w:hAnsi="Arial"/>
          <w:sz w:val="17"/>
          <w:szCs w:val="17"/>
          <w:color w:val="auto"/>
        </w:rPr>
      </w:pPr>
    </w:p>
    <w:p>
      <w:pPr>
        <w:ind w:left="620" w:right="580" w:hanging="307"/>
        <w:spacing w:after="0" w:line="287"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Podcast </w:t>
      </w:r>
      <w:r>
        <w:rPr>
          <w:rFonts w:ascii="Arial" w:cs="Arial" w:eastAsia="Arial" w:hAnsi="Arial"/>
          <w:sz w:val="17"/>
          <w:szCs w:val="17"/>
          <w:color w:val="auto"/>
        </w:rPr>
        <w:t>- aired first season of “Live Rich, Have Fun, Save the World,” which features individual trailblazers pursuing the lofty goals aligned with</w:t>
      </w:r>
      <w:r>
        <w:rPr>
          <w:rFonts w:ascii="Arial" w:cs="Arial" w:eastAsia="Arial" w:hAnsi="Arial"/>
          <w:sz w:val="17"/>
          <w:szCs w:val="17"/>
          <w:b w:val="1"/>
          <w:bCs w:val="1"/>
          <w:color w:val="auto"/>
        </w:rPr>
        <w:t xml:space="preserve"> </w:t>
      </w:r>
      <w:r>
        <w:rPr>
          <w:rFonts w:ascii="Arial" w:cs="Arial" w:eastAsia="Arial" w:hAnsi="Arial"/>
          <w:sz w:val="17"/>
          <w:szCs w:val="17"/>
          <w:color w:val="auto"/>
        </w:rPr>
        <w:t>Expensify’s three-part company mission.</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ESG </w:t>
      </w:r>
      <w:r>
        <w:rPr>
          <w:rFonts w:ascii="Arial" w:cs="Arial" w:eastAsia="Arial" w:hAnsi="Arial"/>
          <w:sz w:val="17"/>
          <w:szCs w:val="17"/>
          <w:color w:val="auto"/>
        </w:rPr>
        <w:t>- reached carbon neutrality via offsets in 2021 and set a goal of Net Zero emissions by 2030.</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Customer support </w:t>
      </w:r>
      <w:r>
        <w:rPr>
          <w:rFonts w:ascii="Arial" w:cs="Arial" w:eastAsia="Arial" w:hAnsi="Arial"/>
          <w:sz w:val="17"/>
          <w:szCs w:val="17"/>
          <w:color w:val="auto"/>
        </w:rPr>
        <w:t>- won “Best Customer Support” from TrustRadius.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Operational efficiency </w:t>
      </w:r>
      <w:r>
        <w:rPr>
          <w:rFonts w:ascii="Arial" w:cs="Arial" w:eastAsia="Arial" w:hAnsi="Arial"/>
          <w:sz w:val="17"/>
          <w:szCs w:val="17"/>
          <w:color w:val="auto"/>
        </w:rPr>
        <w:t>- annualized revenue per employee topped $1.1MM.</w:t>
      </w:r>
    </w:p>
    <w:p>
      <w:pPr>
        <w:spacing w:after="0" w:line="27" w:lineRule="exact"/>
        <w:rPr>
          <w:rFonts w:ascii="Arial" w:cs="Arial" w:eastAsia="Arial" w:hAnsi="Arial"/>
          <w:sz w:val="17"/>
          <w:szCs w:val="17"/>
          <w:color w:val="auto"/>
        </w:rPr>
      </w:pPr>
    </w:p>
    <w:p>
      <w:pPr>
        <w:ind w:left="1240" w:right="40" w:hanging="309"/>
        <w:spacing w:after="0" w:line="266" w:lineRule="auto"/>
        <w:tabs>
          <w:tab w:leader="none" w:pos="1236" w:val="left"/>
        </w:tabs>
        <w:numPr>
          <w:ilvl w:val="1"/>
          <w:numId w:val="6"/>
        </w:numPr>
        <w:rPr>
          <w:rFonts w:ascii="Arial" w:cs="Arial" w:eastAsia="Arial" w:hAnsi="Arial"/>
          <w:sz w:val="17"/>
          <w:szCs w:val="17"/>
          <w:color w:val="auto"/>
        </w:rPr>
      </w:pPr>
      <w:r>
        <w:rPr>
          <w:rFonts w:ascii="Arial" w:cs="Arial" w:eastAsia="Arial" w:hAnsi="Arial"/>
          <w:sz w:val="17"/>
          <w:szCs w:val="17"/>
          <w:color w:val="auto"/>
        </w:rPr>
        <w:t>Calculated as three months ended December 31, 2021 revenue multiplied by four (quarters), divided by 144 full-time employees as of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Outlook</w:t>
      </w:r>
    </w:p>
    <w:p>
      <w:pPr>
        <w:spacing w:after="0" w:line="146" w:lineRule="exact"/>
        <w:rPr>
          <w:sz w:val="20"/>
          <w:szCs w:val="20"/>
          <w:color w:val="auto"/>
        </w:rPr>
      </w:pPr>
    </w:p>
    <w:p>
      <w:pPr>
        <w:ind w:right="700"/>
        <w:spacing w:after="0" w:line="248" w:lineRule="auto"/>
        <w:rPr>
          <w:sz w:val="20"/>
          <w:szCs w:val="20"/>
          <w:color w:val="auto"/>
        </w:rPr>
      </w:pPr>
      <w:r>
        <w:rPr>
          <w:rFonts w:ascii="Arial" w:cs="Arial" w:eastAsia="Arial" w:hAnsi="Arial"/>
          <w:sz w:val="17"/>
          <w:szCs w:val="17"/>
          <w:color w:val="auto"/>
        </w:rPr>
        <w:t>Expensify's outlook statements are based on current expectations. The following statements are forward-looking and actual results could differ materially depending on market conditions and the factors set forth under “Forward-Looking Statements”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For the fiscal first quarter ending March 31, 2022, Expensify expects:</w:t>
      </w:r>
    </w:p>
    <w:p>
      <w:pPr>
        <w:spacing w:after="0" w:line="230"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between $38.6 million and $39.6 million.</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Average monthly paid members between 684 thousand and 702 thousand.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Availability of Information on Expensify’s Website</w:t>
      </w:r>
    </w:p>
    <w:p>
      <w:pPr>
        <w:spacing w:after="0" w:line="15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w:t>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Company encourages investors, the media and others interested in Expensify to review the information that it shares on its Investor Relations website.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15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Expensify will host a video call to discuss the results at 2:00 p.m. Pacific Time today. The video call information is available on Expensify’s Investor Relations website at https://ir.expensify.com. A replay of the call will be available on the site for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Financial Measures</w:t>
      </w:r>
    </w:p>
    <w:p>
      <w:pPr>
        <w:spacing w:after="0" w:line="159" w:lineRule="exact"/>
        <w:rPr>
          <w:sz w:val="20"/>
          <w:szCs w:val="20"/>
          <w:color w:val="auto"/>
        </w:rPr>
      </w:pPr>
    </w:p>
    <w:p>
      <w:pPr>
        <w:ind w:right="200"/>
        <w:spacing w:after="0" w:line="327" w:lineRule="auto"/>
        <w:rPr>
          <w:sz w:val="20"/>
          <w:szCs w:val="20"/>
          <w:color w:val="auto"/>
        </w:rPr>
      </w:pPr>
      <w:r>
        <w:rPr>
          <w:rFonts w:ascii="Arial" w:cs="Arial" w:eastAsia="Arial" w:hAnsi="Arial"/>
          <w:sz w:val="17"/>
          <w:szCs w:val="17"/>
          <w:color w:val="auto"/>
        </w:rPr>
        <w:t>In addition to financial measures prepared in accordance with U.S. generally accepted accounting principles (“GAAP”), we provide certain non-GAAP financial measures, including Adjusted EBITDA, Adjusted EBITDA excluding the IPO-related bonus, and Non-GAAP net income.</w:t>
      </w:r>
    </w:p>
    <w:p>
      <w:pPr>
        <w:spacing w:after="0" w:line="163"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2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define Adjusted EBITDA as net income from operations excluding provision for income taxes, interest and other expenses, net, depreciation and amortization and stock based compensation.</w:t>
      </w:r>
    </w:p>
    <w:p>
      <w:pPr>
        <w:spacing w:after="0" w:line="1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define Adjusted EBITDA excluding the IPO-related bonus as net income from operations excluding provision for income taxes, interest and other expenses, net, depreciation and amortization, stock based compensation, and IPO-related bonus costs.</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define non-GAAP net income as net income from operations in accordance with US GAAP excluding stock-based compensation and IPO-related bonus costs. In prior periods, this metric only excluded IPO-related bonus costs and did not exclude expenses related to stock-based compensation. However, management now believes that further excluding stock-based compensation from non-GAAP net income is useful to better understand the financial performance of our business and to facilitate a better comparison of our results to those of peer companies over multiple periods given that this item may vary between companies for reasons unrelated to overall operating performance.</w:t>
      </w:r>
    </w:p>
    <w:p>
      <w:pPr>
        <w:spacing w:after="0" w:line="20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tables at the end of the Financial Statements provide reconciliations to the most directly comparable GAAP financial measure to each of these non-GAAP financial measures.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Forward-looking statements in this press release,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economic, political and social impact of, and uncertainty relating to, the COVID-19 pandemic; the war in Ukraine and escalating geopolitical tensions as a result of Russia's invasion of Ukraine;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the societal and economic impact of the COVID-19 pandemic, and geopolitical uncertainty and instability;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Expensify</w:t>
      </w:r>
    </w:p>
    <w:p>
      <w:pPr>
        <w:spacing w:after="0" w:line="15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Expensify is a payments superapp that helps individuals and businesses around the world simplify the way they manage money. More than 10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 Contact</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Nick Tooker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investors@expensify.com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Press Contact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James Dean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press@expensify.com</w:t>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7260" w:type="dxa"/>
            <w:vAlign w:val="bottom"/>
            <w:gridSpan w:val="2"/>
            <w:vMerge w:val="restart"/>
          </w:tcPr>
          <w:p>
            <w:pPr>
              <w:jc w:val="center"/>
              <w:ind w:left="2681"/>
              <w:spacing w:after="0"/>
              <w:rPr>
                <w:sz w:val="20"/>
                <w:szCs w:val="20"/>
                <w:color w:val="auto"/>
              </w:rPr>
            </w:pPr>
            <w:r>
              <w:rPr>
                <w:rFonts w:ascii="Arial" w:cs="Arial" w:eastAsia="Arial" w:hAnsi="Arial"/>
                <w:sz w:val="21"/>
                <w:szCs w:val="21"/>
                <w:b w:val="1"/>
                <w:bCs w:val="1"/>
                <w:color w:val="auto"/>
                <w:w w:val="88"/>
              </w:rPr>
              <w:t>Expensify, Inc.</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ind w:left="620"/>
              <w:spacing w:after="0"/>
              <w:rPr>
                <w:sz w:val="20"/>
                <w:szCs w:val="20"/>
                <w:color w:val="auto"/>
              </w:rPr>
            </w:pPr>
            <w:r>
              <w:rPr>
                <w:rFonts w:ascii="Arial" w:cs="Arial" w:eastAsia="Arial" w:hAnsi="Arial"/>
                <w:sz w:val="17"/>
                <w:szCs w:val="17"/>
                <w:b w:val="1"/>
                <w:bCs w:val="1"/>
                <w:color w:val="auto"/>
              </w:rPr>
              <w:t>Exhibit 99.1</w:t>
            </w:r>
          </w:p>
        </w:tc>
        <w:tc>
          <w:tcPr>
            <w:tcW w:w="0" w:type="dxa"/>
            <w:vAlign w:val="bottom"/>
          </w:tcPr>
          <w:p>
            <w:pPr>
              <w:spacing w:after="0"/>
              <w:rPr>
                <w:sz w:val="1"/>
                <w:szCs w:val="1"/>
                <w:color w:val="auto"/>
              </w:rPr>
            </w:pPr>
          </w:p>
        </w:tc>
      </w:tr>
      <w:tr>
        <w:trPr>
          <w:trHeight w:val="245"/>
        </w:trPr>
        <w:tc>
          <w:tcPr>
            <w:tcW w:w="7260" w:type="dxa"/>
            <w:vAlign w:val="bottom"/>
            <w:gridSpan w:val="2"/>
            <w:vMerge w:val="continue"/>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260" w:type="dxa"/>
            <w:vAlign w:val="bottom"/>
            <w:gridSpan w:val="2"/>
          </w:tcPr>
          <w:p>
            <w:pPr>
              <w:jc w:val="center"/>
              <w:ind w:left="2661"/>
              <w:spacing w:after="0"/>
              <w:rPr>
                <w:sz w:val="20"/>
                <w:szCs w:val="20"/>
                <w:color w:val="auto"/>
              </w:rPr>
            </w:pPr>
            <w:r>
              <w:rPr>
                <w:rFonts w:ascii="Arial" w:cs="Arial" w:eastAsia="Arial" w:hAnsi="Arial"/>
                <w:sz w:val="21"/>
                <w:szCs w:val="21"/>
                <w:b w:val="1"/>
                <w:bCs w:val="1"/>
                <w:color w:val="auto"/>
                <w:w w:val="85"/>
              </w:rPr>
              <w:t>Consolidated Balance Sheets</w:t>
            </w: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260" w:type="dxa"/>
            <w:vAlign w:val="bottom"/>
            <w:gridSpan w:val="2"/>
          </w:tcPr>
          <w:p>
            <w:pPr>
              <w:jc w:val="center"/>
              <w:ind w:left="2661"/>
              <w:spacing w:after="0"/>
              <w:rPr>
                <w:sz w:val="20"/>
                <w:szCs w:val="20"/>
                <w:color w:val="auto"/>
              </w:rPr>
            </w:pPr>
            <w:r>
              <w:rPr>
                <w:rFonts w:ascii="Arial" w:cs="Arial" w:eastAsia="Arial" w:hAnsi="Arial"/>
                <w:sz w:val="17"/>
                <w:szCs w:val="17"/>
                <w:color w:val="auto"/>
                <w:w w:val="88"/>
              </w:rPr>
              <w:t>(unaudited, in thousands, except share and per share data)</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5"/>
        </w:trPr>
        <w:tc>
          <w:tcPr>
            <w:tcW w:w="6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gridSpan w:val="3"/>
          </w:tcPr>
          <w:p>
            <w:pPr>
              <w:ind w:left="300"/>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ind w:left="1220"/>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31"/>
        </w:trPr>
        <w:tc>
          <w:tcPr>
            <w:tcW w:w="6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b w:val="1"/>
                <w:bCs w:val="1"/>
                <w:color w:val="auto"/>
              </w:rPr>
              <w:t>Assets</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Cash and cash equivalents</w:t>
            </w:r>
          </w:p>
        </w:tc>
        <w:tc>
          <w:tcPr>
            <w:tcW w:w="1180" w:type="dxa"/>
            <w:vAlign w:val="bottom"/>
          </w:tcPr>
          <w:p>
            <w:pPr>
              <w:jc w:val="right"/>
              <w:ind w:right="76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98,398</w:t>
            </w:r>
          </w:p>
        </w:tc>
        <w:tc>
          <w:tcPr>
            <w:tcW w:w="100" w:type="dxa"/>
            <w:vAlign w:val="bottom"/>
          </w:tcPr>
          <w:p>
            <w:pPr>
              <w:spacing w:after="0"/>
              <w:rPr>
                <w:sz w:val="18"/>
                <w:szCs w:val="18"/>
                <w:color w:val="auto"/>
              </w:rPr>
            </w:pPr>
          </w:p>
        </w:tc>
        <w:tc>
          <w:tcPr>
            <w:tcW w:w="160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Accounts receivable, net</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15,713</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Settlement assets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21,880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Prepaid expenses</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7,436</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Related party loan receivable, current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14,201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880" w:type="dxa"/>
            <w:vAlign w:val="bottom"/>
          </w:tcPr>
          <w:p>
            <w:pPr>
              <w:ind w:left="1360"/>
              <w:spacing w:after="0"/>
              <w:rPr>
                <w:sz w:val="20"/>
                <w:szCs w:val="20"/>
                <w:color w:val="auto"/>
              </w:rPr>
            </w:pPr>
            <w:r>
              <w:rPr>
                <w:rFonts w:ascii="Arial" w:cs="Arial" w:eastAsia="Arial" w:hAnsi="Arial"/>
                <w:sz w:val="15"/>
                <w:szCs w:val="15"/>
                <w:color w:val="auto"/>
              </w:rPr>
              <w:t>Total current assets</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2"/>
              </w:rPr>
              <w:t>157,642</w:t>
            </w: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Capitalized software, net</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6,359</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Property and equipment, net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15,930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Lease right-of-use assets</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Deferred tax assets, net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80" w:type="dxa"/>
            <w:vAlign w:val="bottom"/>
          </w:tcPr>
          <w:p>
            <w:pPr>
              <w:ind w:left="1360"/>
              <w:spacing w:after="0"/>
              <w:rPr>
                <w:sz w:val="20"/>
                <w:szCs w:val="20"/>
                <w:color w:val="auto"/>
              </w:rPr>
            </w:pPr>
            <w:r>
              <w:rPr>
                <w:rFonts w:ascii="Arial" w:cs="Arial" w:eastAsia="Arial" w:hAnsi="Arial"/>
                <w:sz w:val="15"/>
                <w:szCs w:val="15"/>
                <w:color w:val="auto"/>
              </w:rPr>
              <w:t>Total assets</w:t>
            </w: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183,213</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b w:val="1"/>
                <w:bCs w:val="1"/>
                <w:color w:val="auto"/>
              </w:rPr>
              <w:t>Liabilities, convertible preferred stock and stockholders' equity (deficit)</w:t>
            </w: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Accounts payable</w:t>
            </w:r>
          </w:p>
        </w:tc>
        <w:tc>
          <w:tcPr>
            <w:tcW w:w="1180" w:type="dxa"/>
            <w:vAlign w:val="bottom"/>
          </w:tcPr>
          <w:p>
            <w:pPr>
              <w:jc w:val="right"/>
              <w:ind w:right="76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3,752</w:t>
            </w:r>
          </w:p>
        </w:tc>
        <w:tc>
          <w:tcPr>
            <w:tcW w:w="100" w:type="dxa"/>
            <w:vAlign w:val="bottom"/>
          </w:tcPr>
          <w:p>
            <w:pPr>
              <w:spacing w:after="0"/>
              <w:rPr>
                <w:sz w:val="18"/>
                <w:szCs w:val="18"/>
                <w:color w:val="auto"/>
              </w:rPr>
            </w:pPr>
          </w:p>
        </w:tc>
        <w:tc>
          <w:tcPr>
            <w:tcW w:w="160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Accrued expenses and other liabilities</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11,046</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Borrowings under line of credit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Current portion of long-term debt, net of issuance costs</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Lease liabilities, current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1,549</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Settlement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21,680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880" w:type="dxa"/>
            <w:vAlign w:val="bottom"/>
          </w:tcPr>
          <w:p>
            <w:pPr>
              <w:ind w:left="1360"/>
              <w:spacing w:after="0"/>
              <w:rPr>
                <w:sz w:val="20"/>
                <w:szCs w:val="20"/>
                <w:color w:val="auto"/>
              </w:rPr>
            </w:pPr>
            <w:r>
              <w:rPr>
                <w:rFonts w:ascii="Arial" w:cs="Arial" w:eastAsia="Arial" w:hAnsi="Arial"/>
                <w:sz w:val="15"/>
                <w:szCs w:val="15"/>
                <w:color w:val="auto"/>
              </w:rPr>
              <w:t>Total current liabilities</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53,576</w:t>
            </w: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Lease liabilities, non-current</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802</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Deferred tax liabilities, net</w:t>
            </w:r>
          </w:p>
        </w:tc>
        <w:tc>
          <w:tcPr>
            <w:tcW w:w="1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Other liabilities</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Long-term debt, net of issuance costs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52,067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5"/>
                <w:szCs w:val="15"/>
                <w:color w:val="auto"/>
              </w:rPr>
              <w:t>Total liabilities</w:t>
            </w:r>
          </w:p>
        </w:tc>
        <w:tc>
          <w:tcPr>
            <w:tcW w:w="1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106,598</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Commitments and contingencies (Note 12)</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8"/>
              </w:rPr>
              <w:t>Convertible preferred stock, par value $0.0001; 0 and 4,203,139 shares authorized, issued and outstanding as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of December 31, 2021 and 2020, respectively; (aggregate liquidation preference of $0 and $24,929,457 as</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of December 31, 2021 and 2020, respectively)</w:t>
            </w:r>
          </w:p>
        </w:tc>
        <w:tc>
          <w:tcPr>
            <w:tcW w:w="1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Stockholders' equity (deficit):</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stock, par value $0.0001; 1,000,000,000 and 95,000,000 shares of Class A common stock</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9"/>
              </w:rPr>
              <w:t>authorized as of December 31, 2021 and 2020, respectively; 67,844,060 and 29,366,940 shares of Class A</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9"/>
              </w:rPr>
              <w:t>common stock issued and outstanding as of December 31, 2021 and 2020, respectively; 25,000,000 and 0</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8"/>
              </w:rPr>
              <w:t>shares of LT10 common stock authorized as of December 31, 2021 and 2020, respectively; 7,332,640 and 0</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shares of LT10 common stock issued and outstanding as of December 31, 2021 and 2020, respectively;</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25,000,000 and 0 shares of LT50 common stock authorized as of December 31, 2021 and 2020,</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respectively; 6,224,160 and 0 shares of LT50 common stock issued and outstanding as of December 31,</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2021 and 2020, respectively</w:t>
            </w:r>
          </w:p>
        </w:tc>
        <w:tc>
          <w:tcPr>
            <w:tcW w:w="1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60" w:type="dxa"/>
            <w:vAlign w:val="bottom"/>
            <w:gridSpan w:val="2"/>
          </w:tcPr>
          <w:p>
            <w:pPr>
              <w:ind w:left="640"/>
              <w:spacing w:after="0"/>
              <w:rPr>
                <w:sz w:val="20"/>
                <w:szCs w:val="20"/>
                <w:color w:val="auto"/>
              </w:rPr>
            </w:pPr>
            <w:r>
              <w:rPr>
                <w:rFonts w:ascii="Arial" w:cs="Arial" w:eastAsia="Arial" w:hAnsi="Arial"/>
                <w:sz w:val="15"/>
                <w:szCs w:val="15"/>
                <w:color w:val="auto"/>
              </w:rPr>
              <w:t>Additional paid-in capital</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142,515</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6"/>
              </w:rPr>
              <w:t>(65,906)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6"/>
        </w:trPr>
        <w:tc>
          <w:tcPr>
            <w:tcW w:w="6880" w:type="dxa"/>
            <w:vAlign w:val="bottom"/>
          </w:tcPr>
          <w:p>
            <w:pPr>
              <w:ind w:left="1340"/>
              <w:spacing w:after="0"/>
              <w:rPr>
                <w:sz w:val="20"/>
                <w:szCs w:val="20"/>
                <w:color w:val="auto"/>
              </w:rPr>
            </w:pPr>
            <w:r>
              <w:rPr>
                <w:rFonts w:ascii="Arial" w:cs="Arial" w:eastAsia="Arial" w:hAnsi="Arial"/>
                <w:sz w:val="15"/>
                <w:szCs w:val="15"/>
                <w:color w:val="auto"/>
              </w:rPr>
              <w:t>Total stockholders' equity (deficit)</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76,615</w:t>
            </w:r>
          </w:p>
        </w:tc>
        <w:tc>
          <w:tcPr>
            <w:tcW w:w="100" w:type="dxa"/>
            <w:vAlign w:val="bottom"/>
          </w:tcPr>
          <w:p>
            <w:pPr>
              <w:spacing w:after="0"/>
              <w:rPr>
                <w:sz w:val="17"/>
                <w:szCs w:val="17"/>
                <w:color w:val="auto"/>
              </w:rPr>
            </w:pPr>
          </w:p>
        </w:tc>
        <w:tc>
          <w:tcPr>
            <w:tcW w:w="1600" w:type="dxa"/>
            <w:vAlign w:val="bottom"/>
            <w:tcBorders>
              <w:top w:val="single" w:sz="8" w:color="auto"/>
            </w:tcBorders>
          </w:tcPr>
          <w:p>
            <w:pPr>
              <w:ind w:left="15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1"/>
        </w:trPr>
        <w:tc>
          <w:tcPr>
            <w:tcW w:w="6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Total liabilities, convertible preferred stock and stockholders' equity (deficit)</w:t>
            </w:r>
          </w:p>
        </w:tc>
        <w:tc>
          <w:tcPr>
            <w:tcW w:w="118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183,213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20"/>
          </w:cols>
          <w:pgMar w:left="940" w:top="121"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2100" w:type="dxa"/>
            <w:vAlign w:val="bottom"/>
            <w:gridSpan w:val="4"/>
            <w:vMerge w:val="restart"/>
          </w:tcPr>
          <w:p>
            <w:pPr>
              <w:jc w:val="center"/>
              <w:ind w:right="640"/>
              <w:spacing w:after="0"/>
              <w:rPr>
                <w:sz w:val="20"/>
                <w:szCs w:val="20"/>
                <w:color w:val="auto"/>
              </w:rPr>
            </w:pPr>
            <w:r>
              <w:rPr>
                <w:rFonts w:ascii="Arial" w:cs="Arial" w:eastAsia="Arial" w:hAnsi="Arial"/>
                <w:sz w:val="21"/>
                <w:szCs w:val="21"/>
                <w:b w:val="1"/>
                <w:bCs w:val="1"/>
                <w:color w:val="auto"/>
                <w:w w:val="88"/>
              </w:rPr>
              <w:t>Expensify, Inc.</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2100" w:type="dxa"/>
            <w:vAlign w:val="bottom"/>
            <w:gridSpan w:val="4"/>
            <w:vMerge w:val="continue"/>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gridSpan w:val="6"/>
          </w:tcPr>
          <w:p>
            <w:pPr>
              <w:jc w:val="center"/>
              <w:ind w:left="3781"/>
              <w:spacing w:after="0"/>
              <w:rPr>
                <w:sz w:val="20"/>
                <w:szCs w:val="20"/>
                <w:color w:val="auto"/>
              </w:rPr>
            </w:pPr>
            <w:r>
              <w:rPr>
                <w:rFonts w:ascii="Arial" w:cs="Arial" w:eastAsia="Arial" w:hAnsi="Arial"/>
                <w:sz w:val="21"/>
                <w:szCs w:val="21"/>
                <w:b w:val="1"/>
                <w:bCs w:val="1"/>
                <w:color w:val="auto"/>
                <w:w w:val="87"/>
              </w:rPr>
              <w:t>Consolidated Statements of Income</w:t>
            </w: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440" w:type="dxa"/>
            <w:vAlign w:val="bottom"/>
            <w:gridSpan w:val="7"/>
          </w:tcPr>
          <w:p>
            <w:pPr>
              <w:jc w:val="center"/>
              <w:ind w:left="2721"/>
              <w:spacing w:after="0"/>
              <w:rPr>
                <w:sz w:val="20"/>
                <w:szCs w:val="20"/>
                <w:color w:val="auto"/>
              </w:rPr>
            </w:pPr>
            <w:r>
              <w:rPr>
                <w:rFonts w:ascii="Arial" w:cs="Arial" w:eastAsia="Arial" w:hAnsi="Arial"/>
                <w:sz w:val="17"/>
                <w:szCs w:val="17"/>
                <w:color w:val="auto"/>
                <w:w w:val="88"/>
              </w:rPr>
              <w:t>(unaudited, in thousands, except share and per share data)</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jc w:val="right"/>
              <w:ind w:right="263"/>
              <w:spacing w:after="0"/>
              <w:rPr>
                <w:sz w:val="20"/>
                <w:szCs w:val="20"/>
                <w:color w:val="auto"/>
              </w:rPr>
            </w:pPr>
            <w:r>
              <w:rPr>
                <w:rFonts w:ascii="Arial" w:cs="Arial" w:eastAsia="Arial" w:hAnsi="Arial"/>
                <w:sz w:val="15"/>
                <w:szCs w:val="15"/>
                <w:b w:val="1"/>
                <w:bCs w:val="1"/>
                <w:color w:val="auto"/>
                <w:w w:val="97"/>
              </w:rPr>
              <w:t>Three months ended December 31,</w:t>
            </w:r>
          </w:p>
        </w:tc>
        <w:tc>
          <w:tcPr>
            <w:tcW w:w="320" w:type="dxa"/>
            <w:vAlign w:val="bottom"/>
          </w:tcPr>
          <w:p>
            <w:pPr>
              <w:spacing w:after="0"/>
              <w:rPr>
                <w:sz w:val="24"/>
                <w:szCs w:val="24"/>
                <w:color w:val="auto"/>
              </w:rPr>
            </w:pPr>
          </w:p>
        </w:tc>
        <w:tc>
          <w:tcPr>
            <w:tcW w:w="2480" w:type="dxa"/>
            <w:vAlign w:val="bottom"/>
            <w:gridSpan w:val="4"/>
          </w:tcPr>
          <w:p>
            <w:pPr>
              <w:jc w:val="right"/>
              <w:ind w:right="482"/>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31"/>
        </w:trPr>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0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483"/>
              <w:spacing w:after="0"/>
              <w:rPr>
                <w:sz w:val="20"/>
                <w:szCs w:val="20"/>
                <w:color w:val="auto"/>
              </w:rPr>
            </w:pPr>
            <w:r>
              <w:rPr>
                <w:rFonts w:ascii="Arial" w:cs="Arial" w:eastAsia="Arial" w:hAnsi="Arial"/>
                <w:sz w:val="15"/>
                <w:szCs w:val="15"/>
                <w:b w:val="1"/>
                <w:bCs w:val="1"/>
                <w:color w:val="auto"/>
              </w:rPr>
              <w:t>2020</w:t>
            </w:r>
          </w:p>
        </w:tc>
        <w:tc>
          <w:tcPr>
            <w:tcW w:w="320" w:type="dxa"/>
            <w:vAlign w:val="bottom"/>
          </w:tcPr>
          <w:p>
            <w:pPr>
              <w:spacing w:after="0"/>
              <w:rPr>
                <w:sz w:val="17"/>
                <w:szCs w:val="17"/>
                <w:color w:val="auto"/>
              </w:rPr>
            </w:pPr>
          </w:p>
        </w:tc>
        <w:tc>
          <w:tcPr>
            <w:tcW w:w="1040" w:type="dxa"/>
            <w:vAlign w:val="bottom"/>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42"/>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31"/>
        </w:trPr>
        <w:tc>
          <w:tcPr>
            <w:tcW w:w="4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76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40,364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25,737</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142,835</w:t>
            </w:r>
          </w:p>
        </w:tc>
        <w:tc>
          <w:tcPr>
            <w:tcW w:w="38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88,072</w:t>
            </w: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 net</w:t>
            </w:r>
            <w:r>
              <w:rPr>
                <w:rFonts w:ascii="Arial" w:cs="Arial" w:eastAsia="Arial" w:hAnsi="Arial"/>
                <w:sz w:val="20"/>
                <w:szCs w:val="20"/>
                <w:color w:val="auto"/>
                <w:vertAlign w:val="superscript"/>
              </w:rPr>
              <w:t>(1)(2)</w:t>
            </w:r>
          </w:p>
        </w:tc>
        <w:tc>
          <w:tcPr>
            <w:tcW w:w="5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32,414</w:t>
            </w:r>
          </w:p>
        </w:tc>
        <w:tc>
          <w:tcPr>
            <w:tcW w:w="0" w:type="dxa"/>
            <w:vAlign w:val="bottom"/>
          </w:tcPr>
          <w:p>
            <w:pPr>
              <w:spacing w:after="0"/>
              <w:rPr>
                <w:sz w:val="1"/>
                <w:szCs w:val="1"/>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margin</w:t>
            </w: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17,204</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89,142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55,658</w:t>
            </w:r>
          </w:p>
        </w:tc>
        <w:tc>
          <w:tcPr>
            <w:tcW w:w="0" w:type="dxa"/>
            <w:vAlign w:val="bottom"/>
          </w:tcPr>
          <w:p>
            <w:pPr>
              <w:spacing w:after="0"/>
              <w:rPr>
                <w:sz w:val="1"/>
                <w:szCs w:val="1"/>
                <w:color w:val="auto"/>
              </w:rPr>
            </w:pPr>
          </w:p>
        </w:tc>
      </w:tr>
      <w:tr>
        <w:trPr>
          <w:trHeight w:val="194"/>
        </w:trPr>
        <w:tc>
          <w:tcPr>
            <w:tcW w:w="49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5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Research and development</w:t>
            </w:r>
            <w:r>
              <w:rPr>
                <w:rFonts w:ascii="Arial" w:cs="Arial" w:eastAsia="Arial" w:hAnsi="Arial"/>
                <w:sz w:val="20"/>
                <w:szCs w:val="20"/>
                <w:color w:val="auto"/>
                <w:vertAlign w:val="superscript"/>
              </w:rPr>
              <w:t>(1)(2)</w:t>
            </w: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2,083</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6,728</w:t>
            </w:r>
          </w:p>
        </w:tc>
        <w:tc>
          <w:tcPr>
            <w:tcW w:w="0" w:type="dxa"/>
            <w:vAlign w:val="bottom"/>
          </w:tcPr>
          <w:p>
            <w:pPr>
              <w:spacing w:after="0"/>
              <w:rPr>
                <w:sz w:val="1"/>
                <w:szCs w:val="1"/>
                <w:color w:val="auto"/>
              </w:rPr>
            </w:pPr>
          </w:p>
        </w:tc>
      </w:tr>
      <w:tr>
        <w:trPr>
          <w:trHeight w:val="245"/>
        </w:trPr>
        <w:tc>
          <w:tcPr>
            <w:tcW w:w="4900" w:type="dxa"/>
            <w:vAlign w:val="bottom"/>
          </w:tcPr>
          <w:p>
            <w:pPr>
              <w:ind w:left="22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20"/>
                <w:szCs w:val="20"/>
                <w:color w:val="auto"/>
                <w:vertAlign w:val="superscript"/>
              </w:rPr>
              <w:t>(1)(2)</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24,915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8,655</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60,742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33,372</w:t>
            </w: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Sales and marketing</w:t>
            </w:r>
            <w:r>
              <w:rPr>
                <w:rFonts w:ascii="Arial" w:cs="Arial" w:eastAsia="Arial" w:hAnsi="Arial"/>
                <w:sz w:val="20"/>
                <w:szCs w:val="20"/>
                <w:color w:val="auto"/>
                <w:vertAlign w:val="superscript"/>
              </w:rPr>
              <w:t>(1)(2)</w:t>
            </w:r>
          </w:p>
        </w:tc>
        <w:tc>
          <w:tcPr>
            <w:tcW w:w="5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13,109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2,074</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27,664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9,888</w:t>
            </w:r>
          </w:p>
        </w:tc>
        <w:tc>
          <w:tcPr>
            <w:tcW w:w="0" w:type="dxa"/>
            <w:vAlign w:val="bottom"/>
          </w:tcPr>
          <w:p>
            <w:pPr>
              <w:spacing w:after="0"/>
              <w:rPr>
                <w:sz w:val="1"/>
                <w:szCs w:val="1"/>
                <w:color w:val="auto"/>
              </w:rPr>
            </w:pPr>
          </w:p>
        </w:tc>
      </w:tr>
      <w:tr>
        <w:trPr>
          <w:trHeight w:val="206"/>
        </w:trPr>
        <w:tc>
          <w:tcPr>
            <w:tcW w:w="4900" w:type="dxa"/>
            <w:vAlign w:val="bottom"/>
          </w:tcPr>
          <w:p>
            <w:pPr>
              <w:ind w:left="440"/>
              <w:spacing w:after="0"/>
              <w:rPr>
                <w:sz w:val="20"/>
                <w:szCs w:val="20"/>
                <w:color w:val="auto"/>
              </w:rPr>
            </w:pPr>
            <w:r>
              <w:rPr>
                <w:rFonts w:ascii="Arial" w:cs="Arial" w:eastAsia="Arial" w:hAnsi="Arial"/>
                <w:sz w:val="15"/>
                <w:szCs w:val="15"/>
                <w:color w:val="auto"/>
              </w:rPr>
              <w:t>Total operating expenses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40,874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12,812</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99,394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49,988</w:t>
            </w:r>
          </w:p>
        </w:tc>
        <w:tc>
          <w:tcPr>
            <w:tcW w:w="0" w:type="dxa"/>
            <w:vAlign w:val="bottom"/>
          </w:tcPr>
          <w:p>
            <w:pPr>
              <w:spacing w:after="0"/>
              <w:rPr>
                <w:sz w:val="1"/>
                <w:szCs w:val="1"/>
                <w:color w:val="auto"/>
              </w:rPr>
            </w:pPr>
          </w:p>
        </w:tc>
      </w:tr>
      <w:tr>
        <w:trPr>
          <w:trHeight w:val="31"/>
        </w:trPr>
        <w:tc>
          <w:tcPr>
            <w:tcW w:w="4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 income from operations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(20,435)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4,392</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5,670</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Interest and other expenses,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(2,718)</w:t>
            </w:r>
          </w:p>
        </w:tc>
        <w:tc>
          <w:tcPr>
            <w:tcW w:w="0" w:type="dxa"/>
            <w:vAlign w:val="bottom"/>
          </w:tcPr>
          <w:p>
            <w:pPr>
              <w:spacing w:after="0"/>
              <w:rPr>
                <w:sz w:val="1"/>
                <w:szCs w:val="1"/>
                <w:color w:val="auto"/>
              </w:rPr>
            </w:pPr>
          </w:p>
        </w:tc>
      </w:tr>
      <w:tr>
        <w:trPr>
          <w:trHeight w:val="31"/>
        </w:trPr>
        <w:tc>
          <w:tcPr>
            <w:tcW w:w="4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 income before income taxes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(21,355)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3,834</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(13,732)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2,952</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Benefit (provision) for income taxes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(2,092)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(4,662)</w:t>
            </w:r>
          </w:p>
        </w:tc>
        <w:tc>
          <w:tcPr>
            <w:tcW w:w="0" w:type="dxa"/>
            <w:vAlign w:val="bottom"/>
          </w:tcPr>
          <w:p>
            <w:pPr>
              <w:spacing w:after="0"/>
              <w:rPr>
                <w:sz w:val="1"/>
                <w:szCs w:val="1"/>
                <w:color w:val="auto"/>
              </w:rPr>
            </w:pPr>
          </w:p>
        </w:tc>
      </w:tr>
      <w:tr>
        <w:trPr>
          <w:trHeight w:val="31"/>
        </w:trPr>
        <w:tc>
          <w:tcPr>
            <w:tcW w:w="4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income</w:t>
            </w:r>
          </w:p>
        </w:tc>
        <w:tc>
          <w:tcPr>
            <w:tcW w:w="76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(21,887)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(13,558)</w:t>
            </w:r>
          </w:p>
        </w:tc>
        <w:tc>
          <w:tcPr>
            <w:tcW w:w="38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income allocated to participating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4900" w:type="dxa"/>
            <w:vAlign w:val="bottom"/>
          </w:tcPr>
          <w:p>
            <w:pPr>
              <w:ind w:left="20"/>
              <w:spacing w:after="0"/>
              <w:rPr>
                <w:sz w:val="20"/>
                <w:szCs w:val="20"/>
                <w:color w:val="auto"/>
              </w:rPr>
            </w:pPr>
            <w:r>
              <w:rPr>
                <w:rFonts w:ascii="Arial" w:cs="Arial" w:eastAsia="Arial" w:hAnsi="Arial"/>
                <w:sz w:val="15"/>
                <w:szCs w:val="15"/>
                <w:color w:val="auto"/>
              </w:rPr>
              <w:t>Net loss attributable to Class A, LT10 and LT50 common stockholders</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(21,887)</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(13,558)</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loss per share attributable to Class A, LT10 and LT50 common stockholders:</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20"/>
              <w:spacing w:after="0"/>
              <w:rPr>
                <w:sz w:val="20"/>
                <w:szCs w:val="20"/>
                <w:color w:val="auto"/>
              </w:rPr>
            </w:pPr>
            <w:r>
              <w:rPr>
                <w:rFonts w:ascii="Arial" w:cs="Arial" w:eastAsia="Arial" w:hAnsi="Arial"/>
                <w:sz w:val="15"/>
                <w:szCs w:val="15"/>
                <w:color w:val="auto"/>
              </w:rPr>
              <w:t>Basic and diluted</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(0.82)</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2"/>
              </w:rPr>
              <w:t>Weighted-average shares of common stock used to compute net loss per share</w:t>
            </w: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attributable to Class A, LT10 and LT50 common stockholders: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Basic and diluted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26,776,561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28,402,996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38,039,222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27,424,480</w:t>
            </w:r>
          </w:p>
        </w:tc>
        <w:tc>
          <w:tcPr>
            <w:tcW w:w="0" w:type="dxa"/>
            <w:vAlign w:val="bottom"/>
          </w:tcPr>
          <w:p>
            <w:pPr>
              <w:spacing w:after="0"/>
              <w:rPr>
                <w:sz w:val="1"/>
                <w:szCs w:val="1"/>
                <w:color w:val="auto"/>
              </w:rPr>
            </w:pPr>
          </w:p>
        </w:tc>
      </w:tr>
      <w:tr>
        <w:trPr>
          <w:trHeight w:val="83"/>
        </w:trPr>
        <w:tc>
          <w:tcPr>
            <w:tcW w:w="49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240" w:hanging="618"/>
        <w:spacing w:after="0"/>
        <w:tabs>
          <w:tab w:leader="none" w:pos="1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24130</wp:posOffset>
            </wp:positionV>
            <wp:extent cx="700214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16510"/>
                    </a:xfrm>
                    <a:prstGeom prst="rect">
                      <a:avLst/>
                    </a:prstGeom>
                    <a:noFill/>
                  </pic:spPr>
                </pic:pic>
              </a:graphicData>
            </a:graphic>
          </wp:anchor>
        </w:drawing>
      </w:r>
    </w:p>
    <w:p>
      <w:pPr>
        <w:spacing w:after="0" w:line="60"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6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2"/>
              </w:rPr>
              <w:t>Three months ended December 31,</w:t>
            </w:r>
          </w:p>
        </w:tc>
        <w:tc>
          <w:tcPr>
            <w:tcW w:w="540" w:type="dxa"/>
            <w:vAlign w:val="bottom"/>
          </w:tcPr>
          <w:p>
            <w:pPr>
              <w:spacing w:after="0"/>
              <w:rPr>
                <w:sz w:val="15"/>
                <w:szCs w:val="15"/>
                <w:color w:val="auto"/>
              </w:rPr>
            </w:pPr>
          </w:p>
        </w:tc>
        <w:tc>
          <w:tcPr>
            <w:tcW w:w="2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r>
      <w:tr>
        <w:trPr>
          <w:trHeight w:val="24"/>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8"/>
        </w:trPr>
        <w:tc>
          <w:tcPr>
            <w:tcW w:w="6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r>
      <w:tr>
        <w:trPr>
          <w:trHeight w:val="24"/>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8"/>
        </w:trPr>
        <w:tc>
          <w:tcPr>
            <w:tcW w:w="6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r>
      <w:tr>
        <w:trPr>
          <w:trHeight w:val="24"/>
        </w:trPr>
        <w:tc>
          <w:tcPr>
            <w:tcW w:w="4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99"/>
        </w:trPr>
        <w:tc>
          <w:tcPr>
            <w:tcW w:w="4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Cost of revenue, net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6,238</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992</w:t>
            </w:r>
          </w:p>
        </w:tc>
        <w:tc>
          <w:tcPr>
            <w:tcW w:w="9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4,115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5"/>
        </w:trPr>
        <w:tc>
          <w:tcPr>
            <w:tcW w:w="4780" w:type="dxa"/>
            <w:vAlign w:val="bottom"/>
            <w:gridSpan w:val="2"/>
          </w:tcPr>
          <w:p>
            <w:pPr>
              <w:ind w:left="320"/>
              <w:spacing w:after="0"/>
              <w:rPr>
                <w:sz w:val="20"/>
                <w:szCs w:val="20"/>
                <w:color w:val="auto"/>
              </w:rPr>
            </w:pPr>
            <w:r>
              <w:rPr>
                <w:rFonts w:ascii="Arial" w:cs="Arial" w:eastAsia="Arial" w:hAnsi="Arial"/>
                <w:sz w:val="14"/>
                <w:szCs w:val="14"/>
                <w:color w:val="auto"/>
              </w:rPr>
              <w:t>Research and development</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1,135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jc w:val="right"/>
              <w:ind w:right="151"/>
              <w:spacing w:after="0"/>
              <w:rPr>
                <w:sz w:val="20"/>
                <w:szCs w:val="20"/>
                <w:color w:val="auto"/>
              </w:rPr>
            </w:pPr>
            <w:r>
              <w:rPr>
                <w:rFonts w:ascii="Arial" w:cs="Arial" w:eastAsia="Arial" w:hAnsi="Arial"/>
                <w:sz w:val="14"/>
                <w:szCs w:val="14"/>
                <w:color w:val="auto"/>
                <w:w w:val="85"/>
              </w:rPr>
              <w:t>1,167</w:t>
            </w:r>
          </w:p>
        </w:tc>
        <w:tc>
          <w:tcPr>
            <w:tcW w:w="96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1"/>
              </w:rPr>
              <w:t>1,617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4"/>
        </w:trPr>
        <w:tc>
          <w:tcPr>
            <w:tcW w:w="4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99"/>
        </w:trPr>
        <w:tc>
          <w:tcPr>
            <w:tcW w:w="4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General and administrative</w:t>
            </w: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1,262</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85"/>
              </w:rPr>
              <w:t>2,443</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7,356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0"/>
              </w:rPr>
              <w:t>12,6</w:t>
            </w:r>
          </w:p>
        </w:tc>
      </w:tr>
      <w:tr>
        <w:trPr>
          <w:trHeight w:val="195"/>
        </w:trPr>
        <w:tc>
          <w:tcPr>
            <w:tcW w:w="4780" w:type="dxa"/>
            <w:vAlign w:val="bottom"/>
            <w:gridSpan w:val="2"/>
          </w:tcPr>
          <w:p>
            <w:pPr>
              <w:ind w:left="320"/>
              <w:spacing w:after="0"/>
              <w:rPr>
                <w:sz w:val="20"/>
                <w:szCs w:val="20"/>
                <w:color w:val="auto"/>
              </w:rPr>
            </w:pPr>
            <w:r>
              <w:rPr>
                <w:rFonts w:ascii="Arial" w:cs="Arial" w:eastAsia="Arial" w:hAnsi="Arial"/>
                <w:sz w:val="14"/>
                <w:szCs w:val="14"/>
                <w:color w:val="auto"/>
              </w:rPr>
              <w:t>Sales and marketing</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3,445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jc w:val="right"/>
              <w:ind w:right="151"/>
              <w:spacing w:after="0"/>
              <w:rPr>
                <w:sz w:val="20"/>
                <w:szCs w:val="20"/>
                <w:color w:val="auto"/>
              </w:rPr>
            </w:pPr>
            <w:r>
              <w:rPr>
                <w:rFonts w:ascii="Arial" w:cs="Arial" w:eastAsia="Arial" w:hAnsi="Arial"/>
                <w:sz w:val="14"/>
                <w:szCs w:val="14"/>
                <w:color w:val="auto"/>
              </w:rPr>
              <w:t>284</w:t>
            </w:r>
          </w:p>
        </w:tc>
        <w:tc>
          <w:tcPr>
            <w:tcW w:w="96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1"/>
              </w:rPr>
              <w:t>1,486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4"/>
        </w:trPr>
        <w:tc>
          <w:tcPr>
            <w:tcW w:w="47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4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stock-based compensation expense</w:t>
            </w:r>
          </w:p>
        </w:tc>
        <w:tc>
          <w:tcPr>
            <w:tcW w:w="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12,080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85"/>
              </w:rPr>
              <w:t>4,886</w:t>
            </w:r>
          </w:p>
        </w:tc>
        <w:tc>
          <w:tcPr>
            <w:tcW w:w="96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14,574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0"/>
              </w:rPr>
              <w:t>17,8</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29"/>
        </w:trPr>
        <w:tc>
          <w:tcPr>
            <w:tcW w:w="680" w:type="dxa"/>
            <w:vAlign w:val="bottom"/>
          </w:tcPr>
          <w:p>
            <w:pPr>
              <w:ind w:left="300"/>
              <w:spacing w:after="0"/>
              <w:rPr>
                <w:sz w:val="20"/>
                <w:szCs w:val="20"/>
                <w:color w:val="auto"/>
              </w:rPr>
            </w:pPr>
            <w:r>
              <w:rPr>
                <w:rFonts w:ascii="Arial" w:cs="Arial" w:eastAsia="Arial" w:hAnsi="Arial"/>
                <w:sz w:val="14"/>
                <w:szCs w:val="14"/>
                <w:color w:val="auto"/>
              </w:rPr>
              <w:t>(2)</w:t>
            </w:r>
          </w:p>
        </w:tc>
        <w:tc>
          <w:tcPr>
            <w:tcW w:w="4100" w:type="dxa"/>
            <w:vAlign w:val="bottom"/>
          </w:tcPr>
          <w:p>
            <w:pPr>
              <w:ind w:left="240"/>
              <w:spacing w:after="0"/>
              <w:rPr>
                <w:sz w:val="20"/>
                <w:szCs w:val="20"/>
                <w:color w:val="auto"/>
              </w:rPr>
            </w:pPr>
            <w:r>
              <w:rPr>
                <w:rFonts w:ascii="Arial" w:cs="Arial" w:eastAsia="Arial" w:hAnsi="Arial"/>
                <w:sz w:val="14"/>
                <w:szCs w:val="14"/>
                <w:color w:val="auto"/>
              </w:rPr>
              <w:t>Includes IPO-related bonus expense as follows:</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0"/>
        </w:trPr>
        <w:tc>
          <w:tcPr>
            <w:tcW w:w="6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5"/>
        </w:trPr>
        <w:tc>
          <w:tcPr>
            <w:tcW w:w="6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gridSpan w:val="6"/>
          </w:tcPr>
          <w:p>
            <w:pPr>
              <w:ind w:left="200"/>
              <w:spacing w:after="0"/>
              <w:rPr>
                <w:sz w:val="20"/>
                <w:szCs w:val="20"/>
                <w:color w:val="auto"/>
              </w:rPr>
            </w:pPr>
            <w:r>
              <w:rPr>
                <w:rFonts w:ascii="Arial" w:cs="Arial" w:eastAsia="Arial" w:hAnsi="Arial"/>
                <w:sz w:val="14"/>
                <w:szCs w:val="14"/>
                <w:b w:val="1"/>
                <w:bCs w:val="1"/>
                <w:color w:val="auto"/>
                <w:w w:val="86"/>
              </w:rPr>
              <w:t>Three months ended December 31,</w:t>
            </w:r>
          </w:p>
        </w:tc>
        <w:tc>
          <w:tcPr>
            <w:tcW w:w="540" w:type="dxa"/>
            <w:vAlign w:val="bottom"/>
          </w:tcPr>
          <w:p>
            <w:pPr>
              <w:spacing w:after="0"/>
              <w:rPr>
                <w:sz w:val="16"/>
                <w:szCs w:val="16"/>
                <w:color w:val="auto"/>
              </w:rPr>
            </w:pPr>
          </w:p>
        </w:tc>
        <w:tc>
          <w:tcPr>
            <w:tcW w:w="26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r>
      <w:tr>
        <w:trPr>
          <w:trHeight w:val="24"/>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8"/>
        </w:trPr>
        <w:tc>
          <w:tcPr>
            <w:tcW w:w="6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r>
      <w:tr>
        <w:trPr>
          <w:trHeight w:val="24"/>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8"/>
        </w:trPr>
        <w:tc>
          <w:tcPr>
            <w:tcW w:w="6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r>
      <w:tr>
        <w:trPr>
          <w:trHeight w:val="24"/>
        </w:trPr>
        <w:tc>
          <w:tcPr>
            <w:tcW w:w="4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99"/>
        </w:trPr>
        <w:tc>
          <w:tcPr>
            <w:tcW w:w="4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Cost of revenue, net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6,466</w:t>
            </w:r>
          </w:p>
        </w:tc>
        <w:tc>
          <w:tcPr>
            <w:tcW w:w="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3"/>
              </w:rPr>
              <w:t>13,708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95"/>
        </w:trPr>
        <w:tc>
          <w:tcPr>
            <w:tcW w:w="4780" w:type="dxa"/>
            <w:vAlign w:val="bottom"/>
            <w:gridSpan w:val="2"/>
          </w:tcPr>
          <w:p>
            <w:pPr>
              <w:ind w:left="320"/>
              <w:spacing w:after="0"/>
              <w:rPr>
                <w:sz w:val="20"/>
                <w:szCs w:val="20"/>
                <w:color w:val="auto"/>
              </w:rPr>
            </w:pPr>
            <w:r>
              <w:rPr>
                <w:rFonts w:ascii="Arial" w:cs="Arial" w:eastAsia="Arial" w:hAnsi="Arial"/>
                <w:sz w:val="14"/>
                <w:szCs w:val="14"/>
                <w:color w:val="auto"/>
              </w:rPr>
              <w:t>Research and development</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1,080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4"/>
        </w:trPr>
        <w:tc>
          <w:tcPr>
            <w:tcW w:w="4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99"/>
        </w:trPr>
        <w:tc>
          <w:tcPr>
            <w:tcW w:w="4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General and administrative</w:t>
            </w: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3"/>
              </w:rPr>
              <w:t>21,174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195"/>
        </w:trPr>
        <w:tc>
          <w:tcPr>
            <w:tcW w:w="4780" w:type="dxa"/>
            <w:vAlign w:val="bottom"/>
            <w:gridSpan w:val="2"/>
          </w:tcPr>
          <w:p>
            <w:pPr>
              <w:ind w:left="320"/>
              <w:spacing w:after="0"/>
              <w:rPr>
                <w:sz w:val="20"/>
                <w:szCs w:val="20"/>
                <w:color w:val="auto"/>
              </w:rPr>
            </w:pPr>
            <w:r>
              <w:rPr>
                <w:rFonts w:ascii="Arial" w:cs="Arial" w:eastAsia="Arial" w:hAnsi="Arial"/>
                <w:sz w:val="14"/>
                <w:szCs w:val="14"/>
                <w:color w:val="auto"/>
              </w:rPr>
              <w:t>Sales and marketing</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4,746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4,984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4"/>
        </w:trPr>
        <w:tc>
          <w:tcPr>
            <w:tcW w:w="47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2"/>
        </w:trPr>
        <w:tc>
          <w:tcPr>
            <w:tcW w:w="4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stock-based compensation expense</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14,190</w:t>
            </w:r>
          </w:p>
        </w:tc>
        <w:tc>
          <w:tcPr>
            <w:tcW w:w="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48,416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40"/>
          </w:cols>
          <w:pgMar w:left="32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40" w:type="dxa"/>
            <w:vAlign w:val="bottom"/>
            <w:vMerge w:val="restart"/>
          </w:tcPr>
          <w:p>
            <w:pPr>
              <w:jc w:val="center"/>
              <w:ind w:left="2750"/>
              <w:spacing w:after="0"/>
              <w:rPr>
                <w:sz w:val="20"/>
                <w:szCs w:val="20"/>
                <w:color w:val="auto"/>
              </w:rPr>
            </w:pPr>
            <w:r>
              <w:rPr>
                <w:rFonts w:ascii="Arial" w:cs="Arial" w:eastAsia="Arial" w:hAnsi="Arial"/>
                <w:sz w:val="21"/>
                <w:szCs w:val="21"/>
                <w:b w:val="1"/>
                <w:bCs w:val="1"/>
                <w:color w:val="auto"/>
                <w:w w:val="88"/>
              </w:rPr>
              <w:t>Expensify, Inc.</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c>
          <w:tcPr>
            <w:tcW w:w="0" w:type="dxa"/>
            <w:vAlign w:val="bottom"/>
          </w:tcPr>
          <w:p>
            <w:pPr>
              <w:spacing w:after="0"/>
              <w:rPr>
                <w:sz w:val="1"/>
                <w:szCs w:val="1"/>
                <w:color w:val="auto"/>
              </w:rPr>
            </w:pPr>
          </w:p>
        </w:tc>
      </w:tr>
      <w:tr>
        <w:trPr>
          <w:trHeight w:val="245"/>
        </w:trPr>
        <w:tc>
          <w:tcPr>
            <w:tcW w:w="844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440" w:type="dxa"/>
            <w:vAlign w:val="bottom"/>
          </w:tcPr>
          <w:p>
            <w:pPr>
              <w:jc w:val="center"/>
              <w:ind w:left="2730"/>
              <w:spacing w:after="0"/>
              <w:rPr>
                <w:sz w:val="20"/>
                <w:szCs w:val="20"/>
                <w:color w:val="auto"/>
              </w:rPr>
            </w:pPr>
            <w:r>
              <w:rPr>
                <w:rFonts w:ascii="Arial" w:cs="Arial" w:eastAsia="Arial" w:hAnsi="Arial"/>
                <w:sz w:val="21"/>
                <w:szCs w:val="21"/>
                <w:b w:val="1"/>
                <w:bCs w:val="1"/>
                <w:color w:val="auto"/>
                <w:w w:val="86"/>
              </w:rPr>
              <w:t>Consolidated Statements of Cash Flows</w:t>
            </w: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440" w:type="dxa"/>
            <w:vAlign w:val="bottom"/>
          </w:tcPr>
          <w:p>
            <w:pPr>
              <w:jc w:val="center"/>
              <w:ind w:left="2750"/>
              <w:spacing w:after="0"/>
              <w:rPr>
                <w:sz w:val="20"/>
                <w:szCs w:val="20"/>
                <w:color w:val="auto"/>
              </w:rPr>
            </w:pPr>
            <w:r>
              <w:rPr>
                <w:rFonts w:ascii="Arial" w:cs="Arial" w:eastAsia="Arial" w:hAnsi="Arial"/>
                <w:sz w:val="17"/>
                <w:szCs w:val="17"/>
                <w:color w:val="auto"/>
                <w:w w:val="90"/>
              </w:rPr>
              <w:t>(unaudited, in thousands)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84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280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84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(13,558)</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3,248</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Reduction of operating lease right-of-use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Loss on impairment, receivables and sale or disposal of equipment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14,574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17,837</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Related party loan receivable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other liabilities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 liabilities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(16,548)</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4"/>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7,585</w:t>
            </w:r>
          </w:p>
        </w:tc>
        <w:tc>
          <w:tcPr>
            <w:tcW w:w="0" w:type="dxa"/>
            <w:vAlign w:val="bottom"/>
          </w:tcPr>
          <w:p>
            <w:pPr>
              <w:spacing w:after="0"/>
              <w:rPr>
                <w:sz w:val="1"/>
                <w:szCs w:val="1"/>
                <w:color w:val="auto"/>
              </w:rPr>
            </w:pPr>
          </w:p>
        </w:tc>
      </w:tr>
      <w:tr>
        <w:trPr>
          <w:trHeight w:val="175"/>
        </w:trPr>
        <w:tc>
          <w:tcPr>
            <w:tcW w:w="84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Proceeds from sale or disposal of property and equipment</w:t>
            </w:r>
          </w:p>
        </w:tc>
        <w:tc>
          <w:tcPr>
            <w:tcW w:w="8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 development costs</w:t>
            </w:r>
          </w:p>
        </w:tc>
        <w:tc>
          <w:tcPr>
            <w:tcW w:w="8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Net cash used by investing activities</w:t>
            </w:r>
          </w:p>
        </w:tc>
        <w:tc>
          <w:tcPr>
            <w:tcW w:w="8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24"/>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Principal payments of finance leases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of term loan</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(25,191)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Proceeds from term loan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of line of credit</w:t>
            </w:r>
          </w:p>
        </w:tc>
        <w:tc>
          <w:tcPr>
            <w:tcW w:w="8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Proceeds from line of credit</w:t>
            </w:r>
          </w:p>
        </w:tc>
        <w:tc>
          <w:tcPr>
            <w:tcW w:w="8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9,613</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8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Vesting of restricted common stock</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underwriters' discounts and commissions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57,458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Proceeds from issuance of common stock on exercise of stock options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24"/>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80,565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8,787</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8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78,437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12,077</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8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46,878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34,801</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end of period</w:t>
            </w:r>
          </w:p>
        </w:tc>
        <w:tc>
          <w:tcPr>
            <w:tcW w:w="84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125,315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46,878</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84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3,082</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2,929</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840" w:type="dxa"/>
            <w:vAlign w:val="bottom"/>
            <w:tcBorders>
              <w:bottom w:val="single" w:sz="8" w:color="CCEEFF"/>
            </w:tcBorders>
            <w:shd w:val="clear" w:color="auto" w:fill="CCEEFF"/>
          </w:tcPr>
          <w:p>
            <w:pPr>
              <w:jc w:val="right"/>
              <w:ind w:right="67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Noncash investing and financing items:</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building and land acquired with long-term debt (net of issuance costs of $8,226)</w:t>
            </w:r>
          </w:p>
        </w:tc>
        <w:tc>
          <w:tcPr>
            <w:tcW w:w="840" w:type="dxa"/>
            <w:vAlign w:val="bottom"/>
            <w:tcBorders>
              <w:bottom w:val="single" w:sz="8" w:color="CCEEFF"/>
            </w:tcBorders>
            <w:shd w:val="clear" w:color="auto" w:fill="CCEEFF"/>
          </w:tcPr>
          <w:p>
            <w:pPr>
              <w:jc w:val="right"/>
              <w:ind w:right="6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Right-of-use assets acquired with lease liabilities</w:t>
            </w:r>
          </w:p>
        </w:tc>
        <w:tc>
          <w:tcPr>
            <w:tcW w:w="84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Reconciliation of cash, cash equivalents and restricted cash to the consolidated balance sheets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84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98,398</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34,401</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 included in other current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 included in settlement assets</w:t>
            </w:r>
          </w:p>
        </w:tc>
        <w:tc>
          <w:tcPr>
            <w:tcW w:w="8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10,474</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84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125,315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46,878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21"/>
                <w:szCs w:val="21"/>
                <w:b w:val="1"/>
                <w:bCs w:val="1"/>
                <w:color w:val="auto"/>
                <w:w w:val="88"/>
              </w:rPr>
              <w:t>Expensify, Inc.</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c>
          <w:tcPr>
            <w:tcW w:w="0" w:type="dxa"/>
            <w:vAlign w:val="bottom"/>
          </w:tcPr>
          <w:p>
            <w:pPr>
              <w:spacing w:after="0"/>
              <w:rPr>
                <w:sz w:val="1"/>
                <w:szCs w:val="1"/>
                <w:color w:val="auto"/>
              </w:rPr>
            </w:pPr>
          </w:p>
        </w:tc>
      </w:tr>
      <w:tr>
        <w:trPr>
          <w:trHeight w:val="245"/>
        </w:trPr>
        <w:tc>
          <w:tcPr>
            <w:tcW w:w="4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420" w:type="dxa"/>
            <w:vAlign w:val="bottom"/>
            <w:gridSpan w:val="8"/>
          </w:tcPr>
          <w:p>
            <w:pPr>
              <w:jc w:val="center"/>
              <w:ind w:left="2753"/>
              <w:spacing w:after="0"/>
              <w:rPr>
                <w:sz w:val="20"/>
                <w:szCs w:val="20"/>
                <w:color w:val="auto"/>
              </w:rPr>
            </w:pPr>
            <w:r>
              <w:rPr>
                <w:rFonts w:ascii="Arial" w:cs="Arial" w:eastAsia="Arial" w:hAnsi="Arial"/>
                <w:sz w:val="21"/>
                <w:szCs w:val="21"/>
                <w:b w:val="1"/>
                <w:bCs w:val="1"/>
                <w:color w:val="auto"/>
                <w:w w:val="90"/>
              </w:rPr>
              <w:t>Reconciliation of GAAP to Non-GAAP Financial Measures</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220" w:type="dxa"/>
            <w:vAlign w:val="bottom"/>
          </w:tcPr>
          <w:p>
            <w:pPr>
              <w:spacing w:after="0"/>
              <w:rPr>
                <w:sz w:val="18"/>
                <w:szCs w:val="18"/>
                <w:color w:val="auto"/>
              </w:rPr>
            </w:pPr>
          </w:p>
        </w:tc>
        <w:tc>
          <w:tcPr>
            <w:tcW w:w="2600" w:type="dxa"/>
            <w:vAlign w:val="bottom"/>
            <w:gridSpan w:val="5"/>
          </w:tcPr>
          <w:p>
            <w:pPr>
              <w:jc w:val="center"/>
              <w:ind w:left="127"/>
              <w:spacing w:after="0"/>
              <w:rPr>
                <w:sz w:val="20"/>
                <w:szCs w:val="20"/>
                <w:color w:val="auto"/>
              </w:rPr>
            </w:pPr>
            <w:r>
              <w:rPr>
                <w:rFonts w:ascii="Arial" w:cs="Arial" w:eastAsia="Arial" w:hAnsi="Arial"/>
                <w:sz w:val="17"/>
                <w:szCs w:val="17"/>
                <w:color w:val="auto"/>
                <w:w w:val="90"/>
              </w:rPr>
              <w:t>(unaudited, in thousands)</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6"/>
        </w:trPr>
        <w:tc>
          <w:tcPr>
            <w:tcW w:w="4220" w:type="dxa"/>
            <w:vAlign w:val="bottom"/>
          </w:tcPr>
          <w:p>
            <w:pPr>
              <w:spacing w:after="0"/>
              <w:rPr>
                <w:sz w:val="20"/>
                <w:szCs w:val="20"/>
                <w:color w:val="auto"/>
              </w:rPr>
            </w:pPr>
            <w:r>
              <w:rPr>
                <w:rFonts w:ascii="Arial" w:cs="Arial" w:eastAsia="Arial" w:hAnsi="Arial"/>
                <w:sz w:val="17"/>
                <w:szCs w:val="17"/>
                <w:i w:val="1"/>
                <w:iCs w:val="1"/>
                <w:color w:val="auto"/>
              </w:rPr>
              <w:t>Adjusted EBITDA</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282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ind w:left="460"/>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16"/>
                <w:szCs w:val="16"/>
                <w:color w:val="auto"/>
              </w:rPr>
            </w:pPr>
          </w:p>
        </w:tc>
        <w:tc>
          <w:tcPr>
            <w:tcW w:w="282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85"/>
              </w:rPr>
              <w:t>(in thousands, except percentages)</w:t>
            </w:r>
          </w:p>
        </w:tc>
        <w:tc>
          <w:tcPr>
            <w:tcW w:w="0" w:type="dxa"/>
            <w:vAlign w:val="bottom"/>
          </w:tcPr>
          <w:p>
            <w:pPr>
              <w:spacing w:after="0"/>
              <w:rPr>
                <w:sz w:val="1"/>
                <w:szCs w:val="1"/>
                <w:color w:val="auto"/>
              </w:rPr>
            </w:pPr>
          </w:p>
        </w:tc>
      </w:tr>
      <w:tr>
        <w:trPr>
          <w:trHeight w:val="24"/>
        </w:trPr>
        <w:tc>
          <w:tcPr>
            <w:tcW w:w="42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(21,887)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1,742</w:t>
            </w:r>
          </w:p>
        </w:tc>
        <w:tc>
          <w:tcPr>
            <w:tcW w:w="42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9"/>
                <w:szCs w:val="19"/>
                <w:color w:val="auto"/>
                <w:w w:val="9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(13,558)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(1,710)</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7"/>
                <w:szCs w:val="17"/>
                <w:color w:val="auto"/>
              </w:rPr>
              <w:t>Add:</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provision for income taxes</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2,092</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4,662</w:t>
            </w:r>
          </w:p>
        </w:tc>
        <w:tc>
          <w:tcPr>
            <w:tcW w:w="0" w:type="dxa"/>
            <w:vAlign w:val="bottom"/>
          </w:tcPr>
          <w:p>
            <w:pPr>
              <w:spacing w:after="0"/>
              <w:rPr>
                <w:sz w:val="1"/>
                <w:szCs w:val="1"/>
                <w:color w:val="auto"/>
              </w:rPr>
            </w:pPr>
          </w:p>
        </w:tc>
      </w:tr>
      <w:tr>
        <w:trPr>
          <w:trHeight w:val="262"/>
        </w:trPr>
        <w:tc>
          <w:tcPr>
            <w:tcW w:w="4220" w:type="dxa"/>
            <w:vAlign w:val="bottom"/>
          </w:tcPr>
          <w:p>
            <w:pPr>
              <w:ind w:left="20"/>
              <w:spacing w:after="0"/>
              <w:rPr>
                <w:sz w:val="20"/>
                <w:szCs w:val="20"/>
                <w:color w:val="auto"/>
              </w:rPr>
            </w:pPr>
            <w:r>
              <w:rPr>
                <w:rFonts w:ascii="Arial" w:cs="Arial" w:eastAsia="Arial" w:hAnsi="Arial"/>
                <w:sz w:val="17"/>
                <w:szCs w:val="17"/>
                <w:color w:val="auto"/>
              </w:rPr>
              <w:t>Interest and other expenses, net</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920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558</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3,497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2,718</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895</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5,197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3,248</w:t>
            </w:r>
          </w:p>
        </w:tc>
        <w:tc>
          <w:tcPr>
            <w:tcW w:w="0" w:type="dxa"/>
            <w:vAlign w:val="bottom"/>
          </w:tcPr>
          <w:p>
            <w:pPr>
              <w:spacing w:after="0"/>
              <w:rPr>
                <w:sz w:val="1"/>
                <w:szCs w:val="1"/>
                <w:color w:val="auto"/>
              </w:rPr>
            </w:pPr>
          </w:p>
        </w:tc>
      </w:tr>
      <w:tr>
        <w:trPr>
          <w:trHeight w:val="262"/>
        </w:trPr>
        <w:tc>
          <w:tcPr>
            <w:tcW w:w="42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12,079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4,886</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14,574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17,837</w:t>
            </w:r>
          </w:p>
        </w:tc>
        <w:tc>
          <w:tcPr>
            <w:tcW w:w="0" w:type="dxa"/>
            <w:vAlign w:val="bottom"/>
          </w:tcPr>
          <w:p>
            <w:pPr>
              <w:spacing w:after="0"/>
              <w:rPr>
                <w:sz w:val="1"/>
                <w:szCs w:val="1"/>
                <w:color w:val="auto"/>
              </w:rPr>
            </w:pPr>
          </w:p>
        </w:tc>
      </w:tr>
      <w:tr>
        <w:trPr>
          <w:trHeight w:val="21"/>
        </w:trPr>
        <w:tc>
          <w:tcPr>
            <w:tcW w:w="4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10,173</w:t>
            </w:r>
          </w:p>
        </w:tc>
        <w:tc>
          <w:tcPr>
            <w:tcW w:w="420" w:type="dxa"/>
            <w:vAlign w:val="bottom"/>
            <w:shd w:val="clear" w:color="auto" w:fill="CCEEFF"/>
          </w:tcPr>
          <w:p>
            <w:pPr>
              <w:jc w:val="right"/>
              <w:ind w:right="206"/>
              <w:spacing w:after="0"/>
              <w:rPr>
                <w:sz w:val="20"/>
                <w:szCs w:val="20"/>
                <w:color w:val="auto"/>
              </w:rPr>
            </w:pPr>
            <w:r>
              <w:rPr>
                <w:rFonts w:ascii="Arial" w:cs="Arial" w:eastAsia="Arial" w:hAnsi="Arial"/>
                <w:sz w:val="19"/>
                <w:szCs w:val="19"/>
                <w:color w:val="auto"/>
                <w:w w:val="9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9,536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26,755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220" w:type="dxa"/>
            <w:vAlign w:val="bottom"/>
          </w:tcPr>
          <w:p>
            <w:pPr>
              <w:spacing w:after="0"/>
              <w:rPr>
                <w:sz w:val="20"/>
                <w:szCs w:val="20"/>
                <w:color w:val="auto"/>
              </w:rPr>
            </w:pPr>
            <w:r>
              <w:rPr>
                <w:rFonts w:ascii="Arial" w:cs="Arial" w:eastAsia="Arial" w:hAnsi="Arial"/>
                <w:sz w:val="17"/>
                <w:szCs w:val="17"/>
                <w:i w:val="1"/>
                <w:iCs w:val="1"/>
                <w:color w:val="auto"/>
              </w:rPr>
              <w:t>Adjusted EBITDA Excluding the IPO-Related Bonus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282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ind w:left="460"/>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16"/>
                <w:szCs w:val="16"/>
                <w:color w:val="auto"/>
              </w:rPr>
            </w:pPr>
          </w:p>
        </w:tc>
        <w:tc>
          <w:tcPr>
            <w:tcW w:w="282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85"/>
              </w:rPr>
              <w:t>(in thousands, except percentages)</w:t>
            </w:r>
          </w:p>
        </w:tc>
        <w:tc>
          <w:tcPr>
            <w:tcW w:w="0" w:type="dxa"/>
            <w:vAlign w:val="bottom"/>
          </w:tcPr>
          <w:p>
            <w:pPr>
              <w:spacing w:after="0"/>
              <w:rPr>
                <w:sz w:val="1"/>
                <w:szCs w:val="1"/>
                <w:color w:val="auto"/>
              </w:rPr>
            </w:pPr>
          </w:p>
        </w:tc>
      </w:tr>
      <w:tr>
        <w:trPr>
          <w:trHeight w:val="24"/>
        </w:trPr>
        <w:tc>
          <w:tcPr>
            <w:tcW w:w="42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(21,887)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1,742</w:t>
            </w:r>
          </w:p>
        </w:tc>
        <w:tc>
          <w:tcPr>
            <w:tcW w:w="42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9"/>
                <w:szCs w:val="19"/>
                <w:color w:val="auto"/>
                <w:w w:val="9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(13,558)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(1,710)</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7"/>
                <w:szCs w:val="17"/>
                <w:color w:val="auto"/>
              </w:rPr>
              <w:t>Add:</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provision for income taxes</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2,092</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4,662</w:t>
            </w:r>
          </w:p>
        </w:tc>
        <w:tc>
          <w:tcPr>
            <w:tcW w:w="0" w:type="dxa"/>
            <w:vAlign w:val="bottom"/>
          </w:tcPr>
          <w:p>
            <w:pPr>
              <w:spacing w:after="0"/>
              <w:rPr>
                <w:sz w:val="1"/>
                <w:szCs w:val="1"/>
                <w:color w:val="auto"/>
              </w:rPr>
            </w:pPr>
          </w:p>
        </w:tc>
      </w:tr>
      <w:tr>
        <w:trPr>
          <w:trHeight w:val="262"/>
        </w:trPr>
        <w:tc>
          <w:tcPr>
            <w:tcW w:w="4220" w:type="dxa"/>
            <w:vAlign w:val="bottom"/>
          </w:tcPr>
          <w:p>
            <w:pPr>
              <w:ind w:left="20"/>
              <w:spacing w:after="0"/>
              <w:rPr>
                <w:sz w:val="20"/>
                <w:szCs w:val="20"/>
                <w:color w:val="auto"/>
              </w:rPr>
            </w:pPr>
            <w:r>
              <w:rPr>
                <w:rFonts w:ascii="Arial" w:cs="Arial" w:eastAsia="Arial" w:hAnsi="Arial"/>
                <w:sz w:val="17"/>
                <w:szCs w:val="17"/>
                <w:color w:val="auto"/>
              </w:rPr>
              <w:t>Interest and other expenses, net</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920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558</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3,497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2,718</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895</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5,197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3,248</w:t>
            </w:r>
          </w:p>
        </w:tc>
        <w:tc>
          <w:tcPr>
            <w:tcW w:w="0" w:type="dxa"/>
            <w:vAlign w:val="bottom"/>
          </w:tcPr>
          <w:p>
            <w:pPr>
              <w:spacing w:after="0"/>
              <w:rPr>
                <w:sz w:val="1"/>
                <w:szCs w:val="1"/>
                <w:color w:val="auto"/>
              </w:rPr>
            </w:pPr>
          </w:p>
        </w:tc>
      </w:tr>
      <w:tr>
        <w:trPr>
          <w:trHeight w:val="262"/>
        </w:trPr>
        <w:tc>
          <w:tcPr>
            <w:tcW w:w="42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12,079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4,886</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14,574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17,837</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IPO-related bonus expense</w:t>
            </w: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14,190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48,416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6"/>
        </w:trPr>
        <w:tc>
          <w:tcPr>
            <w:tcW w:w="4220" w:type="dxa"/>
            <w:vAlign w:val="bottom"/>
          </w:tcPr>
          <w:p>
            <w:pPr>
              <w:ind w:left="20"/>
              <w:spacing w:after="0"/>
              <w:rPr>
                <w:sz w:val="20"/>
                <w:szCs w:val="20"/>
                <w:color w:val="auto"/>
              </w:rPr>
            </w:pPr>
            <w:r>
              <w:rPr>
                <w:rFonts w:ascii="Arial" w:cs="Arial" w:eastAsia="Arial" w:hAnsi="Arial"/>
                <w:sz w:val="17"/>
                <w:szCs w:val="17"/>
                <w:color w:val="auto"/>
              </w:rPr>
              <w:t xml:space="preserve">Adjusted EBITDA </w:t>
            </w:r>
            <w:r>
              <w:rPr>
                <w:rFonts w:ascii="Arial" w:cs="Arial" w:eastAsia="Arial" w:hAnsi="Arial"/>
                <w:sz w:val="17"/>
                <w:szCs w:val="17"/>
                <w:i w:val="1"/>
                <w:iCs w:val="1"/>
                <w:color w:val="auto"/>
              </w:rPr>
              <w:t>Excluding the IPO-Related Bonus</w:t>
            </w:r>
          </w:p>
        </w:tc>
        <w:tc>
          <w:tcPr>
            <w:tcW w:w="56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7,299</w:t>
            </w:r>
          </w:p>
        </w:tc>
        <w:tc>
          <w:tcPr>
            <w:tcW w:w="10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10,173</w:t>
            </w:r>
          </w:p>
        </w:tc>
        <w:tc>
          <w:tcPr>
            <w:tcW w:w="42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9"/>
                <w:szCs w:val="19"/>
                <w:color w:val="auto"/>
                <w:w w:val="9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57,952</w:t>
            </w:r>
          </w:p>
        </w:tc>
        <w:tc>
          <w:tcPr>
            <w:tcW w:w="10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26,755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220" w:type="dxa"/>
            <w:vAlign w:val="bottom"/>
          </w:tcPr>
          <w:p>
            <w:pPr>
              <w:spacing w:after="0"/>
              <w:rPr>
                <w:sz w:val="20"/>
                <w:szCs w:val="20"/>
                <w:color w:val="auto"/>
              </w:rPr>
            </w:pPr>
            <w:r>
              <w:rPr>
                <w:rFonts w:ascii="Arial" w:cs="Arial" w:eastAsia="Arial" w:hAnsi="Arial"/>
                <w:sz w:val="17"/>
                <w:szCs w:val="17"/>
                <w:i w:val="1"/>
                <w:iCs w:val="1"/>
                <w:color w:val="auto"/>
              </w:rPr>
              <w:t>Non-GAAP net income</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282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4"/>
        </w:trPr>
        <w:tc>
          <w:tcPr>
            <w:tcW w:w="42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(21,887)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1,742</w:t>
            </w:r>
          </w:p>
        </w:tc>
        <w:tc>
          <w:tcPr>
            <w:tcW w:w="42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9"/>
                <w:szCs w:val="19"/>
                <w:color w:val="auto"/>
                <w:w w:val="9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(13,558)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(1,710)</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7"/>
                <w:szCs w:val="17"/>
                <w:color w:val="auto"/>
              </w:rPr>
              <w:t>Add:</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12,079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4,886</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14,574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17,837</w:t>
            </w:r>
          </w:p>
        </w:tc>
        <w:tc>
          <w:tcPr>
            <w:tcW w:w="0" w:type="dxa"/>
            <w:vAlign w:val="bottom"/>
          </w:tcPr>
          <w:p>
            <w:pPr>
              <w:spacing w:after="0"/>
              <w:rPr>
                <w:sz w:val="1"/>
                <w:szCs w:val="1"/>
                <w:color w:val="auto"/>
              </w:rPr>
            </w:pPr>
          </w:p>
        </w:tc>
      </w:tr>
      <w:tr>
        <w:trPr>
          <w:trHeight w:val="262"/>
        </w:trPr>
        <w:tc>
          <w:tcPr>
            <w:tcW w:w="4220" w:type="dxa"/>
            <w:vAlign w:val="bottom"/>
          </w:tcPr>
          <w:p>
            <w:pPr>
              <w:ind w:left="20"/>
              <w:spacing w:after="0"/>
              <w:rPr>
                <w:sz w:val="20"/>
                <w:szCs w:val="20"/>
                <w:color w:val="auto"/>
              </w:rPr>
            </w:pPr>
            <w:r>
              <w:rPr>
                <w:rFonts w:ascii="Arial" w:cs="Arial" w:eastAsia="Arial" w:hAnsi="Arial"/>
                <w:sz w:val="17"/>
                <w:szCs w:val="17"/>
                <w:color w:val="auto"/>
              </w:rPr>
              <w:t>IPO-related bonus expense</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14,190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48,416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
        </w:trPr>
        <w:tc>
          <w:tcPr>
            <w:tcW w:w="4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Non-GAAP 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6,628</w:t>
            </w:r>
          </w:p>
        </w:tc>
        <w:tc>
          <w:tcPr>
            <w:tcW w:w="420" w:type="dxa"/>
            <w:vAlign w:val="bottom"/>
            <w:shd w:val="clear" w:color="auto" w:fill="CCEEFF"/>
          </w:tcPr>
          <w:p>
            <w:pPr>
              <w:jc w:val="right"/>
              <w:ind w:right="206"/>
              <w:spacing w:after="0"/>
              <w:rPr>
                <w:sz w:val="20"/>
                <w:szCs w:val="20"/>
                <w:color w:val="auto"/>
              </w:rPr>
            </w:pPr>
            <w:r>
              <w:rPr>
                <w:rFonts w:ascii="Arial" w:cs="Arial" w:eastAsia="Arial" w:hAnsi="Arial"/>
                <w:sz w:val="19"/>
                <w:szCs w:val="19"/>
                <w:color w:val="auto"/>
                <w:w w:val="9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49,432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6"/>
              <w:spacing w:after="0"/>
              <w:rPr>
                <w:sz w:val="20"/>
                <w:szCs w:val="20"/>
                <w:color w:val="auto"/>
              </w:rPr>
            </w:pPr>
            <w:r>
              <w:rPr>
                <w:rFonts w:ascii="Arial" w:cs="Arial" w:eastAsia="Arial" w:hAnsi="Arial"/>
                <w:sz w:val="19"/>
                <w:szCs w:val="19"/>
                <w:color w:val="auto"/>
                <w:w w:val="7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16,127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2022-03-31T06:15:16Z</dcterms:created>
  <dcterms:modified xsi:type="dcterms:W3CDTF">2022-03-31T06:15:16Z</dcterms:modified>
</cp:coreProperties>
</file>