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0001970717</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4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24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24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24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4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6"/>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note 2(a) in Remarks below</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 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w:t>
      </w:r>
      <w:r>
        <w:rPr>
          <w:sz w:val="20"/>
          <w:szCs w:val="20"/>
          <w:color w:val="auto"/>
        </w:rPr>
        <w:tab/>
      </w:r>
      <w:r>
        <w:rPr>
          <w:rFonts w:ascii="Times New Roman" w:cs="Times New Roman" w:eastAsia="Times New Roman" w:hAnsi="Times New Roman"/>
          <w:sz w:val="21"/>
          <w:szCs w:val="21"/>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376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6"/>
                <w:szCs w:val="16"/>
                <w:b w:val="1"/>
                <w:bCs w:val="1"/>
                <w:color w:val="auto"/>
              </w:rPr>
              <w:t>Other Units Market Value 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567191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1400961.77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6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Expensify, Inc.</w:t>
            </w:r>
          </w:p>
        </w:tc>
        <w:tc>
          <w:tcPr>
            <w:tcW w:w="274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567191</w:t>
            </w:r>
          </w:p>
        </w:tc>
        <w:tc>
          <w:tcPr>
            <w:tcW w:w="26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7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11/30/2023 7391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17812.31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09/13/2023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09/11/2023 66667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258667.96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09/08/2023 263333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1042798.68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Note for 2(a): The person for whose account the securities are to be sold is a manager-managed limited liability company, Barrett Trust LLC. The investment and voting decisions of Barrett Trust LLC are made by its manager, David Barrett, and its controlling member is the Barrett Family Trust, for which David Barrett serves as trustee. David Barrett is Chief Executive Officer and a director of the issuer. Note for 3(e): As of November 3, 2023, as stated in Issuer's quarterly report on Form 10-Q for the quarterly period ending September 30,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12/08/2023</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2023-12-08T13:09:11Z</dcterms:created>
  <dcterms:modified xsi:type="dcterms:W3CDTF">2023-12-08T13:09:11Z</dcterms:modified>
</cp:coreProperties>
</file>