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44"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2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51"/>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58"/>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56"/>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27"/>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spacing w:after="0"/>
              <w:rPr>
                <w:sz w:val="19"/>
                <w:szCs w:val="19"/>
                <w:color w:val="auto"/>
              </w:rPr>
            </w:pPr>
          </w:p>
        </w:tc>
      </w:tr>
      <w:tr>
        <w:trPr>
          <w:trHeight w:val="232"/>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(971) 365-3939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0"/>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29"/>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17"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color w:val="auto"/>
        </w:rPr>
        <w:t>that the registrant was required to file such reports), and (2) has been subject to such filing requirements for the past 90 days. Yes x No o</w:t>
      </w:r>
    </w:p>
    <w:p>
      <w:pPr>
        <w:spacing w:after="0" w:line="117"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34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660"/>
              <w:spacing w:after="0"/>
              <w:rPr>
                <w:sz w:val="20"/>
                <w:szCs w:val="20"/>
                <w:color w:val="auto"/>
              </w:rPr>
            </w:pPr>
            <w:r>
              <w:rPr>
                <w:rFonts w:ascii="Arial" w:cs="Arial" w:eastAsia="Arial" w:hAnsi="Arial"/>
                <w:sz w:val="18"/>
                <w:szCs w:val="18"/>
                <w:color w:val="auto"/>
              </w:rPr>
              <w:t>x</w:t>
            </w: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30"/>
        </w:trPr>
        <w:tc>
          <w:tcPr>
            <w:tcW w:w="34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5460" w:type="dxa"/>
            <w:vAlign w:val="bottom"/>
          </w:tcPr>
          <w:p>
            <w:pPr>
              <w:ind w:left="160"/>
              <w:spacing w:after="0" w:line="130" w:lineRule="exact"/>
              <w:rPr>
                <w:sz w:val="20"/>
                <w:szCs w:val="20"/>
                <w:color w:val="auto"/>
              </w:rPr>
            </w:pPr>
            <w:r>
              <w:rPr>
                <w:rFonts w:ascii="Arial" w:cs="Arial" w:eastAsia="Arial" w:hAnsi="Arial"/>
                <w:sz w:val="15"/>
                <w:szCs w:val="15"/>
                <w:color w:val="auto"/>
              </w:rPr>
              <w:t>Accelerated filer</w:t>
            </w:r>
          </w:p>
        </w:tc>
        <w:tc>
          <w:tcPr>
            <w:tcW w:w="0" w:type="dxa"/>
            <w:vAlign w:val="bottom"/>
          </w:tcPr>
          <w:p>
            <w:pPr>
              <w:spacing w:after="0"/>
              <w:rPr>
                <w:sz w:val="1"/>
                <w:szCs w:val="1"/>
                <w:color w:val="auto"/>
              </w:rPr>
            </w:pPr>
          </w:p>
        </w:tc>
      </w:tr>
      <w:tr>
        <w:trPr>
          <w:trHeight w:val="221"/>
        </w:trPr>
        <w:tc>
          <w:tcPr>
            <w:tcW w:w="34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8"/>
        </w:trPr>
        <w:tc>
          <w:tcPr>
            <w:tcW w:w="34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5460" w:type="dxa"/>
            <w:vAlign w:val="bottom"/>
          </w:tcPr>
          <w:p>
            <w:pPr>
              <w:ind w:left="160"/>
              <w:spacing w:after="0" w:line="198"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21"/>
        </w:trPr>
        <w:tc>
          <w:tcPr>
            <w:tcW w:w="3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bl>
    <w:p>
      <w:pPr>
        <w:spacing w:after="0" w:line="190" w:lineRule="exact"/>
        <w:rPr>
          <w:sz w:val="24"/>
          <w:szCs w:val="24"/>
          <w:color w:val="auto"/>
        </w:rPr>
      </w:pPr>
    </w:p>
    <w:p>
      <w:pPr>
        <w:ind w:right="200"/>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1440"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Yes o No x</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registrant had outstanding 69,194,671 shares of Class A common stock, par value of $0.0001 per share, 7,333,619 shares of LT10 common stock, par value $0.0001 per share, and 7,207,428 shares of LT50 common stock, par value $0.0001 per share, as of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9680" w:type="dxa"/>
            <w:vAlign w:val="bottom"/>
            <w:gridSpan w:val="21"/>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15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9680" w:type="dxa"/>
            <w:vAlign w:val="bottom"/>
            <w:gridSpan w:val="21"/>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1820" w:type="dxa"/>
            <w:vAlign w:val="bottom"/>
            <w:tcBorders>
              <w:top w:val="single" w:sz="8" w:color="0000FF"/>
            </w:tcBorders>
            <w:gridSpan w:val="6"/>
          </w:tcPr>
          <w:p>
            <w:pPr>
              <w:spacing w:after="0"/>
              <w:rPr>
                <w:sz w:val="24"/>
                <w:szCs w:val="24"/>
                <w:color w:val="auto"/>
              </w:rPr>
            </w:pPr>
          </w:p>
        </w:tc>
        <w:tc>
          <w:tcPr>
            <w:tcW w:w="5420" w:type="dxa"/>
            <w:vAlign w:val="bottom"/>
            <w:gridSpan w:val="10"/>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37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Financial Statements</w:t>
            </w:r>
          </w:p>
        </w:tc>
        <w:tc>
          <w:tcPr>
            <w:tcW w:w="4720" w:type="dxa"/>
            <w:vAlign w:val="bottom"/>
            <w:gridSpan w:val="8"/>
          </w:tcPr>
          <w:p>
            <w:pPr>
              <w:spacing w:after="0"/>
              <w:rPr>
                <w:sz w:val="18"/>
                <w:szCs w:val="18"/>
                <w:color w:val="auto"/>
              </w:rPr>
            </w:pPr>
          </w:p>
        </w:tc>
        <w:tc>
          <w:tcPr>
            <w:tcW w:w="1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20" w:type="dxa"/>
            <w:vAlign w:val="bottom"/>
            <w:gridSpan w:val="3"/>
          </w:tcPr>
          <w:p>
            <w:pPr>
              <w:spacing w:after="0"/>
              <w:rPr>
                <w:sz w:val="18"/>
                <w:szCs w:val="18"/>
                <w:color w:val="auto"/>
              </w:rPr>
            </w:pPr>
          </w:p>
        </w:tc>
        <w:tc>
          <w:tcPr>
            <w:tcW w:w="1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480" w:type="dxa"/>
            <w:vAlign w:val="bottom"/>
            <w:gridSpan w:val="12"/>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479"/>
        </w:trPr>
        <w:tc>
          <w:tcPr>
            <w:tcW w:w="9680" w:type="dxa"/>
            <w:vAlign w:val="bottom"/>
            <w:gridSpan w:val="21"/>
          </w:tcPr>
          <w:p>
            <w:pPr>
              <w:spacing w:after="0"/>
              <w:rPr>
                <w:sz w:val="20"/>
                <w:szCs w:val="20"/>
                <w:color w:val="auto"/>
              </w:rPr>
            </w:pPr>
            <w:r>
              <w:rPr>
                <w:rFonts w:ascii="Arial" w:cs="Arial" w:eastAsia="Arial" w:hAnsi="Arial"/>
                <w:sz w:val="18"/>
                <w:szCs w:val="18"/>
                <w:b w:val="1"/>
                <w:bCs w:val="1"/>
                <w:color w:val="0000FF"/>
              </w:rPr>
              <w:t>Part II - Other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6980" w:type="dxa"/>
            <w:vAlign w:val="bottom"/>
            <w:gridSpan w:val="14"/>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4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5420" w:type="dxa"/>
            <w:vAlign w:val="bottom"/>
            <w:tcBorders>
              <w:top w:val="single" w:sz="8" w:color="0000FF"/>
            </w:tcBorders>
            <w:gridSpan w:val="10"/>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54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4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5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18"/>
                <w:szCs w:val="18"/>
                <w:color w:val="auto"/>
              </w:rPr>
            </w:pPr>
          </w:p>
        </w:tc>
        <w:tc>
          <w:tcPr>
            <w:tcW w:w="7080" w:type="dxa"/>
            <w:vAlign w:val="bottom"/>
            <w:gridSpan w:val="15"/>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Signatures</w:t>
            </w:r>
          </w:p>
        </w:tc>
        <w:tc>
          <w:tcPr>
            <w:tcW w:w="7500" w:type="dxa"/>
            <w:vAlign w:val="bottom"/>
            <w:gridSpan w:val="17"/>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strategies,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400" w:hanging="332"/>
        <w:spacing w:after="0" w:line="27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92" w:lineRule="exact"/>
        <w:rPr>
          <w:rFonts w:ascii="Arial" w:cs="Arial" w:eastAsia="Arial" w:hAnsi="Arial"/>
          <w:sz w:val="18"/>
          <w:szCs w:val="18"/>
          <w:color w:val="auto"/>
        </w:rPr>
      </w:pPr>
    </w:p>
    <w:p>
      <w:pPr>
        <w:ind w:left="340" w:right="300" w:hanging="332"/>
        <w:spacing w:after="0" w:line="27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06" w:lineRule="exact"/>
        <w:rPr>
          <w:rFonts w:ascii="Arial" w:cs="Arial" w:eastAsia="Arial" w:hAnsi="Arial"/>
          <w:sz w:val="18"/>
          <w:szCs w:val="18"/>
          <w:color w:val="auto"/>
        </w:rPr>
      </w:pPr>
    </w:p>
    <w:p>
      <w:pPr>
        <w:ind w:left="340" w:right="520" w:hanging="332"/>
        <w:spacing w:after="0" w:line="27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306"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6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escalating conflict in Israel, Gaza and surrounding areas;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7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40" w:right="820" w:hanging="332"/>
        <w:spacing w:after="0" w:line="27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Item 1A. “Risk Factors” in our Annual Report on Form 10-K for the year ended December 31, 2022.</w:t>
      </w:r>
    </w:p>
    <w:p>
      <w:pPr>
        <w:spacing w:after="0" w:line="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2022,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Pr>
          <w:p>
            <w:pPr>
              <w:spacing w:after="0"/>
              <w:rPr>
                <w:sz w:val="17"/>
                <w:szCs w:val="17"/>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89,118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103,787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16,448</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42,930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35,838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187,115</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14,492</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9,070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line of credit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33,882</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60,362</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debt, net of original issue discount and debt issuance costs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51,434</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117,258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113,000</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4)</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par value $0.0001; 10,000,000 shares of preferred stock authorized as of September 30, 2023 and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20" w:type="dxa"/>
            <w:vAlign w:val="bottom"/>
          </w:tcPr>
          <w:p>
            <w:pPr>
              <w:ind w:left="180"/>
              <w:spacing w:after="0" w:line="143" w:lineRule="exact"/>
              <w:rPr>
                <w:sz w:val="20"/>
                <w:szCs w:val="20"/>
                <w:color w:val="auto"/>
              </w:rPr>
            </w:pPr>
            <w:r>
              <w:rPr>
                <w:rFonts w:ascii="Arial" w:cs="Arial" w:eastAsia="Arial" w:hAnsi="Arial"/>
                <w:sz w:val="14"/>
                <w:szCs w:val="14"/>
                <w:color w:val="auto"/>
              </w:rPr>
              <w:t>December 31, 2022; no shares of preferred stock issued and outstanding as of September 30, 2023 and December 31,</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20" w:type="dxa"/>
            <w:vAlign w:val="bottom"/>
          </w:tcPr>
          <w:p>
            <w:pPr>
              <w:ind w:left="180"/>
              <w:spacing w:after="0"/>
              <w:rPr>
                <w:sz w:val="20"/>
                <w:szCs w:val="20"/>
                <w:color w:val="auto"/>
              </w:rPr>
            </w:pPr>
            <w:r>
              <w:rPr>
                <w:rFonts w:ascii="Arial" w:cs="Arial" w:eastAsia="Arial" w:hAnsi="Arial"/>
                <w:sz w:val="14"/>
                <w:szCs w:val="14"/>
                <w:color w:val="auto"/>
              </w:rPr>
              <w:t>2022</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Common stock, par value $0.0001; 1,000,000,000 shares of Class A common stock authorized as of September 30, 2023</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02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and December 31, 2022; 69,158,181 and 68,238,245 shares of Class A common stock issued and outstanding as of</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September 30, 2023 and December 31, 2022, respectively; 24,994,989 and 24,997,561 shares of LT10 common stock</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2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authorized as of September 30, 2023 and December 31, 2022, respectively; 7,333,619 and 7,336,191 shares of LT10</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2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common stock issued and outstanding as of September 30, 2023 and December 31, 2022, respectively; 24,998,941 and</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24,999,020 shares of LT50 common stock authorized as of September 30, 2023 and December 31, 2022, respectively;</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2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7,207,428 and 6,854,931 shares of LT50 common stock issued and outstanding as of September 30, 2023 and</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2022, respectively</w:t>
            </w:r>
          </w:p>
        </w:tc>
        <w:tc>
          <w:tcPr>
            <w:tcW w:w="3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228,618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194,807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(97,573)</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95,056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97,241</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45,335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93,994</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82,469,190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82,085,508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80,523,557</w:t>
            </w: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31115</wp:posOffset>
            </wp:positionV>
            <wp:extent cx="7054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32320" cy="262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spacing w:after="0"/>
              <w:rPr>
                <w:sz w:val="20"/>
                <w:szCs w:val="20"/>
                <w:color w:val="auto"/>
              </w:rPr>
            </w:pPr>
            <w:r>
              <w:rPr>
                <w:rFonts w:ascii="Arial" w:cs="Arial" w:eastAsia="Arial" w:hAnsi="Arial"/>
                <w:sz w:val="16"/>
                <w:szCs w:val="16"/>
                <w:color w:val="auto"/>
              </w:rPr>
              <w:t>82,776,491</w:t>
            </w:r>
          </w:p>
        </w:tc>
        <w:tc>
          <w:tcPr>
            <w:tcW w:w="8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216,422</w:t>
            </w:r>
          </w:p>
        </w:tc>
        <w:tc>
          <w:tcPr>
            <w:tcW w:w="8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(116,566)</w:t>
            </w:r>
          </w:p>
        </w:tc>
        <w:tc>
          <w:tcPr>
            <w:tcW w:w="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99,863</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97,033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4,221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(1,328)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648,729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231,018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(56,936)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11,087</w:t>
            </w: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(17,003)</w:t>
            </w: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83,699,228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228,618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(133,569)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95,056</w:t>
            </w: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232410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32320" cy="2623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spacing w:after="0"/>
              <w:rPr>
                <w:sz w:val="20"/>
                <w:szCs w:val="20"/>
                <w:color w:val="auto"/>
              </w:rPr>
            </w:pPr>
            <w:r>
              <w:rPr>
                <w:rFonts w:ascii="Arial" w:cs="Arial" w:eastAsia="Arial" w:hAnsi="Arial"/>
                <w:sz w:val="16"/>
                <w:szCs w:val="16"/>
                <w:color w:val="auto"/>
              </w:rPr>
              <w:t>81,773,016</w:t>
            </w:r>
          </w:p>
        </w:tc>
        <w:tc>
          <w:tcPr>
            <w:tcW w:w="8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173,961</w:t>
            </w:r>
          </w:p>
        </w:tc>
        <w:tc>
          <w:tcPr>
            <w:tcW w:w="8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(81,276)</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92,691</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99,664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3,939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(3,859)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80,424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1,235</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1,020,109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(329,024)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(4,162)</w:t>
            </w: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(8,242)</w:t>
            </w: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82,644,269</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185,326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(89,518)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95,815</w:t>
            </w: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32320" cy="2760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Nine months ended September 30, 2023</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0"/>
        </w:trPr>
        <w:tc>
          <w:tcPr>
            <w:tcW w:w="31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06"/>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97,241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199,898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9,529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1,090,571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738,171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(261,164)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(504,493)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32,831</w:t>
            </w:r>
          </w:p>
        </w:tc>
        <w:tc>
          <w:tcPr>
            <w:tcW w:w="0" w:type="dxa"/>
            <w:vAlign w:val="bottom"/>
          </w:tcPr>
          <w:p>
            <w:pPr>
              <w:spacing w:after="0"/>
              <w:rPr>
                <w:sz w:val="1"/>
                <w:szCs w:val="1"/>
                <w:color w:val="auto"/>
              </w:rPr>
            </w:pP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(34,252)</w:t>
            </w:r>
          </w:p>
        </w:tc>
        <w:tc>
          <w:tcPr>
            <w:tcW w:w="0" w:type="dxa"/>
            <w:vAlign w:val="bottom"/>
          </w:tcPr>
          <w:p>
            <w:pPr>
              <w:spacing w:after="0"/>
              <w:rPr>
                <w:sz w:val="1"/>
                <w:szCs w:val="1"/>
                <w:color w:val="auto"/>
              </w:rPr>
            </w:pP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83,699,228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228,618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95,056</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32320" cy="2520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Nine months ended September 30, 2022</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0"/>
        </w:trPr>
        <w:tc>
          <w:tcPr>
            <w:tcW w:w="31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2021</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Repurchase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September 30,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06"/>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406,739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10,568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(16,929)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151,946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1,020,109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(329,024)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42,886</w:t>
            </w:r>
          </w:p>
        </w:tc>
        <w:tc>
          <w:tcPr>
            <w:tcW w:w="0" w:type="dxa"/>
            <w:vAlign w:val="bottom"/>
          </w:tcPr>
          <w:p>
            <w:pPr>
              <w:spacing w:after="0"/>
              <w:rPr>
                <w:sz w:val="1"/>
                <w:szCs w:val="1"/>
                <w:color w:val="auto"/>
              </w:rPr>
            </w:pP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6"/>
                <w:szCs w:val="16"/>
                <w:color w:val="auto"/>
              </w:rPr>
              <w:t>(23,612)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(23,612)</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82,644,269</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185,326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(89,518)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95,815</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Pr>
          <w:p>
            <w:pPr>
              <w:spacing w:after="0"/>
              <w:rPr>
                <w:sz w:val="15"/>
                <w:szCs w:val="15"/>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0" w:lineRule="exact"/>
              <w:rPr>
                <w:sz w:val="20"/>
                <w:szCs w:val="20"/>
                <w:color w:val="auto"/>
              </w:rPr>
            </w:pPr>
            <w:r>
              <w:rPr>
                <w:rFonts w:ascii="Arial" w:cs="Arial" w:eastAsia="Arial" w:hAnsi="Arial"/>
                <w:sz w:val="13"/>
                <w:szCs w:val="13"/>
                <w:color w:val="auto"/>
              </w:rPr>
              <w:t>Cash flows from operating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(34,252)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(23,612)</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30,612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41,793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issue discount and 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(1,016)</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(10,096)</w:t>
            </w:r>
          </w:p>
        </w:tc>
        <w:tc>
          <w:tcPr>
            <w:tcW w:w="0" w:type="dxa"/>
            <w:vAlign w:val="bottom"/>
          </w:tcPr>
          <w:p>
            <w:pPr>
              <w:spacing w:after="0"/>
              <w:rPr>
                <w:sz w:val="1"/>
                <w:szCs w:val="1"/>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3,672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1,738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Related party loan receivable</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(1,861)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Operating lease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14,703</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2,102</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26,229</w:t>
            </w: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0" w:lineRule="exact"/>
              <w:rPr>
                <w:sz w:val="20"/>
                <w:szCs w:val="20"/>
                <w:color w:val="auto"/>
              </w:rPr>
            </w:pPr>
            <w:r>
              <w:rPr>
                <w:rFonts w:ascii="Arial" w:cs="Arial" w:eastAsia="Arial" w:hAnsi="Arial"/>
                <w:sz w:val="13"/>
                <w:szCs w:val="13"/>
                <w:color w:val="auto"/>
              </w:rPr>
              <w:t>Cash flows from investing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Software development costs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(4,833)</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0" w:lineRule="exact"/>
              <w:rPr>
                <w:sz w:val="20"/>
                <w:szCs w:val="20"/>
                <w:color w:val="auto"/>
              </w:rPr>
            </w:pPr>
            <w:r>
              <w:rPr>
                <w:rFonts w:ascii="Arial" w:cs="Arial" w:eastAsia="Arial" w:hAnsi="Arial"/>
                <w:sz w:val="13"/>
                <w:szCs w:val="13"/>
                <w:color w:val="auto"/>
              </w:rPr>
              <w:t>Cash flows from financing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finance leases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Principal payments of outstanding debt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(8,450)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3,132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employee taxes withheld from stock-based awards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(4,172)</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(10,371)</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22,754</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147,710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125,315</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134,608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148,069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3,104</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items: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capitalized as software development costs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2,219</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acquired through operating leases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Right-of-use assets acquired through finance leases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Reconciliation of cash and cash equivalents and restricted cash to the Condensed Consolidated Balance Sheets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89,118</w:t>
            </w:r>
          </w:p>
        </w:tc>
        <w:tc>
          <w:tcPr>
            <w:tcW w:w="100" w:type="dxa"/>
            <w:vAlign w:val="bottom"/>
          </w:tcPr>
          <w:p>
            <w:pPr>
              <w:spacing w:after="0"/>
              <w:rPr>
                <w:sz w:val="14"/>
                <w:szCs w:val="14"/>
                <w:color w:val="auto"/>
              </w:rPr>
            </w:pPr>
          </w:p>
        </w:tc>
        <w:tc>
          <w:tcPr>
            <w:tcW w:w="1020" w:type="dxa"/>
            <w:vAlign w:val="bottom"/>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106,212</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23,398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16,255</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included in settlement assets, net</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22,092</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25,602</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134,608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148,069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1 – GENERAL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("SMBs") and enterprises on a per-active-member basis.</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6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accompanying condensed consolidated financial statements include the accounts of Expensify and its wholly-owned subsidiaries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2022 ("2022 Annual Report").</w:t>
      </w:r>
    </w:p>
    <w:p>
      <w:pPr>
        <w:spacing w:after="0" w:line="12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Results of operations for the three and nine months ended September 30, 2023 are not necessarily indicative of the results that may be expected for the year ending December 31, 2023 or for any other future annual or interim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estimates and assumptions by management affect the Company’s classification of employee and employee-related expenses, the useful lives and recoverability of long-lived assets, income taxes, capitalization of internal-use software costs, stock-based compensation and the Company's incremental borrowing rate utilized to measure its lease right-of-use ("ROU")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significant accounting policies are discussed in Note 2 of the 2022 Annual Report. Since the date the 2022 Annual Report was filed with the SEC, there have been no material changes to the Company's significant accounting policies, including the status of recent accounting pronouncements adopted, other than those detailed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with subsequent ASUs issued that clarify</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(collectively, "Topic 326"). Topic 326 requires an entity to utilize a new impairment model known as the current expected credit loss ("CECL") model to estimate its “lifetime expected credit losses" using a forward-looking approach and to record an allowance that, when deducted from the amortized cost basis of the financial asset, presents the net amount expected to be collected on the financial asset. The CECL model is expected to result in more timely recognition of credit losses. Topic 326 also requires new disclosures for financial assets measured at amortized cost, loans and available-for-sale debt securities.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no longer qualifying as an emerging growth company as of December 31, 2022, the Company was required to adopt Topic 326 retroactive to January 1, 2022. The Company was not required to amend quarterly filings issued subsequent to January 1, 2022 in which the Company filed under the legacy credit loss guidance of Accounting Standards Codification ("ASC") Topic 310. As such, the 2022 Annual Report was the first period under which the Company reported credit loss estimates in accordance with Topic 326. The adoption of Topic 326 did not have a material impact on the Company's financial position or results of operations as of and for the three and nine months ended September 30, 2022.</w:t>
      </w:r>
    </w:p>
    <w:p>
      <w:pPr>
        <w:spacing w:after="0" w:line="9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NOTE 2 - REVENUE AND CERTAIN STATEMENT OF OPERATIONS COMPONENTS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region, based on billing address,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114,862</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offers a cashback rewards program to all Expensify Card customers based on volume of Expensify Card transactions and Software as a Service ("SaaS") subscription tier. Cashback rewards are earned on a monthly basis and paid out the following month. The Company considers the cashback payments to customers as consideration payable to a customer and it is recorded as a reduction to Revenue within the Condensed Consolidated Statements of Operations. Cashback rewards for the three months ended September 30, 2023 and 2022 was $ 1.8 million and $0.8 million, respectively. Cashback rewards for the nine months ended September 30, 2023 and 2022 was $4.8 million and $2.0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6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receives consideration from a vendor for monetizing Expensify Card activities. This consideration, net of credit card processing fees paid to the vendor, is included as a reduction to Cost of revenue, net within the Condensed Consolidated Statements of Operations. Consideration from a vendor, net for the three months ended September 30, 2023 and 2022 was $2.8 million and $1.7 million, respectively. Consideration from a vendor, net for the nine months ended September 30, 2023 and 2022 was $7.3 million and $4.4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3 - CERTAIN BALANCE SHEET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escrow and other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Expensify Payments LLC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$0.8 million and $0.6 million for the three months ended September 30, 2023 and 2022, respectively. Amortization expense was $2.3 million and $2.0 million for the nine months ended September 30,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Interest and other expenses, net on the Condensed Consolidated Statements of Operations. Depreciation expense related to property and equipment for the three months ended September 30, 2023 and 2022 was $0.2 million and $0.5 million, respectively. Depreciation expense related to property and equipment for the nine months ended September 30, 2023 and 2022 was $1.1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11"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26035</wp:posOffset>
            </wp:positionV>
            <wp:extent cx="1003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26035</wp:posOffset>
            </wp:positionV>
            <wp:extent cx="1003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2022</w:t>
      </w:r>
    </w:p>
    <w:p>
      <w:pPr>
        <w:spacing w:after="0" w:line="39" w:lineRule="exact"/>
        <w:rPr>
          <w:sz w:val="20"/>
          <w:szCs w:val="20"/>
          <w:color w:val="auto"/>
        </w:rPr>
      </w:pPr>
    </w:p>
    <w:p>
      <w:pPr>
        <w:sectPr>
          <w:pgSz w:w="11900" w:h="16838" w:orient="portrait"/>
          <w:cols w:equalWidth="0" w:num="2">
            <w:col w:w="9460" w:space="320"/>
            <w:col w:w="14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payroll liability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 reports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payable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Hosting and license fees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4 -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6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nine months ended September 30, 2023, the Company entered into four operating lease agreements and renewed its finance lease. The components of lease cost reflected in the Condensed Consolidated Statements of Operations for all leases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26035</wp:posOffset>
            </wp:positionV>
            <wp:extent cx="10801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5"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26035</wp:posOffset>
            </wp:positionV>
            <wp:extent cx="1089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2022</w:t>
      </w:r>
    </w:p>
    <w:p>
      <w:pPr>
        <w:spacing w:after="0" w:line="39" w:lineRule="exact"/>
        <w:rPr>
          <w:sz w:val="20"/>
          <w:szCs w:val="20"/>
          <w:color w:val="auto"/>
        </w:rPr>
      </w:pPr>
    </w:p>
    <w:p>
      <w:pPr>
        <w:sectPr>
          <w:pgSz w:w="11900" w:h="16838" w:orient="portrait"/>
          <w:cols w:equalWidth="0" w:num="2">
            <w:col w:w="9280" w:space="440"/>
            <w:col w:w="15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398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284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5.30 %</w:t>
            </w: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spacing w:after="0"/>
              <w:rPr>
                <w:sz w:val="15"/>
                <w:szCs w:val="15"/>
                <w:color w:val="auto"/>
              </w:rPr>
            </w:pPr>
          </w:p>
        </w:tc>
      </w:tr>
      <w:tr>
        <w:trPr>
          <w:trHeight w:val="201"/>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center"/>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color w:val="auto"/>
              </w:rPr>
              <w:t>Maturities of lease liabilities as of September 30, 2023 were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7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(3,135)</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6,233</w:t>
            </w:r>
          </w:p>
        </w:tc>
      </w:tr>
      <w:tr>
        <w:trPr>
          <w:trHeight w:val="21"/>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due each month over a five-year period. Interest accrues at a fixed rate of 5.00% per year until August 2024, at which point the remaining outstanding principal balance on the amortizing term mortgage is due in full. The borrowings are secured by the building. The outstanding balance of the amortizing term mortgage was $7.7 million and $7.8 million as of September 30, 2023 and December 31, 2022,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68" w:lineRule="exact"/>
        <w:rPr>
          <w:sz w:val="20"/>
          <w:szCs w:val="20"/>
          <w:color w:val="auto"/>
        </w:rPr>
      </w:pPr>
    </w:p>
    <w:p>
      <w:pPr>
        <w:ind w:right="640"/>
        <w:spacing w:after="0" w:line="257" w:lineRule="auto"/>
        <w:rPr>
          <w:sz w:val="20"/>
          <w:szCs w:val="20"/>
          <w:color w:val="auto"/>
        </w:rPr>
      </w:pPr>
      <w:r>
        <w:rPr>
          <w:rFonts w:ascii="Arial" w:cs="Arial" w:eastAsia="Arial" w:hAnsi="Arial"/>
          <w:sz w:val="18"/>
          <w:szCs w:val="18"/>
          <w:color w:val="auto"/>
        </w:rPr>
        <w:t>In September 2021, the Company amended and restated its loan and security agreement with CIBC ("2021 Amended Term Loan") to refinance the existing non-amortizing and amortizing term loans, establish a single term loan of up to $75.0 million, consisting of a</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the Company's normal business operations.</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the 2021 Amended Term Loan, the initial term loan of $45.0 million is payable over a 60-month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w:t>
      </w:r>
    </w:p>
    <w:p>
      <w:pPr>
        <w:spacing w:after="0" w:line="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2.25% (10.75% as of September 30, 2023) beginning on September 30, 2021 and continuing on a quarterly basis through maturity of the term loan. The borrowings are secured by substantially all the Company’s assets. As of September 30, 2023 and December 31, 2022, the outstanding balance of the term loan was $36.1 million and $44.5 million, respectively.</w:t>
      </w:r>
    </w:p>
    <w:p>
      <w:pPr>
        <w:spacing w:after="0" w:line="10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nine months ended September 30, 2023, the Company made a prepayment of $8.0 million of the 2021 Amended Term Loan. As a result of this prepayment, the Company recorded an immaterial amount of loss on extinguishment within Interest and other expenses, net.</w:t>
      </w:r>
    </w:p>
    <w:p>
      <w:pPr>
        <w:spacing w:after="0" w:line="106" w:lineRule="exact"/>
        <w:rPr>
          <w:sz w:val="20"/>
          <w:szCs w:val="20"/>
          <w:color w:val="auto"/>
        </w:rPr>
      </w:pPr>
    </w:p>
    <w:p>
      <w:pPr>
        <w:ind w:right="580"/>
        <w:spacing w:after="0" w:line="414" w:lineRule="auto"/>
        <w:rPr>
          <w:sz w:val="20"/>
          <w:szCs w:val="20"/>
          <w:color w:val="auto"/>
        </w:rPr>
      </w:pPr>
      <w:r>
        <w:rPr>
          <w:rFonts w:ascii="Arial" w:cs="Arial" w:eastAsia="Arial" w:hAnsi="Arial"/>
          <w:sz w:val="18"/>
          <w:szCs w:val="18"/>
          <w:color w:val="auto"/>
        </w:rPr>
        <w:t xml:space="preserve">The outstanding balance of $36.0 million and $0.1 million of accrued interest on the term loan were repaid in full on October 12, 2023. </w:t>
      </w:r>
      <w:r>
        <w:rPr>
          <w:rFonts w:ascii="Arial" w:cs="Arial" w:eastAsia="Arial" w:hAnsi="Arial"/>
          <w:sz w:val="18"/>
          <w:szCs w:val="18"/>
          <w:b w:val="1"/>
          <w:bCs w:val="1"/>
          <w:color w:val="auto"/>
        </w:rPr>
        <w:t>Monthly Revolving Line of Credit</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(9.50% as of September 30, 2023) and are secured by substantially all of the Company’s assets. As of September 30, 2023 and December 31, 2022, there were $15.0 million of borrowings under the line of credit and $10.0 million of capacity available for additional borrowings.</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connection with the amortizing term mortgage and the 2021 Amended Term Loan, the Company recorded an immaterial amount of debt issuance costs and the 2021 Amended Term Loan was subject to an original issue discount. These amounts are being amortized to interest expense over the term of the respective agreements using the effective interest method. As of September 30, 2023 and December 31, 2022, unamortized original issue discount and debt issuance costs were $0.1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September 30, 2023 is expected to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8,234</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34,188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43,810</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unamortized original issue discount and debt issuance costs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Current portion of long-term debt, net of unamortized original issue discount and debt issuance costs</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unamortized original issue discount and debt issuance costs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Additionally, $15.0 million of outstanding borrowings under the line of credit are due in September 2024 upon maturity of the facility.</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September 30, 2023, the Company was not in compliance with all debt covenants, specifically the covenant restricting the amount of repurchases of common stock, which includes net share settlements of stock-based awards, the covenant related to the requirement to maintain all deposit, operating and collateral accounts with CIBC with certain exceptions during the period, and the minimum fixed charge coverage ratio covenant. A waiver was obtained from CIBC. The Company does not believe non-compliance with these covenants had any material impact on the Company or its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during the three and nine months ended September 30, 2023 and 2022. The Company’s 401(k) matching contributions for each of the three months ended September 30, 2023 and 2022 was $0.2 million. The Company’s 401(k) matching contributions for the nine months ended September 30, 2023 and 2022 were $0.7 million and $0.6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As of September 30, 2023, there were no legal contingency matters, either individually or in aggregate, that would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5 - STOCK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from 16,495,150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September 30, 2023 and December 31, 2022 was 22,282,735 shares and 17,336,973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6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three-month offering period.</w:t>
      </w:r>
    </w:p>
    <w:p>
      <w:pPr>
        <w:spacing w:after="0" w:line="11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2023 purchased a total of 275,210 Class A common shares, based on a purchase price of $3.84, resulting in gross cash proceeds to the Company of $1.1 million.</w:t>
      </w:r>
    </w:p>
    <w:p>
      <w:pPr>
        <w:spacing w:after="0" w:line="10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2022 purchased a total of 73,959 Class A common shares, based on a purchase price of $16.70, resulting in gross cash proceeds to the Company of $1.2 million.</w:t>
      </w:r>
    </w:p>
    <w:p>
      <w:pPr>
        <w:spacing w:after="0" w:line="10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the offering period ended September 14, 2023, the Company elected to match each share of Class A common stock purchased by or issued under the Matching Plan with 1/20 of a share of Class A common stock. During the three months ended September 30, 2023, the Company granted a total of 35,732 of Class A common stock as a matching contribution under the Matching Plan, net of a total of 9,054 shares withheld for taxes. During the nine months ended September 30, 2023, the Company granted a total of 72,578 shares of Class A common stock as a matching contribution under the Matching Plan, net of a total of 15,871 shares withheld for taxes.</w:t>
      </w:r>
    </w:p>
    <w:p>
      <w:pPr>
        <w:spacing w:after="0" w:line="111"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For the offering period ended September 14, 2022, the Company elected to match each share of Class A common stock purchased by or issued under the Matching Plan with 1/20 of a share of Class A common stock. During the three and nine months ended September 30, 2023, the Company granted a total of 6,465 and 10,041 shares of Class A common stock as a matching contribution under the Matching Plan, respectively.</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During the three months ended September 30, 2023, the Company granted a total of 299,713 shares of Class A common stock as discretionary contributions under the Matching Plan, net of a total of 29,020 shares withheld for taxes. During the nine months ended September 30, 2023, the Company granted a total of 375,024 shares of Class A common stock as discretionary contributions under the Matching Plan, net of a total of 64,411 shares withheld for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6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having vested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55,731 Class A common stock RSUs for the nine months ended September 30, 2023. A total of 27,108 Class A common RSUs vested during the nine months ended September 30, 2023 related to previously granted RSU awards as the quarterly service conditions were satisfied.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RSU activity for Service Providers and non-employee directors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3,379,657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55,731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2,761,643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As of September 30, 2023, there was $161.9 million of unamortized stock-based compensation cost related to unvested RSUs, which is expected to be recognized over the remaining weighted average life of 5.58 years. As of December 31, 2022, there was $204.2 million of unamortized stock-based compensation cost related to unvested RSUs, which was expected to be recognized over the remaining weighted average life of 6.23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nine months ended September 30, 2023 and 2022.</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September 30, 2023 and December 31, 2022, there were 482,607 and 813,311 shares subject to repurchase, respectively, related to unvested stock options that had been early exercised. As of September 30, 2023 and December 31, 2022, the Company recorded a liability related to shares subject to repurchase of $0.7 million and $1.3 million, respectively, which is included within Accrued expenses and other liabilities in the accompanying Condensed Consolidated Balance Sheets. These amounts are reclassified to Common stock and Additional paid-in capital as the underlying shares vest.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6,301,650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(199,898)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September 30,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5,991,655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September 30,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5,893,175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intrinsic value of options exercised during the nine months ended September 30, 2023 and 2022 was $1.2 million and</w:t>
      </w:r>
    </w:p>
    <w:p>
      <w:pPr>
        <w:spacing w:after="0" w:line="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$10.3 million, respectively. The total pretax intrinsic value of options outstanding at September 30, 2023 and December 31, 2022 was $13.2 million and $46.0 million, respectively. The intrinsic value is the difference between the estimated fair market value of the Company’s common stock at the date of exercise and the exercise price for in-the-money options.</w:t>
      </w:r>
    </w:p>
    <w:p>
      <w:pPr>
        <w:spacing w:after="0" w:line="10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of September 30, 2023, there was $4.9 million of unrecognized stock-based compensation cost related to unvested stock options, which is expected to be recognized over a weighted average period of 0.86 years. As of December 31, 2022, there was $8.1 million of unrecognized stock-based compensation cost related to unvested stock options, which was expected to be recognized over a weighted average period of 1.21 years.</w:t>
      </w:r>
    </w:p>
    <w:p>
      <w:pPr>
        <w:spacing w:after="0" w:line="12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Cash received from option exercises and purchases of shares under the Stock Plans for the nine months ended September 30, 2023 and 2022 was $0.2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2,969</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41,793</w:t>
            </w:r>
          </w:p>
        </w:tc>
      </w:tr>
      <w:tr>
        <w:trPr>
          <w:trHeight w:val="21"/>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15,063</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Stock-based compensation capitalized as internally developed software costs was $ 0.8 million and $0.5 million for the three months ended September 30, 2023 and 2022, respectively. Stock-based compensation capitalized as internally developed software costs was $2.2 million and $1.1 million for the nine months ended September 30, 2023 and 2022,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6 - INCOME TAXES</w:t>
      </w:r>
    </w:p>
    <w:p>
      <w:pPr>
        <w:spacing w:after="0" w:line="193"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For the three and nine months ended September 30, 2023, the Company prepared its interim tax provision by applying a year-to-date effective tax rate, which the Company believes results in the best estimate of the annual effective tax rate.</w:t>
      </w:r>
    </w:p>
    <w:p>
      <w:pPr>
        <w:spacing w:after="0" w:line="9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For the three months ended September 30, 2023 and 2022, the Company recorded a benefit from income taxes of $0.3 million and a provision for income taxes of $0.2 million, respectively, which resulted in effective tax rates of 1.6% and (1.9)%, respectively.</w:t>
      </w:r>
    </w:p>
    <w:p>
      <w:pPr>
        <w:spacing w:after="0" w:line="10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For the nine months ended September 30, 2023 and 2022, the Company recorded a provision for income taxes of $1.9 million and $3.9 million, respectively, which resulted in effective tax rates of (6.0)% and (19.5)%,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principal reasons for the difference between the statutory rate and the effective rate for 2023 were primarily due to non-deductible stock-based compensation, the change in valuation allowance, and Section 162(m) of the Internal Revenue Code ("IRC") compensation limitations. The principal reasons for the difference between the statutory rate and the effective rate for 2022 were primarily due to non-deductible stock-based compensation, as well as the change in valuation allowance, Section 162(m) of the IRC compensation limitations and state taxes.</w:t>
      </w:r>
    </w:p>
    <w:p>
      <w:pPr>
        <w:spacing w:after="0" w:line="11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September 30, 2023 and December 31, 2022, the Company recorded an uncertain tax position liability of $1.3 million and $1.2 million, respectively, within Other liabilities on the Condensed Consolidated Balance Sheets. This liability includes an immaterial amount of interest and penalties as of September 30, 2023 and no interest and penalties as of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7 - NET LOSS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(17,003)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(8,242)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(23,612)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6"/>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2"/>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82,469,190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80,941,664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82,085,508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80,523,557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54"/>
        </w:trPr>
        <w:tc>
          <w:tcPr>
            <w:tcW w:w="4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200" w:type="dxa"/>
            <w:vAlign w:val="bottom"/>
            <w:tcBorders>
              <w:top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stock options</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4,166,033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5,211,342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4,660,837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5,941,182</w:t>
            </w:r>
          </w:p>
        </w:tc>
      </w:tr>
      <w:tr>
        <w:trPr>
          <w:trHeight w:val="229"/>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Matching shares</w:t>
            </w: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645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10,310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w:t>
            </w: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4,166,678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5,221,652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4,673,936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5,952,390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8 - EQUITY</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10, 2022, the Executive Committee of the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September 30, 2023, the Company repurchased 504,493 shares of Class A common stock under the 2022 Share Repurchase Program, at a total cost to the Company of $3.0 million. The Company did not repurchase shares during the three months ended September 30, 2023.</w:t>
      </w:r>
    </w:p>
    <w:p>
      <w:pPr>
        <w:spacing w:after="0" w:line="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9 - RELATED PARTY TRANSACTIONS</w:t>
      </w:r>
    </w:p>
    <w:p>
      <w:pPr>
        <w:spacing w:after="0" w:line="18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nine months ended September 30, 2023 and 2022, Expensify, Inc. contributed $0.2 million and $2.3 million, respectively, to its wholly-owned subsidiary, Expensify.org, a nonprofit benefit organization established by the Company. There was an immaterial amount of commitments from Expensify, Inc. that remained open for contribution as of September 30, 2023 and December 31, 2022.</w:t>
      </w:r>
    </w:p>
    <w:p>
      <w:pPr>
        <w:spacing w:after="0" w:line="10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There are no other significant related party transactions for the Company as of September 30, 2023,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40"/>
        <w:spacing w:after="0" w:line="292"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2022 ("2022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2022 Annual Report and included elsewhere in this Quarterly Report on Form 10-Q. See "Special Note Regarding Forward-Looking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13 million members to our community and processed and automated 1.5 billion expense transactions on our platform as of September 30, 2023, freeing people to spend less time managing expenses and more time doing the things they love. For the quarter ended September 30, 2023, an average of 719,000 paid members across 47,800 companies and over 200 countries and territories used Expensify to make money easy.</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Components of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spacing w:after="0" w:line="1" w:lineRule="exact"/>
        <w:rPr>
          <w:sz w:val="20"/>
          <w:szCs w:val="20"/>
          <w:color w:val="auto"/>
        </w:rPr>
      </w:pPr>
    </w:p>
    <w:p>
      <w:pPr>
        <w:ind w:firstLine="8"/>
        <w:spacing w:after="0" w:line="252"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2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offer a cashback rewards program to all customers based on volume of Expensify Card transactions and software as a service ("SaaS") subscription tier. Cashback rewards are earned on a monthly basis and are paid out the following month. We consider our cashback payments to customers as consideration payable to a customer, and the payments are recorded as contra revenue within Revenue on the Condensed Consolidated Statements of Operations. We also record a cashback rewards liability that represents the consideration payable to customers for earned cashback rewards. The cashback rewards fluctuate over time as customers meet eligibility requirements in conjunction with the applicable SaaS subscription tier of each customer and the timing of payments made to customers. Additional details pertaining to the Company's cashback program can be found in Part I, Item 1A. "Risk Factors" in our 2022 Annual Report. Subsequent to the date the 2022 Annual Report was filed with the SEC and effective as of March 2023, the Company removed a $25,000 monthly threshold for companies to qualify for 1% cash back and now offers a minimum of 1% cash back for all purchases.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 contra expense in Cost of revenue, net. The following summarizes these various amounts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(169)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and external professional services, including accounting, audit, tax, finance, legal and compliance, human resources and information technology.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outsourcing costs for sales and product demos,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6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 We expect interest and other expenses, net will decrease as we reduce our interest expense by paying down outstanding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Results of Operations</w:t>
      </w:r>
    </w:p>
    <w:p>
      <w:pPr>
        <w:spacing w:after="0" w:line="18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percentages, share and per share data)</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36,494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115,479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126,026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17,680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50,380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18,814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65,099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79,462</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14,245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38,386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45,335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12,860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36,757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37,958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33,712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92,262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93,994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(14,898)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(14,532)</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(17,273)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(32,321)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(17,003)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(34,252)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(23,612)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Weighted average shares of common stock used to</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82,469,190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80,941,664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82,085,508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80,523,557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8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96"/>
        </w:trPr>
        <w:tc>
          <w:tcPr>
            <w:tcW w:w="4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2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14,278</w:t>
            </w:r>
          </w:p>
        </w:tc>
      </w:tr>
      <w:tr>
        <w:trPr>
          <w:trHeight w:val="182"/>
        </w:trPr>
        <w:tc>
          <w:tcPr>
            <w:tcW w:w="48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7,562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6,230</w:t>
            </w:r>
          </w:p>
        </w:tc>
      </w:tr>
      <w:tr>
        <w:trPr>
          <w:trHeight w:val="196"/>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15,063</w:t>
            </w:r>
          </w:p>
        </w:tc>
      </w:tr>
      <w:tr>
        <w:trPr>
          <w:trHeight w:val="18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6,222</w:t>
            </w:r>
          </w:p>
        </w:tc>
      </w:tr>
      <w:tr>
        <w:trPr>
          <w:trHeight w:val="20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41,793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320"/>
        <w:spacing w:after="0" w:line="443" w:lineRule="auto"/>
        <w:rPr>
          <w:sz w:val="20"/>
          <w:szCs w:val="20"/>
          <w:color w:val="auto"/>
        </w:rPr>
      </w:pPr>
      <w:r>
        <w:rPr>
          <w:rFonts w:ascii="Arial" w:cs="Arial" w:eastAsia="Arial" w:hAnsi="Arial"/>
          <w:sz w:val="18"/>
          <w:szCs w:val="18"/>
          <w:b w:val="1"/>
          <w:bCs w:val="1"/>
          <w:color w:val="auto"/>
        </w:rPr>
        <w:t xml:space="preserve">COMPARISON OF THE THREE MONTHS ENDED SEPTEMBER 30, 2023 AND 2022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10"/>
        </w:trPr>
        <w:tc>
          <w:tcPr>
            <w:tcW w:w="4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36,494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42,493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(5,999)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Revenue decreased by $6.0 million, or 14%, for the three months ended September 30, 2023 compared to the same period in 2022,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17,680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16,554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1,126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18,814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(7,125)</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 of revenue, net increased by $1.1 million, or 7%, for the three months ended September 30, 2023 compared to the same period in 2022. Cost of revenue, net increased primarily due to increased outsourcing activities related to maintaining our platform. These increases were partially offset by an increase in Consideration from a vendor, net, driven primarily by the increased adoption and spend captured from members using the Expensify Card, which reduced Cost of revenue, net by $2.8 million and $1.7 million for the three months ended September 30, 2023 and 2022, respectively.</w:t>
      </w:r>
    </w:p>
    <w:p>
      <w:pPr>
        <w:spacing w:after="0" w:line="12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Gross margin decreased to 52% for the three months ended September 30, 2023 compared to 61% in the same period in 2022 due to the factors described in the preceding paragraphs for Revenue and Cost of revenue,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6,607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3,416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3,191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Research and development expenses increased by $3.2 million, or 93%, for the three months ended September 30, 2023 compared to the same period in 2022, primarily due to an increase in employee and external contributor time spent on project initiatives and new product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14,245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15,898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(1,653)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General and administrative expenses decreased by $1.7 million, or 10%, for the three months ended September 30, 2023 compared to the same period in 2022, primarily due to a decrease in employee time allocated to administrative functions resulting from implementation activities incurred in 2022 for first year compliance with Section 404 of the Sarbanes-Oxley Act and other new public company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12,860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12,342</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518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Sales and marketing expenses increased by $ 0.5 million, or 4%, for the three months ended September 30, 2023 compared to the same period in 2022, primarily due to an increase in outsourcing activities related to sales and product demos. These increases were partially offset by a decrease in advertising spend.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Interest and other expenses, net increased nominally for the three months ended September 30, 2023 compared to the same period in 2022, primarily due to an increase in interest expense incurred under the 2021 Amended Term Loan (as defined below) due to increases in CIBC's reference rate partially offset by a reduction in foreign currency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270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426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We recorded a benefit from income taxes of $0.3 million during the three months ended September 30, 2023 compared to a provision for income taxes of $0.2 million for the same period in 2022.</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months ended September 30, 2023 and 2022, our effective income tax rate was 1.6% and (1.9)%, respectively. The effective income tax rate differs from the statutory rate in 2023 primarily due to non-deductible stock-based compensation, the change in valuation allowance, and Section 162(m) of the Internal Revenue Code ("IRC") compensation limitations. The effective income tax rate differs from the statutory rate in 2022 primarily due to non-deductible stock-based compensation as well as the change in valuation allowance, Section 162(m) of the IRC compensation limitations and state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115,479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126,026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(10,547)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 decreased by $10.5 million, or 8%, for the nine months ended September 30, 2023 compared to the same period in 2022,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50,380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46,564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3,816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65,099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79,462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(14,363)</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 of revenue, net increased by $3.8 million, or 8%, for the nine months ended September 30, 2023 compared to the same period in 2022. Cost of revenue, net increased primarily due to increased outsourcing activities related to maintaining our platform. These increases were partially offset by an increase in Consideration from a vendor, net, driven primarily by the increased adoption and spend captured from members using the Expensify Card, which reduced Cost of revenue, net by $7.3 million and $4.4 million for the nine months ended September 30, 2023 and 2022, respectively.</w:t>
      </w:r>
    </w:p>
    <w:p>
      <w:pPr>
        <w:spacing w:after="0" w:line="11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Gross margin decreased to 56% for the nine months ended September 30, 2023 compared to 63% in the same period in 2022 due to the factors described in the preceding paragraphs for Revenue and Cost of Revenue,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17,119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10,701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6,418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Research and development expenses increased by $6.4 million, or 60%, for the nine months ended September 30, 2023 compared to the same period in 2022, primarily due to an increase in employee and external contributor time spent on project initiatives and new product features.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38,386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45,335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(6,949)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General and administrative expenses decreased by $6.9 million, or 15%, for the nine months ended September 30, 2023 compared to the same period in 2022, primarily due to a decrease in employee time allocated to administrative functions resulting from one-time planning and implementation activities incurred in 2022 for first year compliance with Section 404 of the Sarbanes-Oxley Act and other new public company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8"/>
                <w:szCs w:val="18"/>
                <w:color w:val="auto"/>
              </w:rPr>
            </w:pPr>
          </w:p>
        </w:tc>
        <w:tc>
          <w:tcPr>
            <w:tcW w:w="186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36,757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37,958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(1,201)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Sales and marketing expenses decreased by $1.2 million, or 3%, for the nine months ended September 30, 2023 compared to the same period in 2022, primarily due to a decrease in advertising spend partially offset by (i) an increase in outsourcing activities related to sales and product demos, and (ii) increased marketing event spend to gain further brand awareness.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68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Interest and other expenses, net decreased by $0.1 million, or 1%, for the nine months ended September 30, 2023 compared to the same period in 2022, primarily due to a reduction in foreign currency losses partially offset by an increase in interest expense incurred under the 2021 Amended Term Loan (as defined below) due to increases in CIBC’s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(1,931)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1,923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We recorded a provision for income taxes of $1.9 million during the nine months ended September 30, 2023 compared to a provision for income taxes of $3.9 million for the same period in 2022.</w:t>
      </w:r>
    </w:p>
    <w:p>
      <w:pPr>
        <w:spacing w:after="0" w:line="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nine months ended September 30, 2023 and 2022, our effective income tax rate was (6.0)% and (19.5)%, respectively. The effective income tax rate differs from the statutory rate in 2023 primarily due to non -deductible stock-based compensation, the change in valuation allowance, and Section 162(m) of the IRC compensation limitations. The effective income tax rate differs from the statutory rate in 2022 primarily due to non-deductible stock-based compensation, as well as the change in valuation allowance, Section 162(m) of the IRC compensation limitations and state taxes.</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Business Metrics and Non-GAAP Financial Measures</w:t>
      </w:r>
    </w:p>
    <w:p>
      <w:pPr>
        <w:spacing w:after="0" w:line="18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("SMBs") or sole proprietors with only one employee, the business owner may also be the only paid member.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Paid members</w:t>
            </w:r>
          </w:p>
        </w:tc>
      </w:tr>
      <w:tr>
        <w:trPr>
          <w:trHeight w:val="224"/>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5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54"/>
        </w:trPr>
        <w:tc>
          <w:tcPr>
            <w:tcW w:w="9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(3,549)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8,970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7,320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31,333</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6 %</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54"/>
        </w:trPr>
        <w:tc>
          <w:tcPr>
            <w:tcW w:w="4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6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(6,736)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(3,640)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18,181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Non-GAAP net (loss) income margin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54"/>
        </w:trPr>
        <w:tc>
          <w:tcPr>
            <w:tcW w:w="4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r>
      <w:tr>
        <w:trPr>
          <w:trHeight w:val="196"/>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(17,003)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(34,252)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(23,612)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44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3,854</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5,226</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4,072</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30,612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41,793</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31,333</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47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4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spacing w:after="0"/>
              <w:rPr>
                <w:sz w:val="15"/>
                <w:szCs w:val="15"/>
                <w:color w:val="auto"/>
              </w:rPr>
            </w:pPr>
          </w:p>
        </w:tc>
      </w:tr>
      <w:tr>
        <w:trPr>
          <w:trHeight w:val="202"/>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r>
      <w:tr>
        <w:trPr>
          <w:trHeight w:val="196"/>
        </w:trPr>
        <w:tc>
          <w:tcPr>
            <w:tcW w:w="4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(17,003)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(34,252)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(23,612)</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41,793</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18,181</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net (loss) income margin</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Liquidity and Capital Resources</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September 30, 2023, we had $89.1 million in cash and cash equivalents and $58.8 million in outstanding indebtedness.</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w:t>
            </w:r>
          </w:p>
        </w:tc>
        <w:tc>
          <w:tcPr>
            <w:tcW w:w="100" w:type="dxa"/>
            <w:vAlign w:val="bottom"/>
            <w:shd w:val="clear" w:color="auto" w:fill="CCEEFF"/>
          </w:tcPr>
          <w:p>
            <w:pPr>
              <w:spacing w:after="0"/>
              <w:rPr>
                <w:sz w:val="20"/>
                <w:szCs w:val="20"/>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10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6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provided by operating activities was $2.1 million for the nine months ended September 30, 2023 compared to $26.2 million for the same period in 2022. The decrease was primarily due to a reduction in funds held for customers due to the timing of expense reimbursement activity, a decrease in revenue, and increased outsourcing activities related to maintaining our platform along with design work for new project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5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During the nine months ended September 30, 2023, net cash used in investing activities was $4.8 million, primarily consisting of software development costs and the purchase of property and equipment.</w:t>
      </w:r>
    </w:p>
    <w:p>
      <w:pPr>
        <w:spacing w:after="0" w:line="106"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Net cash used in investing activities increased for the nine months ended September 30, 2023 compared to the same period in 2022, primarily due to an increase in employee and external contributor software development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5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During the nine months ended September 30, 2023, net cash used in financing activities was $10.4 million, primarily consisting of principal payments on the term loan, the repurchase and retirement of common stock, and payments for employees taxes withheld from stock-based awards, which was partially offset by proceeds from common stock purchased under the Company's 2021 Stock Purchase and Matching Plan ("Matching Plan").</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September 30, 2022 net cash used in financing activities primarily consisted of payments for employees taxes withheld from stock-based awards, which were partially offset by proceeds from common stock purchased under the Matching Plan and proceeds from the issuance of common stock on exercises of stock options.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6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due each month over a five-year period. Interest accrues at a fixed rate of 5.00% per year until August 2024, at which point the remaining outstanding principal balance on the amortizing term mortgage is due in full. The borrowings are secured by the building. The outstanding balance of the amortizing term mortgage was $7.7 million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2021, we amended and restated our loan and security agreement with CIBC ("2021 Amended Term Loan") to refinance the existing non-amortizing and amortizing term loans, establish a single term loan of up to $ 75.0 million, consisting of a $45.0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spacing w:after="0" w:line="1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2021 Amended Term Loan, the initial term loan of $45.0 million is payable over a 60-month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(10.75% as of September 30, 2023) and continue on a quarterly basis through the maturity of the term loan. The borrowings are secured by substantially all our assets.</w:t>
      </w:r>
    </w:p>
    <w:p>
      <w:pPr>
        <w:spacing w:after="0" w:line="1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(9.50% as of September 30, 2023) and are secured by substantially all of our assets.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outstanding balances of the term loan and revolving line of credit were $36.1 million and $15.0 million, respectively, as of September 30, 2023. See Note 4 to our condensed consolidated financial statements included elsewhere in this Quarterly Report on Form 10-Q for further information.</w:t>
      </w:r>
    </w:p>
    <w:p>
      <w:pPr>
        <w:spacing w:after="0" w:line="116" w:lineRule="exact"/>
        <w:rPr>
          <w:sz w:val="20"/>
          <w:szCs w:val="20"/>
          <w:color w:val="auto"/>
        </w:rPr>
      </w:pPr>
    </w:p>
    <w:p>
      <w:pPr>
        <w:ind w:right="160"/>
        <w:spacing w:after="0" w:line="414" w:lineRule="auto"/>
        <w:rPr>
          <w:sz w:val="20"/>
          <w:szCs w:val="20"/>
          <w:color w:val="auto"/>
        </w:rPr>
      </w:pPr>
      <w:r>
        <w:rPr>
          <w:rFonts w:ascii="Arial" w:cs="Arial" w:eastAsia="Arial" w:hAnsi="Arial"/>
          <w:sz w:val="18"/>
          <w:szCs w:val="18"/>
          <w:color w:val="auto"/>
        </w:rPr>
        <w:t xml:space="preserve">The outstanding balance of $36.0 million, including $0.1 million of accrued interest, on the term loan was repaid in full on October 12, 2023. </w:t>
      </w:r>
      <w:r>
        <w:rPr>
          <w:rFonts w:ascii="Arial" w:cs="Arial" w:eastAsia="Arial" w:hAnsi="Arial"/>
          <w:sz w:val="18"/>
          <w:szCs w:val="18"/>
          <w:b w:val="1"/>
          <w:bCs w:val="1"/>
          <w:i w:val="1"/>
          <w:iCs w:val="1"/>
          <w:color w:val="auto"/>
        </w:rPr>
        <w:t>Certain Covenants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customary covenants under the 2021 Amended Term Loan,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2021 Amended Term Loan, tested each quarter, of not less than 5.00 to 1.00 from September 30, 2022 through and including June 30, 2023, and not less than 4.00 to 1.00 from September 30, 2023 through and including June 30, 2024, not less than 3.00 to 1.00 from September 30, 2024 and thereafter, and a fixed charge coverage ratio of not less than 1.10 to 1.00, tested on the last day of each calendar quarter.</w:t>
      </w:r>
    </w:p>
    <w:p>
      <w:pPr>
        <w:spacing w:after="0" w:line="124"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8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September 30, 2023, the Company was not in compliance with all debt covenants, specifically the covenant restricting the amount of repurchases of common stock, which includes net share settlements of stock-based awards, the covenant related to the requirement to maintain all deposit, operating and collateral accounts with CIBC with certain exceptions during the period, and the minimum fixed charge coverage ratio covenant. A waiver was obtained from CIBC. The Company does not believe non-compliance with these covenants had any material impact on the Company or its operations. The Company expects to be in compliance with all debt covenants, or to have received waivers for any non-compliance, by the end of the fiscal quarter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Contractual Obligations and Commitments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of September 30, 2023, there have been no material changes in our contractual obligations and commitments as disclosed in our 2022 Annual Report.</w:t>
      </w:r>
    </w:p>
    <w:p>
      <w:pPr>
        <w:spacing w:after="0" w:line="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Indemnification Agreements</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8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Off-Balance Sheet Arrangements</w:t>
      </w:r>
    </w:p>
    <w:p>
      <w:pPr>
        <w:spacing w:after="0" w:line="18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Critical Accounting Policies and Estimates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2022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Recent Accounting Pronouncements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Emerging Growth Company Status</w:t>
      </w:r>
    </w:p>
    <w:p>
      <w:pPr>
        <w:spacing w:after="0" w:line="18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Upon the completion of our IPO, we elected to be an emerging growth company ("EGC"), as defined in the Jumpstart Our Business Startups Act of 2012, which, among other things, allowed us to take advantage of reduced disclosure requirements and an extended transition period for the implementation of new or revised accounting pronouncements.</w:t>
      </w:r>
    </w:p>
    <w:p>
      <w:pPr>
        <w:spacing w:after="0" w:line="11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Effective December 31, 2022, based on the market value of our common stock held by non-affiliates as of June 30, 2022, we were deemed to be a large accelerated filer and no longer qualified as an EGC. As a result, we must now comply with all financial disclosure and governance requirements applicable to large accelerated filers. The effect of the loss of EGC status and the impact on the adoption of new accounting pronouncements is discussed further in Note 2 to our consolidated financial statements in our 2022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Quantitative and Qualitative Disclosures About Market Risk</w:t>
      </w:r>
    </w:p>
    <w:p>
      <w:pPr>
        <w:spacing w:after="0" w:line="18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2022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September 30, 2023, our disclosure controls and procedures were effective at a reasonable assurance level.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Legal Proceedings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There have been no material changes to the risk factors set forth in Part I, Item IA. "Risk Factors" of our 2022 Annual Report. You should carefully read and consider the risks and uncertainties, together with all of the other information included in the 2022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pacing w:after="0" w:line="95" w:lineRule="exact"/>
        <w:rPr>
          <w:sz w:val="20"/>
          <w:szCs w:val="20"/>
          <w:color w:val="auto"/>
        </w:rPr>
      </w:pPr>
    </w:p>
    <w:p>
      <w:pPr>
        <w:ind w:right="840"/>
        <w:spacing w:after="0" w:line="292" w:lineRule="auto"/>
        <w:rPr>
          <w:sz w:val="20"/>
          <w:szCs w:val="20"/>
          <w:color w:val="auto"/>
        </w:rPr>
      </w:pPr>
      <w:r>
        <w:rPr>
          <w:rFonts w:ascii="Arial" w:cs="Arial" w:eastAsia="Arial" w:hAnsi="Arial"/>
          <w:sz w:val="29"/>
          <w:szCs w:val="29"/>
          <w:b w:val="1"/>
          <w:bCs w:val="1"/>
          <w:color w:val="auto"/>
        </w:rPr>
        <w:t>Item 2. Unregistered Sales of Equity Securities, Use of Proceeds, and Issuer Purchases of Equity Securities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8"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 September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(or approximate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Weighted-average</w:t>
            </w:r>
          </w:p>
        </w:tc>
        <w:tc>
          <w:tcPr>
            <w:tcW w:w="16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6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Total number of</w:t>
            </w:r>
          </w:p>
        </w:tc>
        <w:tc>
          <w:tcPr>
            <w:tcW w:w="8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price paid per</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under the</w:t>
            </w: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shares purchased</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share</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programs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0"/>
              <w:spacing w:after="0" w:line="243" w:lineRule="exact"/>
              <w:rPr>
                <w:sz w:val="20"/>
                <w:szCs w:val="20"/>
                <w:color w:val="auto"/>
              </w:rPr>
            </w:pPr>
            <w:r>
              <w:rPr>
                <w:rFonts w:ascii="Arial" w:cs="Arial" w:eastAsia="Arial" w:hAnsi="Arial"/>
                <w:sz w:val="18"/>
                <w:szCs w:val="18"/>
                <w:b w:val="1"/>
                <w:bCs w:val="1"/>
                <w:color w:val="auto"/>
                <w:w w:val="93"/>
              </w:rPr>
              <w:t>program</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1 - 31, 2023</w:t>
            </w:r>
          </w:p>
        </w:tc>
        <w:tc>
          <w:tcPr>
            <w:tcW w:w="1640" w:type="dxa"/>
            <w:vAlign w:val="bottom"/>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August 1 - 31, 2023</w:t>
            </w:r>
          </w:p>
        </w:tc>
        <w:tc>
          <w:tcPr>
            <w:tcW w:w="1640" w:type="dxa"/>
            <w:vAlign w:val="bottom"/>
          </w:tcPr>
          <w:p>
            <w:pPr>
              <w:ind w:left="144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620" w:type="dxa"/>
            <w:vAlign w:val="bottom"/>
          </w:tcPr>
          <w:p>
            <w:pPr>
              <w:ind w:left="142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1 - 30, 2023</w:t>
            </w:r>
          </w:p>
        </w:tc>
        <w:tc>
          <w:tcPr>
            <w:tcW w:w="164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2023</w:t>
            </w: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right="80" w:hanging="332"/>
        <w:spacing w:after="0" w:line="272" w:lineRule="auto"/>
        <w:tabs>
          <w:tab w:leader="none" w:pos="37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September 30, 2023, we had approximately $41.0 million remaining under the share repurchase authorization, not including amounts used for net share settlement of vested equity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Defaults Upon Senior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r>
      <w:tr>
        <w:trPr>
          <w:trHeight w:val="399"/>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1"/>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70"/>
        </w:trPr>
        <w:tc>
          <w:tcPr>
            <w:tcW w:w="13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4180" w:type="dxa"/>
            <w:vAlign w:val="bottom"/>
            <w:tcBorders>
              <w:top w:val="single" w:sz="8" w:color="auto"/>
            </w:tcBorders>
            <w:gridSpan w:val="11"/>
          </w:tcPr>
          <w:p>
            <w:pPr>
              <w:spacing w:after="0" w:line="170" w:lineRule="exact"/>
              <w:rPr>
                <w:rFonts w:ascii="Arial" w:cs="Arial" w:eastAsia="Arial" w:hAnsi="Arial"/>
                <w:sz w:val="16"/>
                <w:szCs w:val="16"/>
                <w:color w:val="0000FF"/>
              </w:rPr>
            </w:pPr>
            <w:hyperlink r:id="rId114">
              <w:r>
                <w:rPr>
                  <w:rFonts w:ascii="Arial" w:cs="Arial" w:eastAsia="Arial" w:hAnsi="Arial"/>
                  <w:sz w:val="16"/>
                  <w:szCs w:val="16"/>
                  <w:color w:val="0000FF"/>
                </w:rPr>
                <w:t>Amended and Restated Certificate of Incorporation of the</w:t>
              </w:r>
            </w:hyperlink>
          </w:p>
        </w:tc>
        <w:tc>
          <w:tcPr>
            <w:tcW w:w="100" w:type="dxa"/>
            <w:vAlign w:val="bottom"/>
          </w:tcPr>
          <w:p>
            <w:pPr>
              <w:spacing w:after="0"/>
              <w:rPr>
                <w:sz w:val="14"/>
                <w:szCs w:val="14"/>
                <w:color w:val="auto"/>
              </w:rPr>
            </w:pPr>
          </w:p>
        </w:tc>
        <w:tc>
          <w:tcPr>
            <w:tcW w:w="1220" w:type="dxa"/>
            <w:vAlign w:val="bottom"/>
            <w:tcBorders>
              <w:top w:val="single" w:sz="8" w:color="auto"/>
            </w:tcBorders>
          </w:tcPr>
          <w:p>
            <w:pPr>
              <w:jc w:val="center"/>
              <w:ind w:left="22"/>
              <w:spacing w:after="0" w:line="170" w:lineRule="exact"/>
              <w:rPr>
                <w:sz w:val="20"/>
                <w:szCs w:val="20"/>
                <w:color w:val="auto"/>
              </w:rPr>
            </w:pPr>
            <w:r>
              <w:rPr>
                <w:rFonts w:ascii="Arial" w:cs="Arial" w:eastAsia="Arial" w:hAnsi="Arial"/>
                <w:sz w:val="16"/>
                <w:szCs w:val="16"/>
                <w:color w:val="auto"/>
              </w:rPr>
              <w:t>10-Q</w:t>
            </w:r>
          </w:p>
        </w:tc>
        <w:tc>
          <w:tcPr>
            <w:tcW w:w="14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w w:val="99"/>
              </w:rPr>
              <w:t>001-41043</w:t>
            </w: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rPr>
              <w:t>3.1</w:t>
            </w:r>
          </w:p>
        </w:tc>
        <w:tc>
          <w:tcPr>
            <w:tcW w:w="17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rPr>
              <w:t>August 9, 2023</w:t>
            </w: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Registrant.</w:t>
              </w:r>
            </w:hyperlink>
          </w:p>
        </w:tc>
        <w:tc>
          <w:tcPr>
            <w:tcW w:w="330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6"/>
                <w:szCs w:val="16"/>
                <w:color w:val="0000FF"/>
              </w:rPr>
            </w:pPr>
            <w:hyperlink r:id="rId115">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8"/>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62"/>
        </w:trPr>
        <w:tc>
          <w:tcPr>
            <w:tcW w:w="1380" w:type="dxa"/>
            <w:vAlign w:val="bottom"/>
            <w:gridSpan w:val="2"/>
          </w:tcPr>
          <w:p>
            <w:pPr>
              <w:ind w:left="140"/>
              <w:spacing w:after="0" w:line="162"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4180" w:type="dxa"/>
            <w:vAlign w:val="bottom"/>
            <w:gridSpan w:val="11"/>
          </w:tcPr>
          <w:p>
            <w:pPr>
              <w:spacing w:after="0" w:line="162"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5"/>
        </w:trPr>
        <w:tc>
          <w:tcPr>
            <w:tcW w:w="1380" w:type="dxa"/>
            <w:vAlign w:val="bottom"/>
            <w:gridSpan w:val="2"/>
          </w:tcPr>
          <w:p>
            <w:pPr>
              <w:ind w:left="140"/>
              <w:spacing w:after="0" w:line="226"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5"/>
        </w:trPr>
        <w:tc>
          <w:tcPr>
            <w:tcW w:w="1380" w:type="dxa"/>
            <w:vAlign w:val="bottom"/>
            <w:gridSpan w:val="2"/>
          </w:tcPr>
          <w:p>
            <w:pPr>
              <w:ind w:left="140"/>
              <w:spacing w:after="0" w:line="226"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5"/>
        </w:trPr>
        <w:tc>
          <w:tcPr>
            <w:tcW w:w="1300" w:type="dxa"/>
            <w:vAlign w:val="bottom"/>
          </w:tcPr>
          <w:p>
            <w:pPr>
              <w:ind w:left="140"/>
              <w:spacing w:after="0" w:line="226"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19"/>
                <w:szCs w:val="19"/>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0"/>
        </w:trPr>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40" w:type="dxa"/>
            <w:vAlign w:val="bottom"/>
          </w:tcPr>
          <w:p>
            <w:pPr>
              <w:spacing w:after="0"/>
              <w:rPr>
                <w:sz w:val="5"/>
                <w:szCs w:val="5"/>
                <w:color w:val="auto"/>
              </w:rPr>
            </w:pPr>
          </w:p>
        </w:tc>
      </w:tr>
    </w:tbl>
    <w:p>
      <w:pPr>
        <w:spacing w:after="0" w:line="124"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6"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13970</wp:posOffset>
            </wp:positionV>
            <wp:extent cx="61804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3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880" w:type="dxa"/>
            <w:vAlign w:val="bottom"/>
          </w:tcPr>
          <w:p>
            <w:pPr>
              <w:spacing w:after="0"/>
              <w:rPr>
                <w:sz w:val="21"/>
                <w:szCs w:val="21"/>
                <w:color w:val="auto"/>
              </w:rPr>
            </w:pPr>
          </w:p>
        </w:tc>
        <w:tc>
          <w:tcPr>
            <w:tcW w:w="7340" w:type="dxa"/>
            <w:vAlign w:val="bottom"/>
            <w:gridSpan w:val="2"/>
          </w:tcPr>
          <w:p>
            <w:pPr>
              <w:ind w:left="190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880" w:type="dxa"/>
            <w:vAlign w:val="bottom"/>
          </w:tcPr>
          <w:p>
            <w:pPr>
              <w:spacing w:after="0"/>
              <w:rPr>
                <w:sz w:val="20"/>
                <w:szCs w:val="20"/>
                <w:color w:val="auto"/>
              </w:rPr>
            </w:pPr>
            <w:r>
              <w:rPr>
                <w:rFonts w:ascii="Arial" w:cs="Arial" w:eastAsia="Arial" w:hAnsi="Arial"/>
                <w:sz w:val="18"/>
                <w:szCs w:val="18"/>
                <w:color w:val="auto"/>
              </w:rPr>
              <w:t>Date: November 8, 2023</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David Barrett</w:t>
            </w:r>
          </w:p>
        </w:tc>
      </w:tr>
      <w:tr>
        <w:trPr>
          <w:trHeight w:val="223"/>
        </w:trPr>
        <w:tc>
          <w:tcPr>
            <w:tcW w:w="3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3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5"/>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880" w:type="dxa"/>
            <w:vAlign w:val="bottom"/>
          </w:tcPr>
          <w:p>
            <w:pPr>
              <w:spacing w:after="0"/>
              <w:rPr>
                <w:sz w:val="20"/>
                <w:szCs w:val="20"/>
                <w:color w:val="auto"/>
              </w:rPr>
            </w:pPr>
            <w:r>
              <w:rPr>
                <w:rFonts w:ascii="Arial" w:cs="Arial" w:eastAsia="Arial" w:hAnsi="Arial"/>
                <w:sz w:val="18"/>
                <w:szCs w:val="18"/>
                <w:color w:val="auto"/>
              </w:rPr>
              <w:t>Date: November 8, 2023</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Ryan Schaffer</w:t>
            </w:r>
          </w:p>
        </w:tc>
      </w:tr>
      <w:tr>
        <w:trPr>
          <w:trHeight w:val="223"/>
        </w:trPr>
        <w:tc>
          <w:tcPr>
            <w:tcW w:w="3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3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140" w:hanging="328"/>
        <w:spacing w:after="0" w:line="239"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ind w:left="1300" w:right="2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540" w:hanging="320"/>
        <w:spacing w:after="0" w:line="269" w:lineRule="auto"/>
        <w:tabs>
          <w:tab w:leader="none" w:pos="12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3"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36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75"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40" w:hanging="32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140" w:hanging="328"/>
        <w:spacing w:after="0" w:line="24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85" w:lineRule="auto"/>
        <w:tabs>
          <w:tab w:leader="none" w:pos="128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7"/>
          <w:szCs w:val="17"/>
          <w:color w:val="auto"/>
        </w:rPr>
      </w:pPr>
    </w:p>
    <w:p>
      <w:pPr>
        <w:ind w:left="1300" w:right="300" w:hanging="320"/>
        <w:spacing w:after="0" w:line="263"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6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1300" w:right="780" w:hanging="320"/>
        <w:spacing w:after="0" w:line="275"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01" w:lineRule="exact"/>
        <w:rPr>
          <w:sz w:val="20"/>
          <w:szCs w:val="20"/>
          <w:color w:val="auto"/>
        </w:rPr>
      </w:pPr>
    </w:p>
    <w:p>
      <w:pPr>
        <w:ind w:right="340" w:firstLine="208"/>
        <w:spacing w:after="0" w:line="263"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2023 as filed with the Securities and Exchange Commission on the date hereof (the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right="120" w:firstLine="208"/>
        <w:spacing w:after="0" w:line="275"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01" w:lineRule="exact"/>
        <w:rPr>
          <w:sz w:val="20"/>
          <w:szCs w:val="20"/>
          <w:color w:val="auto"/>
        </w:rPr>
      </w:pPr>
    </w:p>
    <w:p>
      <w:pPr>
        <w:ind w:right="340" w:firstLine="208"/>
        <w:spacing w:after="0" w:line="263"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2023 as filed with the Securities and Exchange Commission on the date hereof (the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right="120" w:firstLine="208"/>
        <w:spacing w:after="0" w:line="275"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4" Type="http://schemas.openxmlformats.org/officeDocument/2006/relationships/hyperlink" Target="https://www.sec.gov/Archives/edgar/data/1476840/000147684023000148/exhibit31-10xqq22023.htm" TargetMode="External"/><Relationship Id="rId115"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2023-11-09T05:25:04Z</dcterms:created>
  <dcterms:modified xsi:type="dcterms:W3CDTF">2023-11-09T05:25:04Z</dcterms:modified>
</cp:coreProperties>
</file>