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Expensify Neue;sans-serif" w:hAnsi="Expensify Neue;sans-serif"/>
          <w:b/>
          <w:color w:val="000000"/>
          <w:sz w:val="36"/>
        </w:rPr>
      </w:pPr>
      <w:r>
        <w:rPr>
          <w:rFonts w:ascii="Expensify Neue;sans-serif" w:hAnsi="Expensify Neue;sans-serif"/>
          <w:b/>
          <w:color w:val="000000"/>
          <w:sz w:val="36"/>
        </w:rPr>
        <w:t>UNITED STATES</w:t>
      </w:r>
    </w:p>
    <w:p>
      <w:pPr>
        <w:pStyle w:val="TextBody"/>
        <w:bidi w:val="0"/>
        <w:spacing w:lineRule="auto" w:line="288" w:before="120" w:after="283"/>
        <w:jc w:val="center"/>
        <w:rPr>
          <w:rFonts w:ascii="Expensify Neue;sans-serif" w:hAnsi="Expensify Neue;sans-serif"/>
          <w:b/>
          <w:color w:val="000000"/>
          <w:sz w:val="36"/>
        </w:rPr>
      </w:pPr>
      <w:r>
        <w:rPr>
          <w:rFonts w:ascii="Expensify Neue;sans-serif" w:hAnsi="Expensify Neue;sans-serif"/>
          <w:b/>
          <w:color w:val="000000"/>
          <w:sz w:val="36"/>
        </w:rPr>
        <w:t>SECURITIES AND EXCHANGE COMMISSION</w:t>
      </w:r>
    </w:p>
    <w:p>
      <w:pPr>
        <w:pStyle w:val="TextBody"/>
        <w:bidi w:val="0"/>
        <w:spacing w:lineRule="auto" w:line="288" w:before="0" w:after="160"/>
        <w:jc w:val="center"/>
        <w:rPr>
          <w:rFonts w:ascii="Expensify Neue;sans-serif" w:hAnsi="Expensify Neue;sans-serif"/>
          <w:b/>
          <w:color w:val="000000"/>
          <w:sz w:val="28"/>
        </w:rPr>
      </w:pPr>
      <w:r>
        <w:rPr>
          <w:rFonts w:ascii="Expensify Neue;sans-serif" w:hAnsi="Expensify Neue;sans-serif"/>
          <w:b/>
          <w:color w:val="000000"/>
          <w:sz w:val="28"/>
        </w:rPr>
        <w:t>Washington, D.C. 20549</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120" w:after="283"/>
        <w:jc w:val="center"/>
        <w:rPr>
          <w:rFonts w:ascii="Expensify Neue;sans-serif" w:hAnsi="Expensify Neue;sans-serif"/>
          <w:b/>
          <w:color w:val="000000"/>
          <w:sz w:val="36"/>
        </w:rPr>
      </w:pPr>
      <w:r>
        <w:rPr>
          <w:rFonts w:ascii="Expensify Neue;sans-serif" w:hAnsi="Expensify Neue;sans-serif"/>
          <w:b/>
          <w:color w:val="000000"/>
          <w:sz w:val="36"/>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120" w:after="283"/>
        <w:jc w:val="left"/>
        <w:rPr>
          <w:rFonts w:ascii="Expensify Neue;sans-serif" w:hAnsi="Expensify Neue;sans-serif"/>
          <w:b/>
          <w:color w:val="000000"/>
          <w:sz w:val="20"/>
        </w:rPr>
      </w:pPr>
      <w:r>
        <w:rPr>
          <w:rFonts w:ascii="Expensify Neue;sans-serif" w:hAnsi="Expensify Neue;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color w:val="000000"/>
                <w:sz w:val="20"/>
              </w:rPr>
            </w:pPr>
            <w:r>
              <w:rPr>
                <w:rFonts w:ascii="Expensify Neue;sans-serif" w:hAnsi="Expensify Neue;sans-serif"/>
                <w:b/>
                <w:color w:val="000000"/>
                <w:sz w:val="20"/>
              </w:rPr>
              <w:t>QUARTERLY REPORT PURSUANT TO SECTION 13 OR 15(d) OF THE SECURITIES EXCHANGE ACT OF 1934</w:t>
            </w:r>
          </w:p>
        </w:tc>
      </w:tr>
    </w:tbl>
    <w:p>
      <w:pPr>
        <w:pStyle w:val="TextBody"/>
        <w:bidi w:val="0"/>
        <w:spacing w:lineRule="auto" w:line="288" w:before="120" w:after="283"/>
        <w:jc w:val="left"/>
        <w:rPr>
          <w:rFonts w:ascii="Expensify Neue;sans-serif" w:hAnsi="Expensify Neue;sans-serif"/>
          <w:b/>
          <w:color w:val="000000"/>
          <w:sz w:val="20"/>
        </w:rPr>
      </w:pPr>
      <w:r>
        <w:rPr>
          <w:rFonts w:ascii="Expensify Neue;sans-serif" w:hAnsi="Expensify Neue;sans-serif"/>
          <w:b/>
          <w:color w:val="000000"/>
          <w:sz w:val="20"/>
        </w:rPr>
        <w:t>For the quarterly period ended September 30, 2025</w:t>
      </w:r>
    </w:p>
    <w:p>
      <w:pPr>
        <w:pStyle w:val="TextBody"/>
        <w:bidi w:val="0"/>
        <w:spacing w:lineRule="auto" w:line="288" w:before="120" w:after="283"/>
        <w:jc w:val="center"/>
        <w:rPr>
          <w:rFonts w:ascii="Expensify Neue;sans-serif" w:hAnsi="Expensify Neue;sans-serif"/>
          <w:b/>
          <w:color w:val="000000"/>
          <w:sz w:val="20"/>
        </w:rPr>
      </w:pPr>
      <w:r>
        <w:rPr>
          <w:rFonts w:ascii="Expensify Neue;sans-serif" w:hAnsi="Expensify Neue;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color w:val="000000"/>
                <w:sz w:val="20"/>
              </w:rPr>
            </w:pPr>
            <w:r>
              <w:rPr>
                <w:rFonts w:ascii="Expensify Neue;sans-serif" w:hAnsi="Expensify Neue;sans-serif"/>
                <w:b/>
                <w:color w:val="000000"/>
                <w:sz w:val="20"/>
              </w:rPr>
              <w:t>TRANSITION REPORT PURSUANT TO SECTION 13 OR 15(d) OF THE SECURITIES EXCHANGE ACT OF 1934</w:t>
            </w:r>
          </w:p>
        </w:tc>
      </w:tr>
    </w:tbl>
    <w:p>
      <w:pPr>
        <w:pStyle w:val="TextBody"/>
        <w:bidi w:val="0"/>
        <w:spacing w:lineRule="auto" w:line="288" w:before="120" w:after="283"/>
        <w:jc w:val="left"/>
        <w:rPr/>
      </w:pPr>
      <w:r>
        <w:rPr>
          <w:rFonts w:ascii="Expensify Neue;sans-serif" w:hAnsi="Expensify Neue;sans-serif"/>
          <w:b/>
          <w:color w:val="000000"/>
          <w:sz w:val="20"/>
        </w:rPr>
        <w:t xml:space="preserve">For the transition period from </w:t>
      </w:r>
      <w:r>
        <w:rPr>
          <w:rFonts w:ascii="Times New Roman;serif" w:hAnsi="Times New Roman;serif"/>
          <w:b/>
          <w:color w:val="000000"/>
          <w:sz w:val="20"/>
        </w:rPr>
        <w:t>_______</w:t>
      </w:r>
      <w:r>
        <w:rPr>
          <w:color w:val="000000"/>
        </w:rPr>
        <w:t xml:space="preserve"> </w:t>
      </w:r>
      <w:r>
        <w:rPr>
          <w:rFonts w:ascii="Expensify Neue;sans-serif" w:hAnsi="Expensify Neue;sans-serif"/>
          <w:b/>
          <w:color w:val="000000"/>
          <w:sz w:val="20"/>
        </w:rPr>
        <w:t xml:space="preserve">to </w:t>
      </w:r>
      <w:r>
        <w:rPr>
          <w:rFonts w:ascii="Times New Roman;serif" w:hAnsi="Times New Roman;serif"/>
          <w:b/>
          <w:color w:val="000000"/>
          <w:sz w:val="20"/>
        </w:rPr>
        <w:t>_______</w:t>
      </w:r>
    </w:p>
    <w:p>
      <w:pPr>
        <w:pStyle w:val="TextBody"/>
        <w:bidi w:val="0"/>
        <w:spacing w:lineRule="auto" w:line="288" w:before="120" w:after="283"/>
        <w:jc w:val="center"/>
        <w:rPr>
          <w:rFonts w:ascii="Expensify Neue;sans-serif" w:hAnsi="Expensify Neue;sans-serif"/>
          <w:b/>
          <w:color w:val="000000"/>
          <w:sz w:val="20"/>
        </w:rPr>
      </w:pPr>
      <w:r>
        <w:rPr>
          <w:rFonts w:ascii="Expensify Neue;sans-serif" w:hAnsi="Expensify Neue;sans-serif"/>
          <w:b/>
          <w:color w:val="000000"/>
          <w:sz w:val="20"/>
        </w:rPr>
        <w:t>Commission File Number 001-41043</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before="0" w:after="160"/>
        <w:jc w:val="center"/>
        <w:rPr/>
      </w:pPr>
      <w:r>
        <w:rPr/>
        <w:drawing>
          <wp:inline distT="0" distB="0" distL="0" distR="0">
            <wp:extent cx="213360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33600" cy="495300"/>
                    </a:xfrm>
                    <a:prstGeom prst="rect">
                      <a:avLst/>
                    </a:prstGeom>
                  </pic:spPr>
                </pic:pic>
              </a:graphicData>
            </a:graphic>
          </wp:inline>
        </w:drawing>
      </w:r>
      <w:bookmarkStart w:id="0" w:name="i-1"/>
      <w:bookmarkEnd w:id="0"/>
    </w:p>
    <w:p>
      <w:pPr>
        <w:pStyle w:val="TextBody"/>
        <w:bidi w:val="0"/>
        <w:spacing w:lineRule="auto" w:line="288" w:before="120" w:after="283"/>
        <w:jc w:val="center"/>
        <w:rPr>
          <w:rFonts w:ascii="Expensify Neue;sans-serif" w:hAnsi="Expensify Neue;sans-serif"/>
          <w:b/>
          <w:color w:val="000000"/>
          <w:sz w:val="36"/>
        </w:rPr>
      </w:pPr>
      <w:r>
        <w:rPr>
          <w:rFonts w:ascii="Expensify Neue;sans-serif" w:hAnsi="Expensify Neue;sans-serif"/>
          <w:b/>
          <w:color w:val="000000"/>
          <w:sz w:val="36"/>
        </w:rPr>
        <w:t>EXPENSIFY,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120" w:after="283"/>
        <w:jc w:val="center"/>
        <w:rPr>
          <w:rFonts w:ascii="Expensify Neue;sans-serif" w:hAnsi="Expensify Neue;sans-serif"/>
          <w:b/>
          <w:color w:val="000000"/>
          <w:sz w:val="24"/>
        </w:rPr>
      </w:pPr>
      <w:r>
        <w:rPr>
          <w:rFonts w:ascii="Expensify Neue;sans-serif" w:hAnsi="Expensify Neue;sans-serif"/>
          <w:b/>
          <w:color w:val="000000"/>
          <w:sz w:val="24"/>
        </w:rPr>
        <w:t>(Exact name of registrant as specified in its charter)</w:t>
      </w:r>
    </w:p>
    <w:tbl>
      <w:tblPr>
        <w:tblW w:w="9388" w:type="dxa"/>
        <w:jc w:val="left"/>
        <w:tblInd w:w="0" w:type="dxa"/>
        <w:tblLayout w:type="fixed"/>
        <w:tblCellMar>
          <w:top w:w="28" w:type="dxa"/>
          <w:left w:w="28" w:type="dxa"/>
          <w:bottom w:w="28" w:type="dxa"/>
          <w:right w:w="28" w:type="dxa"/>
        </w:tblCellMar>
      </w:tblPr>
      <w:tblGrid>
        <w:gridCol w:w="2129"/>
        <w:gridCol w:w="1871"/>
        <w:gridCol w:w="1879"/>
        <w:gridCol w:w="1028"/>
        <w:gridCol w:w="1028"/>
        <w:gridCol w:w="1453"/>
      </w:tblGrid>
      <w:tr>
        <w:trPr/>
        <w:tc>
          <w:tcPr>
            <w:tcW w:w="2129"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color w:val="000000"/>
                <w:sz w:val="20"/>
              </w:rPr>
            </w:pPr>
            <w:r>
              <w:rPr>
                <w:rFonts w:ascii="Expensify Neue;sans-serif" w:hAnsi="Expensify Neue;sans-serif"/>
                <w:b/>
                <w:color w:val="000000"/>
                <w:sz w:val="20"/>
              </w:rPr>
              <w:t>Delaware</w:t>
            </w:r>
          </w:p>
        </w:tc>
        <w:tc>
          <w:tcPr>
            <w:tcW w:w="35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color w:val="000000"/>
                <w:sz w:val="20"/>
              </w:rPr>
            </w:pPr>
            <w:r>
              <w:rPr>
                <w:rFonts w:ascii="Expensify Neue;sans-serif" w:hAnsi="Expensify Neue;sans-serif"/>
                <w:b/>
                <w:color w:val="000000"/>
                <w:sz w:val="20"/>
              </w:rPr>
              <w:t>27-0239450</w:t>
            </w:r>
          </w:p>
        </w:tc>
      </w:tr>
      <w:tr>
        <w:trPr/>
        <w:tc>
          <w:tcPr>
            <w:tcW w:w="58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(State or other jurisdiction of incorporation or organization)</w:t>
            </w:r>
          </w:p>
        </w:tc>
        <w:tc>
          <w:tcPr>
            <w:tcW w:w="35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(I.R.S. Employer Identification No.)</w:t>
            </w:r>
          </w:p>
        </w:tc>
      </w:tr>
      <w:tr>
        <w:trPr/>
        <w:tc>
          <w:tcPr>
            <w:tcW w:w="58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Expensify Neue;sans-serif" w:hAnsi="Expensify Neue;sans-serif"/>
                <w:b/>
                <w:color w:val="000000"/>
                <w:sz w:val="18"/>
              </w:rPr>
            </w:pPr>
            <w:r>
              <w:rPr>
                <w:rFonts w:ascii="Expensify Neue;sans-serif" w:hAnsi="Expensify Neue;sans-serif"/>
                <w:b/>
                <w:color w:val="000000"/>
                <w:sz w:val="18"/>
              </w:rPr>
              <w:t>88 Kearny St, Ste 1600</w:t>
            </w:r>
          </w:p>
          <w:p>
            <w:pPr>
              <w:pStyle w:val="TableContents"/>
              <w:bidi w:val="0"/>
              <w:spacing w:lineRule="auto" w:line="288" w:before="0" w:after="0"/>
              <w:jc w:val="center"/>
              <w:rPr>
                <w:rFonts w:ascii="Expensify Neue;sans-serif" w:hAnsi="Expensify Neue;sans-serif"/>
                <w:b/>
                <w:color w:val="000000"/>
                <w:sz w:val="18"/>
              </w:rPr>
            </w:pPr>
            <w:r>
              <w:rPr>
                <w:rFonts w:ascii="Expensify Neue;sans-serif" w:hAnsi="Expensify Neue;sans-serif"/>
                <w:b/>
                <w:color w:val="000000"/>
                <w:sz w:val="18"/>
              </w:rPr>
              <w:t xml:space="preserve">San Francisco, California </w:t>
            </w:r>
          </w:p>
        </w:tc>
        <w:tc>
          <w:tcPr>
            <w:tcW w:w="3509"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Expensify Neue;sans-serif" w:hAnsi="Expensify Neue;sans-serif"/>
                <w:b/>
                <w:color w:val="000000"/>
                <w:sz w:val="18"/>
              </w:rPr>
            </w:pPr>
            <w:r>
              <w:rPr>
                <w:rFonts w:ascii="Expensify Neue;sans-serif" w:hAnsi="Expensify Neue;sans-serif"/>
                <w:b/>
                <w:color w:val="000000"/>
                <w:sz w:val="18"/>
              </w:rPr>
              <w:t>94108</w:t>
            </w:r>
          </w:p>
        </w:tc>
      </w:tr>
      <w:tr>
        <w:trPr/>
        <w:tc>
          <w:tcPr>
            <w:tcW w:w="58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(Address of Principal Executive Offices)</w:t>
            </w:r>
          </w:p>
        </w:tc>
        <w:tc>
          <w:tcPr>
            <w:tcW w:w="35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(Zip Code)</w:t>
            </w:r>
          </w:p>
        </w:tc>
      </w:tr>
    </w:tbl>
    <w:p>
      <w:pPr>
        <w:pStyle w:val="TextBody"/>
        <w:bidi w:val="0"/>
        <w:spacing w:lineRule="auto" w:line="288" w:before="120" w:after="283"/>
        <w:jc w:val="center"/>
        <w:rPr>
          <w:rFonts w:ascii="Expensify Neue;sans-serif" w:hAnsi="Expensify Neue;sans-serif"/>
          <w:b/>
          <w:color w:val="000000"/>
          <w:sz w:val="20"/>
        </w:rPr>
      </w:pPr>
      <w:r>
        <w:rPr>
          <w:rFonts w:ascii="Expensify Neue;sans-serif" w:hAnsi="Expensify Neue;sans-serif"/>
          <w:b/>
          <w:color w:val="000000"/>
          <w:sz w:val="20"/>
        </w:rPr>
        <w:t>(971) 365-3939</w:t>
      </w:r>
    </w:p>
    <w:p>
      <w:pPr>
        <w:pStyle w:val="TextBody"/>
        <w:bidi w:val="0"/>
        <w:spacing w:lineRule="auto" w:line="288"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Registrant’s telephone number, including area code</w:t>
      </w:r>
    </w:p>
    <w:p>
      <w:pPr>
        <w:pStyle w:val="TextBody"/>
        <w:bidi w:val="0"/>
        <w:spacing w:before="0" w:after="160"/>
        <w:jc w:val="center"/>
        <w:rPr/>
      </w:pPr>
      <w:r>
        <w:rPr/>
      </w:r>
    </w:p>
    <w:p>
      <w:pPr>
        <w:pStyle w:val="TextBody"/>
        <w:bidi w:val="0"/>
        <w:spacing w:lineRule="auto" w:line="288" w:before="120" w:after="283"/>
        <w:jc w:val="center"/>
        <w:rPr>
          <w:rFonts w:ascii="Expensify Neue;sans-serif" w:hAnsi="Expensify Neue;sans-serif"/>
          <w:b/>
          <w:color w:val="000000"/>
          <w:sz w:val="20"/>
        </w:rPr>
      </w:pPr>
      <w:r>
        <w:rPr>
          <w:rFonts w:ascii="Expensify Neue;sans-serif" w:hAnsi="Expensify Neue;sans-serif"/>
          <w:b/>
          <w:color w:val="000000"/>
          <w:sz w:val="20"/>
        </w:rPr>
        <w:t>401 SW 5th Ave, Portland, OR 97204</w:t>
      </w:r>
    </w:p>
    <w:p>
      <w:pPr>
        <w:pStyle w:val="TextBody"/>
        <w:bidi w:val="0"/>
        <w:spacing w:lineRule="auto" w:line="288"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Former name, former address and former fiscal year, if changed since last report</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before="0" w:after="160"/>
        <w:jc w:val="center"/>
        <w:rPr/>
      </w:pPr>
      <w:r>
        <w:rPr/>
      </w:r>
    </w:p>
    <w:p>
      <w:pPr>
        <w:pStyle w:val="TextBody"/>
        <w:bidi w:val="0"/>
        <w:spacing w:lineRule="auto" w:line="288" w:before="120" w:after="283"/>
        <w:jc w:val="left"/>
        <w:rPr>
          <w:rFonts w:ascii="Expensify Neue;sans-serif" w:hAnsi="Expensify Neue;sans-serif"/>
          <w:b w:val="false"/>
          <w:color w:val="000000"/>
          <w:sz w:val="20"/>
        </w:rPr>
      </w:pPr>
      <w:r>
        <w:rPr>
          <w:rFonts w:ascii="Expensify Neue;sans-serif" w:hAnsi="Expensify Neue;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620"/>
        <w:gridCol w:w="1348"/>
        <w:gridCol w:w="1362"/>
        <w:gridCol w:w="109"/>
        <w:gridCol w:w="109"/>
        <w:gridCol w:w="109"/>
        <w:gridCol w:w="540"/>
        <w:gridCol w:w="540"/>
        <w:gridCol w:w="542"/>
        <w:gridCol w:w="109"/>
        <w:gridCol w:w="109"/>
        <w:gridCol w:w="109"/>
        <w:gridCol w:w="1053"/>
        <w:gridCol w:w="1053"/>
        <w:gridCol w:w="1493"/>
      </w:tblGrid>
      <w:tr>
        <w:trPr/>
        <w:tc>
          <w:tcPr>
            <w:tcW w:w="1620"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color w:val="000000"/>
                <w:sz w:val="16"/>
              </w:rPr>
            </w:pPr>
            <w:r>
              <w:rPr>
                <w:rFonts w:ascii="Expensify Neue;sans-serif" w:hAnsi="Expensify Neue;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color w:val="000000"/>
                <w:sz w:val="16"/>
              </w:rPr>
            </w:pPr>
            <w:r>
              <w:rPr>
                <w:rFonts w:ascii="Expensify Neue;sans-serif" w:hAnsi="Expensify Neue;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color w:val="000000"/>
                <w:sz w:val="16"/>
              </w:rPr>
            </w:pPr>
            <w:r>
              <w:rPr>
                <w:rFonts w:ascii="Expensify Neue;sans-serif" w:hAnsi="Expensify Neue;sans-serif"/>
                <w:b/>
                <w:color w:val="000000"/>
                <w:sz w:val="16"/>
              </w:rPr>
              <w:t>Name of each exchange on which registered</w:t>
            </w:r>
          </w:p>
        </w:tc>
      </w:tr>
      <w:tr>
        <w:trPr/>
        <w:tc>
          <w:tcPr>
            <w:tcW w:w="4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EXFY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The Nasdaq Stock Market LLC</w:t>
            </w:r>
          </w:p>
        </w:tc>
      </w:tr>
    </w:tbl>
    <w:p>
      <w:pPr>
        <w:pStyle w:val="TextBody"/>
        <w:bidi w:val="0"/>
        <w:spacing w:lineRule="auto" w:line="288" w:before="120" w:after="283"/>
        <w:jc w:val="left"/>
        <w:rPr/>
      </w:pPr>
      <w:r>
        <w:rPr>
          <w:rFonts w:ascii="Expensify Neue;sans-serif" w:hAnsi="Expensify Neue;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Expensify Neue;sans-serif" w:hAnsi="Expensify Neue;sans-serif"/>
          <w:b w:val="false"/>
          <w:color w:val="000000"/>
          <w:sz w:val="20"/>
        </w:rPr>
        <w:t>No </w:t>
      </w:r>
      <w:r>
        <w:rPr>
          <w:rFonts w:ascii="Wingdings;sans-serif" w:hAnsi="Wingdings;sans-serif"/>
          <w:b w:val="false"/>
          <w:color w:val="000000"/>
          <w:sz w:val="20"/>
        </w:rPr>
        <w:t>o</w:t>
      </w:r>
    </w:p>
    <w:p>
      <w:pPr>
        <w:pStyle w:val="TextBody"/>
        <w:bidi w:val="0"/>
        <w:spacing w:lineRule="auto" w:line="288" w:before="120" w:after="283"/>
        <w:jc w:val="left"/>
        <w:rPr/>
      </w:pPr>
      <w:r>
        <w:rPr>
          <w:rFonts w:ascii="Expensify Neue;sans-serif" w:hAnsi="Expensify Neue;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Expensify Neue;sans-serif" w:hAnsi="Expensify Neue;sans-serif"/>
          <w:b w:val="false"/>
          <w:color w:val="000000"/>
          <w:sz w:val="20"/>
        </w:rPr>
        <w:t>No </w:t>
      </w:r>
      <w:r>
        <w:rPr>
          <w:rFonts w:ascii="Wingdings;sans-serif" w:hAnsi="Wingdings;sans-serif"/>
          <w:b w:val="false"/>
          <w:color w:val="000000"/>
          <w:sz w:val="20"/>
        </w:rPr>
        <w:t>o</w:t>
      </w:r>
    </w:p>
    <w:p>
      <w:pPr>
        <w:pStyle w:val="TextBody"/>
        <w:bidi w:val="0"/>
        <w:spacing w:lineRule="auto" w:line="288" w:before="120" w:after="283"/>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754" w:type="dxa"/>
        <w:jc w:val="left"/>
        <w:tblInd w:w="0" w:type="dxa"/>
        <w:tblLayout w:type="fixed"/>
        <w:tblCellMar>
          <w:top w:w="28" w:type="dxa"/>
          <w:left w:w="28" w:type="dxa"/>
          <w:bottom w:w="28" w:type="dxa"/>
          <w:right w:w="28" w:type="dxa"/>
        </w:tblCellMar>
      </w:tblPr>
      <w:tblGrid>
        <w:gridCol w:w="832"/>
        <w:gridCol w:w="730"/>
        <w:gridCol w:w="733"/>
        <w:gridCol w:w="109"/>
        <w:gridCol w:w="109"/>
        <w:gridCol w:w="109"/>
        <w:gridCol w:w="919"/>
        <w:gridCol w:w="919"/>
        <w:gridCol w:w="922"/>
        <w:gridCol w:w="109"/>
        <w:gridCol w:w="109"/>
        <w:gridCol w:w="154"/>
      </w:tblGrid>
      <w:tr>
        <w:trPr/>
        <w:tc>
          <w:tcPr>
            <w:tcW w:w="83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60"/>
              <w:jc w:val="left"/>
              <w:rPr>
                <w:color w:val="000000"/>
              </w:rPr>
            </w:pPr>
            <w:r>
              <w:rPr>
                <w:color w:val="000000"/>
              </w:rPr>
              <w:t>☐</w:t>
            </w:r>
          </w:p>
        </w:tc>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60"/>
              <w:jc w:val="left"/>
              <w:rPr>
                <w:color w:val="000000"/>
              </w:rPr>
            </w:pPr>
            <w:r>
              <w:rPr>
                <w:color w:val="000000"/>
              </w:rPr>
              <w:t>☐</w:t>
            </w:r>
          </w:p>
        </w:tc>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60"/>
              <w:jc w:val="left"/>
              <w:rPr>
                <w:color w:val="000000"/>
              </w:rPr>
            </w:pPr>
            <w:r>
              <w:rPr>
                <w:color w:val="000000"/>
              </w:rPr>
              <w:t>☐</w:t>
            </w:r>
          </w:p>
        </w:tc>
      </w:tr>
    </w:tbl>
    <w:p>
      <w:pPr>
        <w:pStyle w:val="TextBody"/>
        <w:bidi w:val="0"/>
        <w:spacing w:lineRule="auto" w:line="288" w:before="120" w:after="283"/>
        <w:jc w:val="left"/>
        <w:rPr/>
      </w:pPr>
      <w:r>
        <w:rPr>
          <w:rFonts w:ascii="Expensify Neue;sans-serif" w:hAnsi="Expensify Neue;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w:t>
      </w:r>
    </w:p>
    <w:p>
      <w:pPr>
        <w:pStyle w:val="TextBody"/>
        <w:bidi w:val="0"/>
        <w:spacing w:lineRule="auto" w:line="288" w:before="120" w:after="283"/>
        <w:jc w:val="left"/>
        <w:rPr>
          <w:rFonts w:ascii="Expensify Neue;sans-serif" w:hAnsi="Expensify Neue;sans-serif"/>
          <w:b w:val="false"/>
          <w:color w:val="000000"/>
          <w:sz w:val="20"/>
        </w:rPr>
      </w:pPr>
      <w:r>
        <w:rPr>
          <w:rFonts w:ascii="Expensify Neue;sans-serif" w:hAnsi="Expensify Neue;sans-serif"/>
          <w:b w:val="false"/>
          <w:color w:val="000000"/>
          <w:sz w:val="20"/>
        </w:rPr>
        <w:t>Indicate by check mark whether the registrant is a shell company (as defined in Rule 12b-2 of the Exchange Act).</w:t>
      </w:r>
    </w:p>
    <w:p>
      <w:pPr>
        <w:pStyle w:val="TextBody"/>
        <w:bidi w:val="0"/>
        <w:spacing w:lineRule="auto" w:line="288" w:before="0" w:after="160"/>
        <w:jc w:val="left"/>
        <w:rPr/>
      </w:pPr>
      <w:r>
        <w:rPr>
          <w:rFonts w:ascii="Expensify Neue;sans-serif" w:hAnsi="Expensify Neue;sans-serif"/>
          <w:b w:val="false"/>
          <w:color w:val="000000"/>
          <w:sz w:val="20"/>
        </w:rPr>
        <w:t xml:space="preserve">Yes </w:t>
      </w:r>
      <w:r>
        <w:rPr>
          <w:rFonts w:ascii="Wingdings;sans-serif" w:hAnsi="Wingdings;sans-serif"/>
          <w:b w:val="false"/>
          <w:color w:val="000000"/>
          <w:sz w:val="20"/>
        </w:rPr>
        <w:t>o</w:t>
      </w:r>
      <w:r>
        <w:rPr>
          <w:color w:val="000000"/>
        </w:rPr>
        <w:t> </w:t>
      </w:r>
      <w:r>
        <w:rPr>
          <w:rFonts w:ascii="Expensify Neue;sans-serif" w:hAnsi="Expensify Neue;sans-serif"/>
          <w:b w:val="false"/>
          <w:color w:val="000000"/>
          <w:sz w:val="20"/>
        </w:rPr>
        <w:t>No </w:t>
      </w:r>
      <w:r>
        <w:rPr>
          <w:rFonts w:ascii="Wingdings;sans-serif" w:hAnsi="Wingdings;sans-serif"/>
          <w:b w:val="false"/>
          <w:color w:val="000000"/>
          <w:sz w:val="20"/>
        </w:rPr>
        <w:t>x</w:t>
      </w:r>
    </w:p>
    <w:p>
      <w:pPr>
        <w:pStyle w:val="TextBody"/>
        <w:bidi w:val="0"/>
        <w:spacing w:lineRule="auto" w:line="288" w:before="120" w:after="283"/>
        <w:jc w:val="left"/>
        <w:rPr>
          <w:rFonts w:ascii="Expensify Neue;sans-serif" w:hAnsi="Expensify Neue;sans-serif"/>
          <w:b w:val="false"/>
          <w:color w:val="000000"/>
          <w:sz w:val="20"/>
        </w:rPr>
      </w:pPr>
      <w:r>
        <w:rPr>
          <w:rFonts w:ascii="Expensify Neue;sans-serif" w:hAnsi="Expensify Neue;sans-serif"/>
          <w:b w:val="false"/>
          <w:color w:val="000000"/>
          <w:sz w:val="20"/>
        </w:rPr>
        <w:t>The registrant had outstanding 80,840,150 shares of Class A common stock, par value of $0.0001 per share, 4,209,827 shares of LT10 common stock, par value $0.0001 per share, and 7,988,939 shares of LT50 common stock, par value $0.0001 per share, as of November 3,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lineRule="auto" w:line="288" w:before="0" w:after="320"/>
        <w:jc w:val="left"/>
        <w:rPr>
          <w:rFonts w:ascii="Expensify New Kansas Medium;sans-serif" w:hAnsi="Expensify New Kansas Medium;sans-serif"/>
          <w:b/>
          <w:color w:val="002E22"/>
          <w:sz w:val="36"/>
        </w:rPr>
      </w:pPr>
      <w:r>
        <w:rPr>
          <w:rFonts w:ascii="Expensify New Kansas Medium;sans-serif" w:hAnsi="Expensify New Kansas Medium;sans-serif"/>
          <w:b/>
          <w:color w:val="002E22"/>
          <w:sz w:val="36"/>
        </w:rPr>
        <w:t>Table of Contents</w:t>
      </w:r>
    </w:p>
    <w:tbl>
      <w:tblPr>
        <w:tblW w:w="10205" w:type="dxa"/>
        <w:jc w:val="left"/>
        <w:tblInd w:w="0" w:type="dxa"/>
        <w:tblLayout w:type="fixed"/>
        <w:tblCellMar>
          <w:top w:w="28" w:type="dxa"/>
          <w:left w:w="28" w:type="dxa"/>
          <w:bottom w:w="28" w:type="dxa"/>
          <w:right w:w="28" w:type="dxa"/>
        </w:tblCellMar>
      </w:tblPr>
      <w:tblGrid>
        <w:gridCol w:w="855"/>
        <w:gridCol w:w="751"/>
        <w:gridCol w:w="751"/>
        <w:gridCol w:w="2580"/>
        <w:gridCol w:w="2419"/>
        <w:gridCol w:w="2455"/>
        <w:gridCol w:w="114"/>
        <w:gridCol w:w="114"/>
        <w:gridCol w:w="166"/>
      </w:tblGrid>
      <w:tr>
        <w:trPr/>
        <w:tc>
          <w:tcPr>
            <w:tcW w:w="85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17fddb0c6514749925147b8a9bca91a_10">
              <w:r>
                <w:rPr>
                  <w:rStyle w:val="InternetLink"/>
                  <w:rFonts w:ascii="Expensify Neue;sans-serif" w:hAnsi="Expensify Neue;sans-serif"/>
                  <w:b w:val="false"/>
                  <w:strike w:val="false"/>
                  <w:dstrike w:val="false"/>
                  <w:color w:val="03D47C"/>
                  <w:sz w:val="20"/>
                  <w:u w:val="none"/>
                  <w:effect w:val="none"/>
                </w:rPr>
                <w:t>Special Note Regarding Forward-Looking Statements</w:t>
              </w:r>
            </w:hyperlink>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17fddb0c6514749925147b8a9bca91a_13">
              <w:r>
                <w:rPr>
                  <w:rStyle w:val="InternetLink"/>
                  <w:rFonts w:ascii="Expensify Neue;sans-serif" w:hAnsi="Expensify Neue;sans-serif"/>
                  <w:b/>
                  <w:strike w:val="false"/>
                  <w:dstrike w:val="false"/>
                  <w:color w:val="03D47C"/>
                  <w:sz w:val="20"/>
                  <w:u w:val="none"/>
                  <w:effect w:val="none"/>
                </w:rPr>
                <w:t>Part I - Financial Information</w:t>
              </w:r>
            </w:hyperlink>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3D47C"/>
                <w:sz w:val="20"/>
              </w:rPr>
            </w:pPr>
            <w:r>
              <w:rPr>
                <w:rFonts w:ascii="Expensify Neue;sans-serif" w:hAnsi="Expensify Neue;sans-serif"/>
                <w:b w:val="false"/>
                <w:color w:val="03D47C"/>
                <w:sz w:val="20"/>
              </w:rPr>
              <w:t>Item 1.</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7fddb0c6514749925147b8a9bca91a_16">
              <w:r>
                <w:rPr>
                  <w:rStyle w:val="InternetLink"/>
                  <w:rFonts w:ascii="Expensify Neue;sans-serif" w:hAnsi="Expensify Neue;sans-serif"/>
                  <w:b w:val="false"/>
                  <w:strike w:val="false"/>
                  <w:dstrike w:val="false"/>
                  <w:color w:val="03D47C"/>
                  <w:sz w:val="20"/>
                  <w:u w:val="none"/>
                  <w:effect w:val="none"/>
                </w:rPr>
                <w:t>Condensed Consolidated Financial Statements</w:t>
              </w:r>
            </w:hyperlink>
          </w:p>
        </w:tc>
        <w:tc>
          <w:tcPr>
            <w:tcW w:w="3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7fddb0c6514749925147b8a9bca91a_16">
              <w:r>
                <w:rPr>
                  <w:rStyle w:val="InternetLink"/>
                  <w:rFonts w:ascii="Expensify Neue;sans-serif" w:hAnsi="Expensify Neue;sans-serif"/>
                  <w:b w:val="false"/>
                  <w:strike w:val="false"/>
                  <w:dstrike w:val="false"/>
                  <w:color w:val="03D47C"/>
                  <w:sz w:val="20"/>
                  <w:u w:val="none"/>
                  <w:effect w:val="none"/>
                </w:rPr>
                <w:t>1</w:t>
              </w:r>
            </w:hyperlink>
          </w:p>
        </w:tc>
      </w:tr>
      <w:tr>
        <w:trPr/>
        <w:tc>
          <w:tcPr>
            <w:tcW w:w="2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817fddb0c6514749925147b8a9bca91a_19">
              <w:r>
                <w:rPr>
                  <w:rStyle w:val="InternetLink"/>
                  <w:rFonts w:ascii="Expensify Neue;sans-serif" w:hAnsi="Expensify Neue;sans-serif"/>
                  <w:b w:val="false"/>
                  <w:strike w:val="false"/>
                  <w:dstrike w:val="false"/>
                  <w:color w:val="03D47C"/>
                  <w:sz w:val="20"/>
                  <w:u w:val="none"/>
                  <w:effect w:val="none"/>
                </w:rPr>
                <w:t>Condensed Consolidated Balance Sheets</w:t>
              </w:r>
            </w:hyperlink>
          </w:p>
        </w:tc>
        <w:tc>
          <w:tcPr>
            <w:tcW w:w="3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7fddb0c6514749925147b8a9bca91a_19">
              <w:r>
                <w:rPr>
                  <w:rStyle w:val="InternetLink"/>
                  <w:rFonts w:ascii="Expensify Neue;sans-serif" w:hAnsi="Expensify Neue;sans-serif"/>
                  <w:b w:val="false"/>
                  <w:strike w:val="false"/>
                  <w:dstrike w:val="false"/>
                  <w:color w:val="03D47C"/>
                  <w:sz w:val="20"/>
                  <w:u w:val="none"/>
                  <w:effect w:val="none"/>
                </w:rPr>
                <w:t>2</w:t>
              </w:r>
            </w:hyperlink>
          </w:p>
        </w:tc>
      </w:tr>
      <w:tr>
        <w:trPr/>
        <w:tc>
          <w:tcPr>
            <w:tcW w:w="2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817fddb0c6514749925147b8a9bca91a_22">
              <w:r>
                <w:rPr>
                  <w:rStyle w:val="InternetLink"/>
                  <w:rFonts w:ascii="Expensify Neue;sans-serif" w:hAnsi="Expensify Neue;sans-serif"/>
                  <w:b w:val="false"/>
                  <w:strike w:val="false"/>
                  <w:dstrike w:val="false"/>
                  <w:color w:val="03D47C"/>
                  <w:sz w:val="20"/>
                  <w:u w:val="none"/>
                  <w:effect w:val="none"/>
                </w:rPr>
                <w:t>Condensed Consolidated Statements of Operations</w:t>
              </w:r>
            </w:hyperlink>
          </w:p>
        </w:tc>
        <w:tc>
          <w:tcPr>
            <w:tcW w:w="3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7fddb0c6514749925147b8a9bca91a_22">
              <w:r>
                <w:rPr>
                  <w:rStyle w:val="InternetLink"/>
                  <w:rFonts w:ascii="Expensify Neue;sans-serif" w:hAnsi="Expensify Neue;sans-serif"/>
                  <w:b w:val="false"/>
                  <w:strike w:val="false"/>
                  <w:dstrike w:val="false"/>
                  <w:color w:val="03D47C"/>
                  <w:sz w:val="20"/>
                  <w:u w:val="none"/>
                  <w:effect w:val="none"/>
                </w:rPr>
                <w:t>3</w:t>
              </w:r>
            </w:hyperlink>
          </w:p>
        </w:tc>
      </w:tr>
      <w:tr>
        <w:trPr/>
        <w:tc>
          <w:tcPr>
            <w:tcW w:w="2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17fddb0c6514749925147b8a9bca91a_25">
              <w:r>
                <w:rPr>
                  <w:rStyle w:val="InternetLink"/>
                  <w:rFonts w:ascii="Expensify Neue;sans-serif" w:hAnsi="Expensify Neue;sans-serif"/>
                  <w:b w:val="false"/>
                  <w:strike w:val="false"/>
                  <w:dstrike w:val="false"/>
                  <w:color w:val="03D47C"/>
                  <w:sz w:val="20"/>
                  <w:u w:val="none"/>
                  <w:effect w:val="none"/>
                </w:rPr>
                <w:t>Condensed Consolidated Statements of Changes in Stockholders’ Equity</w:t>
              </w:r>
            </w:hyperlink>
          </w:p>
        </w:tc>
        <w:tc>
          <w:tcPr>
            <w:tcW w:w="3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7fddb0c6514749925147b8a9bca91a_25">
              <w:r>
                <w:rPr>
                  <w:rStyle w:val="InternetLink"/>
                  <w:rFonts w:ascii="Expensify Neue;sans-serif" w:hAnsi="Expensify Neue;sans-serif"/>
                  <w:b w:val="false"/>
                  <w:strike w:val="false"/>
                  <w:dstrike w:val="false"/>
                  <w:color w:val="03D47C"/>
                  <w:sz w:val="20"/>
                  <w:u w:val="none"/>
                  <w:effect w:val="none"/>
                </w:rPr>
                <w:t>4</w:t>
              </w:r>
            </w:hyperlink>
          </w:p>
        </w:tc>
      </w:tr>
      <w:tr>
        <w:trPr/>
        <w:tc>
          <w:tcPr>
            <w:tcW w:w="2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817fddb0c6514749925147b8a9bca91a_28">
              <w:r>
                <w:rPr>
                  <w:rStyle w:val="InternetLink"/>
                  <w:rFonts w:ascii="Expensify Neue;sans-serif" w:hAnsi="Expensify Neue;sans-serif"/>
                  <w:b w:val="false"/>
                  <w:strike w:val="false"/>
                  <w:dstrike w:val="false"/>
                  <w:color w:val="03D47C"/>
                  <w:sz w:val="20"/>
                  <w:u w:val="none"/>
                  <w:effect w:val="none"/>
                </w:rPr>
                <w:t>Condensed Consolidated Statements of Cash Flows</w:t>
              </w:r>
            </w:hyperlink>
          </w:p>
        </w:tc>
        <w:tc>
          <w:tcPr>
            <w:tcW w:w="3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7fddb0c6514749925147b8a9bca91a_28">
              <w:r>
                <w:rPr>
                  <w:rStyle w:val="InternetLink"/>
                  <w:rFonts w:ascii="Expensify Neue;sans-serif" w:hAnsi="Expensify Neue;sans-serif"/>
                  <w:b w:val="false"/>
                  <w:strike w:val="false"/>
                  <w:dstrike w:val="false"/>
                  <w:color w:val="03D47C"/>
                  <w:sz w:val="20"/>
                  <w:u w:val="none"/>
                  <w:effect w:val="none"/>
                </w:rPr>
                <w:t>8</w:t>
              </w:r>
            </w:hyperlink>
          </w:p>
        </w:tc>
      </w:tr>
      <w:tr>
        <w:trPr/>
        <w:tc>
          <w:tcPr>
            <w:tcW w:w="2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817fddb0c6514749925147b8a9bca91a_31">
              <w:r>
                <w:rPr>
                  <w:rStyle w:val="InternetLink"/>
                  <w:rFonts w:ascii="Expensify Neue;sans-serif" w:hAnsi="Expensify Neue;sans-serif"/>
                  <w:b w:val="false"/>
                  <w:strike w:val="false"/>
                  <w:dstrike w:val="false"/>
                  <w:color w:val="03D47C"/>
                  <w:sz w:val="20"/>
                  <w:u w:val="none"/>
                  <w:effect w:val="none"/>
                </w:rPr>
                <w:t>Notes to Condensed Consolidated Financial Statements</w:t>
              </w:r>
            </w:hyperlink>
          </w:p>
        </w:tc>
        <w:tc>
          <w:tcPr>
            <w:tcW w:w="3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7fddb0c6514749925147b8a9bca91a_31">
              <w:r>
                <w:rPr>
                  <w:rStyle w:val="InternetLink"/>
                  <w:rFonts w:ascii="Expensify Neue;sans-serif" w:hAnsi="Expensify Neue;sans-serif"/>
                  <w:b w:val="false"/>
                  <w:strike w:val="false"/>
                  <w:dstrike w:val="false"/>
                  <w:color w:val="03D47C"/>
                  <w:sz w:val="20"/>
                  <w:u w:val="none"/>
                  <w:effect w:val="none"/>
                </w:rPr>
                <w:t>9</w:t>
              </w:r>
            </w:hyperlink>
          </w:p>
        </w:tc>
      </w:tr>
      <w:tr>
        <w:trPr/>
        <w:tc>
          <w:tcPr>
            <w:tcW w:w="23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3D47C"/>
                <w:sz w:val="20"/>
              </w:rPr>
            </w:pPr>
            <w:r>
              <w:rPr>
                <w:rFonts w:ascii="Expensify Neue;sans-serif" w:hAnsi="Expensify Neue;sans-serif"/>
                <w:b w:val="false"/>
                <w:color w:val="03D47C"/>
                <w:sz w:val="20"/>
              </w:rPr>
              <w:t>Item 2.</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17fddb0c6514749925147b8a9bca91a_70">
              <w:r>
                <w:rPr>
                  <w:rStyle w:val="InternetLink"/>
                  <w:rFonts w:ascii="Expensify Neue;sans-serif" w:hAnsi="Expensify Neue;sans-serif"/>
                  <w:b w:val="false"/>
                  <w:strike w:val="false"/>
                  <w:dstrike w:val="false"/>
                  <w:color w:val="03D47C"/>
                  <w:sz w:val="20"/>
                  <w:u w:val="none"/>
                  <w:effect w:val="none"/>
                </w:rPr>
                <w:t>Management's Discussion and Analysis of Financial Condition and Results of Operations</w:t>
              </w:r>
            </w:hyperlink>
          </w:p>
        </w:tc>
        <w:tc>
          <w:tcPr>
            <w:tcW w:w="3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7fddb0c6514749925147b8a9bca91a_70">
              <w:r>
                <w:rPr>
                  <w:rStyle w:val="InternetLink"/>
                  <w:rFonts w:ascii="Expensify Neue;sans-serif" w:hAnsi="Expensify Neue;sans-serif"/>
                  <w:b w:val="false"/>
                  <w:strike w:val="false"/>
                  <w:dstrike w:val="false"/>
                  <w:color w:val="03D47C"/>
                  <w:sz w:val="20"/>
                  <w:u w:val="none"/>
                  <w:effect w:val="none"/>
                </w:rPr>
                <w:t>25</w:t>
              </w:r>
            </w:hyperlink>
          </w:p>
        </w:tc>
      </w:tr>
      <w:tr>
        <w:trPr/>
        <w:tc>
          <w:tcPr>
            <w:tcW w:w="23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3D47C"/>
                <w:sz w:val="20"/>
              </w:rPr>
            </w:pPr>
            <w:r>
              <w:rPr>
                <w:rFonts w:ascii="Expensify Neue;sans-serif" w:hAnsi="Expensify Neue;sans-serif"/>
                <w:b w:val="false"/>
                <w:color w:val="03D47C"/>
                <w:sz w:val="20"/>
              </w:rPr>
              <w:t>Item 3.</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7fddb0c6514749925147b8a9bca91a_106">
              <w:r>
                <w:rPr>
                  <w:rStyle w:val="InternetLink"/>
                  <w:rFonts w:ascii="Expensify Neue;sans-serif" w:hAnsi="Expensify Neue;sans-serif"/>
                  <w:b w:val="false"/>
                  <w:strike w:val="false"/>
                  <w:dstrike w:val="false"/>
                  <w:color w:val="03D47C"/>
                  <w:sz w:val="20"/>
                  <w:u w:val="none"/>
                  <w:effect w:val="none"/>
                </w:rPr>
                <w:t>Quantitative and Qualitative Disclosures About Market Risk</w:t>
              </w:r>
            </w:hyperlink>
          </w:p>
        </w:tc>
        <w:tc>
          <w:tcPr>
            <w:tcW w:w="3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7fddb0c6514749925147b8a9bca91a_106">
              <w:r>
                <w:rPr>
                  <w:rStyle w:val="InternetLink"/>
                  <w:rFonts w:ascii="Expensify Neue;sans-serif" w:hAnsi="Expensify Neue;sans-serif"/>
                  <w:b w:val="false"/>
                  <w:strike w:val="false"/>
                  <w:dstrike w:val="false"/>
                  <w:color w:val="03D47C"/>
                  <w:sz w:val="20"/>
                  <w:u w:val="none"/>
                  <w:effect w:val="none"/>
                </w:rPr>
                <w:t>41</w:t>
              </w:r>
            </w:hyperlink>
          </w:p>
        </w:tc>
      </w:tr>
      <w:tr>
        <w:trPr/>
        <w:tc>
          <w:tcPr>
            <w:tcW w:w="23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3D47C"/>
                <w:sz w:val="20"/>
              </w:rPr>
            </w:pPr>
            <w:r>
              <w:rPr>
                <w:rFonts w:ascii="Expensify Neue;sans-serif" w:hAnsi="Expensify Neue;sans-serif"/>
                <w:b w:val="false"/>
                <w:color w:val="03D47C"/>
                <w:sz w:val="20"/>
              </w:rPr>
              <w:t>Item 4.</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7fddb0c6514749925147b8a9bca91a_109">
              <w:r>
                <w:rPr>
                  <w:rStyle w:val="InternetLink"/>
                  <w:rFonts w:ascii="Expensify Neue;sans-serif" w:hAnsi="Expensify Neue;sans-serif"/>
                  <w:b w:val="false"/>
                  <w:strike w:val="false"/>
                  <w:dstrike w:val="false"/>
                  <w:color w:val="03D47C"/>
                  <w:sz w:val="20"/>
                  <w:u w:val="none"/>
                  <w:effect w:val="none"/>
                </w:rPr>
                <w:t>Controls and Procedures</w:t>
              </w:r>
            </w:hyperlink>
          </w:p>
        </w:tc>
        <w:tc>
          <w:tcPr>
            <w:tcW w:w="3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7fddb0c6514749925147b8a9bca91a_109">
              <w:r>
                <w:rPr>
                  <w:rStyle w:val="InternetLink"/>
                  <w:rFonts w:ascii="Expensify Neue;sans-serif" w:hAnsi="Expensify Neue;sans-serif"/>
                  <w:b w:val="false"/>
                  <w:strike w:val="false"/>
                  <w:dstrike w:val="false"/>
                  <w:color w:val="03D47C"/>
                  <w:sz w:val="20"/>
                  <w:u w:val="none"/>
                  <w:effect w:val="none"/>
                </w:rPr>
                <w:t>42</w:t>
              </w:r>
            </w:hyperlink>
          </w:p>
        </w:tc>
      </w:tr>
      <w:tr>
        <w:trPr/>
        <w:tc>
          <w:tcPr>
            <w:tcW w:w="2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17fddb0c6514749925147b8a9bca91a_112">
              <w:r>
                <w:rPr>
                  <w:rStyle w:val="InternetLink"/>
                  <w:rFonts w:ascii="Expensify Neue;sans-serif" w:hAnsi="Expensify Neue;sans-serif"/>
                  <w:b/>
                  <w:strike w:val="false"/>
                  <w:dstrike w:val="false"/>
                  <w:color w:val="03D47C"/>
                  <w:sz w:val="20"/>
                  <w:u w:val="none"/>
                  <w:effect w:val="none"/>
                </w:rPr>
                <w:t>Part II - Other Information</w:t>
              </w:r>
            </w:hyperlink>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3D47C"/>
                <w:sz w:val="20"/>
              </w:rPr>
            </w:pPr>
            <w:r>
              <w:rPr>
                <w:rFonts w:ascii="Expensify Neue;sans-serif" w:hAnsi="Expensify Neue;sans-serif"/>
                <w:b w:val="false"/>
                <w:color w:val="03D47C"/>
                <w:sz w:val="20"/>
              </w:rPr>
              <w:t>Item 1.</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7fddb0c6514749925147b8a9bca91a_115">
              <w:r>
                <w:rPr>
                  <w:rStyle w:val="InternetLink"/>
                  <w:rFonts w:ascii="Expensify Neue;sans-serif" w:hAnsi="Expensify Neue;sans-serif"/>
                  <w:b w:val="false"/>
                  <w:strike w:val="false"/>
                  <w:dstrike w:val="false"/>
                  <w:color w:val="03D47C"/>
                  <w:sz w:val="20"/>
                  <w:u w:val="none"/>
                  <w:effect w:val="none"/>
                </w:rPr>
                <w:t>Legal Proceedings</w:t>
              </w:r>
            </w:hyperlink>
          </w:p>
        </w:tc>
        <w:tc>
          <w:tcPr>
            <w:tcW w:w="3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7fddb0c6514749925147b8a9bca91a_115">
              <w:r>
                <w:rPr>
                  <w:rStyle w:val="InternetLink"/>
                  <w:rFonts w:ascii="Expensify Neue;sans-serif" w:hAnsi="Expensify Neue;sans-serif"/>
                  <w:b w:val="false"/>
                  <w:strike w:val="false"/>
                  <w:dstrike w:val="false"/>
                  <w:color w:val="03D47C"/>
                  <w:sz w:val="20"/>
                  <w:u w:val="none"/>
                  <w:effect w:val="none"/>
                </w:rPr>
                <w:t>43</w:t>
              </w:r>
            </w:hyperlink>
          </w:p>
        </w:tc>
      </w:tr>
      <w:tr>
        <w:trPr/>
        <w:tc>
          <w:tcPr>
            <w:tcW w:w="23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3D47C"/>
                <w:sz w:val="20"/>
              </w:rPr>
            </w:pPr>
            <w:r>
              <w:rPr>
                <w:rFonts w:ascii="Expensify Neue;sans-serif" w:hAnsi="Expensify Neue;sans-serif"/>
                <w:b w:val="false"/>
                <w:color w:val="03D47C"/>
                <w:sz w:val="20"/>
              </w:rPr>
              <w:t>Item 1A.</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7fddb0c6514749925147b8a9bca91a_118">
              <w:r>
                <w:rPr>
                  <w:rStyle w:val="InternetLink"/>
                  <w:rFonts w:ascii="Expensify Neue;sans-serif" w:hAnsi="Expensify Neue;sans-serif"/>
                  <w:b w:val="false"/>
                  <w:strike w:val="false"/>
                  <w:dstrike w:val="false"/>
                  <w:color w:val="03D47C"/>
                  <w:sz w:val="20"/>
                  <w:u w:val="none"/>
                  <w:effect w:val="none"/>
                </w:rPr>
                <w:t>Risk Factors</w:t>
              </w:r>
            </w:hyperlink>
          </w:p>
        </w:tc>
        <w:tc>
          <w:tcPr>
            <w:tcW w:w="3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7fddb0c6514749925147b8a9bca91a_118">
              <w:r>
                <w:rPr>
                  <w:rStyle w:val="InternetLink"/>
                  <w:rFonts w:ascii="Expensify Neue;sans-serif" w:hAnsi="Expensify Neue;sans-serif"/>
                  <w:b w:val="false"/>
                  <w:strike w:val="false"/>
                  <w:dstrike w:val="false"/>
                  <w:color w:val="03D47C"/>
                  <w:sz w:val="20"/>
                  <w:u w:val="none"/>
                  <w:effect w:val="none"/>
                </w:rPr>
                <w:t>44</w:t>
              </w:r>
            </w:hyperlink>
          </w:p>
        </w:tc>
      </w:tr>
      <w:tr>
        <w:trPr/>
        <w:tc>
          <w:tcPr>
            <w:tcW w:w="23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3D47C"/>
                <w:sz w:val="20"/>
              </w:rPr>
            </w:pPr>
            <w:r>
              <w:rPr>
                <w:rFonts w:ascii="Expensify Neue;sans-serif" w:hAnsi="Expensify Neue;sans-serif"/>
                <w:b w:val="false"/>
                <w:color w:val="03D47C"/>
                <w:sz w:val="20"/>
              </w:rPr>
              <w:t>Item 2.</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7fddb0c6514749925147b8a9bca91a_124">
              <w:r>
                <w:rPr>
                  <w:rStyle w:val="InternetLink"/>
                  <w:rFonts w:ascii="Expensify Neue;sans-serif" w:hAnsi="Expensify Neue;sans-serif"/>
                  <w:b w:val="false"/>
                  <w:strike w:val="false"/>
                  <w:dstrike w:val="false"/>
                  <w:color w:val="03D47C"/>
                  <w:sz w:val="20"/>
                  <w:u w:val="none"/>
                  <w:effect w:val="none"/>
                </w:rPr>
                <w:t>Unregistered Sales of Equity Securities and Use of Proceeds</w:t>
              </w:r>
            </w:hyperlink>
          </w:p>
        </w:tc>
        <w:tc>
          <w:tcPr>
            <w:tcW w:w="3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7fddb0c6514749925147b8a9bca91a_124">
              <w:r>
                <w:rPr>
                  <w:rStyle w:val="InternetLink"/>
                  <w:rFonts w:ascii="Expensify Neue;sans-serif" w:hAnsi="Expensify Neue;sans-serif"/>
                  <w:b w:val="false"/>
                  <w:strike w:val="false"/>
                  <w:dstrike w:val="false"/>
                  <w:color w:val="03D47C"/>
                  <w:sz w:val="20"/>
                  <w:u w:val="none"/>
                  <w:effect w:val="none"/>
                </w:rPr>
                <w:t>45</w:t>
              </w:r>
            </w:hyperlink>
          </w:p>
        </w:tc>
      </w:tr>
      <w:tr>
        <w:trPr/>
        <w:tc>
          <w:tcPr>
            <w:tcW w:w="23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3D47C"/>
                <w:sz w:val="20"/>
              </w:rPr>
            </w:pPr>
            <w:r>
              <w:rPr>
                <w:rFonts w:ascii="Expensify Neue;sans-serif" w:hAnsi="Expensify Neue;sans-serif"/>
                <w:b w:val="false"/>
                <w:color w:val="03D47C"/>
                <w:sz w:val="20"/>
              </w:rPr>
              <w:t>Item 3.</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7fddb0c6514749925147b8a9bca91a_127">
              <w:r>
                <w:rPr>
                  <w:rStyle w:val="InternetLink"/>
                  <w:rFonts w:ascii="Expensify Neue;sans-serif" w:hAnsi="Expensify Neue;sans-serif"/>
                  <w:b w:val="false"/>
                  <w:strike w:val="false"/>
                  <w:dstrike w:val="false"/>
                  <w:color w:val="03D47C"/>
                  <w:sz w:val="20"/>
                  <w:u w:val="none"/>
                  <w:effect w:val="none"/>
                </w:rPr>
                <w:t>Defaults Upon Senior Securities</w:t>
              </w:r>
            </w:hyperlink>
          </w:p>
        </w:tc>
        <w:tc>
          <w:tcPr>
            <w:tcW w:w="3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7fddb0c6514749925147b8a9bca91a_127">
              <w:r>
                <w:rPr>
                  <w:rStyle w:val="InternetLink"/>
                  <w:rFonts w:ascii="Expensify Neue;sans-serif" w:hAnsi="Expensify Neue;sans-serif"/>
                  <w:b w:val="false"/>
                  <w:strike w:val="false"/>
                  <w:dstrike w:val="false"/>
                  <w:color w:val="03D47C"/>
                  <w:sz w:val="20"/>
                  <w:u w:val="none"/>
                  <w:effect w:val="none"/>
                </w:rPr>
                <w:t>45</w:t>
              </w:r>
            </w:hyperlink>
          </w:p>
        </w:tc>
      </w:tr>
      <w:tr>
        <w:trPr/>
        <w:tc>
          <w:tcPr>
            <w:tcW w:w="23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3D47C"/>
                <w:sz w:val="20"/>
              </w:rPr>
            </w:pPr>
            <w:r>
              <w:rPr>
                <w:rFonts w:ascii="Expensify Neue;sans-serif" w:hAnsi="Expensify Neue;sans-serif"/>
                <w:b w:val="false"/>
                <w:color w:val="03D47C"/>
                <w:sz w:val="20"/>
              </w:rPr>
              <w:t>Item 4.</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7fddb0c6514749925147b8a9bca91a_130">
              <w:r>
                <w:rPr>
                  <w:rStyle w:val="InternetLink"/>
                  <w:rFonts w:ascii="Expensify Neue;sans-serif" w:hAnsi="Expensify Neue;sans-serif"/>
                  <w:b w:val="false"/>
                  <w:strike w:val="false"/>
                  <w:dstrike w:val="false"/>
                  <w:color w:val="03D47C"/>
                  <w:sz w:val="20"/>
                  <w:u w:val="none"/>
                  <w:effect w:val="none"/>
                </w:rPr>
                <w:t>Mine Safety Disclosures</w:t>
              </w:r>
            </w:hyperlink>
          </w:p>
        </w:tc>
        <w:tc>
          <w:tcPr>
            <w:tcW w:w="3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7fddb0c6514749925147b8a9bca91a_130">
              <w:r>
                <w:rPr>
                  <w:rStyle w:val="InternetLink"/>
                  <w:rFonts w:ascii="Expensify Neue;sans-serif" w:hAnsi="Expensify Neue;sans-serif"/>
                  <w:b w:val="false"/>
                  <w:strike w:val="false"/>
                  <w:dstrike w:val="false"/>
                  <w:color w:val="03D47C"/>
                  <w:sz w:val="20"/>
                  <w:u w:val="none"/>
                  <w:effect w:val="none"/>
                </w:rPr>
                <w:t>45</w:t>
              </w:r>
            </w:hyperlink>
          </w:p>
        </w:tc>
      </w:tr>
      <w:tr>
        <w:trPr/>
        <w:tc>
          <w:tcPr>
            <w:tcW w:w="23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3D47C"/>
                <w:sz w:val="20"/>
              </w:rPr>
            </w:pPr>
            <w:r>
              <w:rPr>
                <w:rFonts w:ascii="Expensify Neue;sans-serif" w:hAnsi="Expensify Neue;sans-serif"/>
                <w:b w:val="false"/>
                <w:color w:val="03D47C"/>
                <w:sz w:val="20"/>
              </w:rPr>
              <w:t>Item 5.</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7fddb0c6514749925147b8a9bca91a_133">
              <w:r>
                <w:rPr>
                  <w:rStyle w:val="InternetLink"/>
                  <w:rFonts w:ascii="Expensify Neue;sans-serif" w:hAnsi="Expensify Neue;sans-serif"/>
                  <w:b w:val="false"/>
                  <w:strike w:val="false"/>
                  <w:dstrike w:val="false"/>
                  <w:color w:val="03D47C"/>
                  <w:sz w:val="20"/>
                  <w:u w:val="none"/>
                  <w:effect w:val="none"/>
                </w:rPr>
                <w:t>Other Information</w:t>
              </w:r>
            </w:hyperlink>
          </w:p>
        </w:tc>
        <w:tc>
          <w:tcPr>
            <w:tcW w:w="3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7fddb0c6514749925147b8a9bca91a_133">
              <w:r>
                <w:rPr>
                  <w:rStyle w:val="InternetLink"/>
                  <w:rFonts w:ascii="Expensify Neue;sans-serif" w:hAnsi="Expensify Neue;sans-serif"/>
                  <w:b w:val="false"/>
                  <w:strike w:val="false"/>
                  <w:dstrike w:val="false"/>
                  <w:color w:val="03D47C"/>
                  <w:sz w:val="20"/>
                  <w:u w:val="none"/>
                  <w:effect w:val="none"/>
                </w:rPr>
                <w:t>45</w:t>
              </w:r>
            </w:hyperlink>
          </w:p>
        </w:tc>
      </w:tr>
      <w:tr>
        <w:trPr/>
        <w:tc>
          <w:tcPr>
            <w:tcW w:w="23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3D47C"/>
                <w:sz w:val="20"/>
              </w:rPr>
            </w:pPr>
            <w:r>
              <w:rPr>
                <w:rFonts w:ascii="Expensify Neue;sans-serif" w:hAnsi="Expensify Neue;sans-serif"/>
                <w:b w:val="false"/>
                <w:color w:val="03D47C"/>
                <w:sz w:val="20"/>
              </w:rPr>
              <w:t>Item 6.</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7fddb0c6514749925147b8a9bca91a_142">
              <w:r>
                <w:rPr>
                  <w:rStyle w:val="InternetLink"/>
                  <w:rFonts w:ascii="Expensify Neue;sans-serif" w:hAnsi="Expensify Neue;sans-serif"/>
                  <w:b w:val="false"/>
                  <w:strike w:val="false"/>
                  <w:dstrike w:val="false"/>
                  <w:color w:val="03D47C"/>
                  <w:sz w:val="20"/>
                  <w:u w:val="none"/>
                  <w:effect w:val="none"/>
                </w:rPr>
                <w:t>Exhibits</w:t>
              </w:r>
            </w:hyperlink>
          </w:p>
        </w:tc>
        <w:tc>
          <w:tcPr>
            <w:tcW w:w="39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7fddb0c6514749925147b8a9bca91a_142">
              <w:r>
                <w:rPr>
                  <w:rStyle w:val="InternetLink"/>
                  <w:rFonts w:ascii="Expensify Neue;sans-serif" w:hAnsi="Expensify Neue;sans-serif"/>
                  <w:b w:val="false"/>
                  <w:strike w:val="false"/>
                  <w:dstrike w:val="false"/>
                  <w:color w:val="03D47C"/>
                  <w:sz w:val="20"/>
                  <w:u w:val="none"/>
                  <w:effect w:val="none"/>
                </w:rPr>
                <w:t>46</w:t>
              </w:r>
            </w:hyperlink>
          </w:p>
        </w:tc>
      </w:tr>
      <w:tr>
        <w:trPr/>
        <w:tc>
          <w:tcPr>
            <w:tcW w:w="2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7fddb0c6514749925147b8a9bca91a_145">
              <w:r>
                <w:rPr>
                  <w:rStyle w:val="InternetLink"/>
                  <w:rFonts w:ascii="Expensify Neue;sans-serif" w:hAnsi="Expensify Neue;sans-serif"/>
                  <w:b/>
                  <w:strike w:val="false"/>
                  <w:dstrike w:val="false"/>
                  <w:color w:val="03D47C"/>
                  <w:sz w:val="20"/>
                  <w:u w:val="none"/>
                  <w:effect w:val="none"/>
                </w:rPr>
                <w:t>Signatures</w:t>
              </w:r>
            </w:hyperlink>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7955"/>
                <wp:effectExtent l="0" t="0" r="0" b="0"/>
                <wp:wrapNone/>
                <wp:docPr id="3" name="Frame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i</w:t>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Special Note Regarding Forward-Looking Statements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This Quarterly Report on Form 10-Q contains forward-looking statements about us and our industry that involve substantial risks and uncertainties. We intend such forward-looking statements to be covered by the safe harbor provisions for forward-looking statements contained in the Private Securities Litigation Reform Act of 1995. All statements other than statements of historical facts contained in this Quarterly Report on Form 10-Q, including statements regarding our strategy, future financial condition, future operations, projected costs, prospects, plans, objectives of management and expected market growth, are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There are a number of risks, uncertainties, and other important factors, many of which are beyond our control, that could cause our actual results to differ materially from the forward-looking statements contained in this Quarterly Report on Form 10-Q. Such risks, uncertainties and other important factors include, among others: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expectations regarding our financial performance and future operating performance;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ability to attract and retain members, expand usage of our platform, sell subscriptions to our platform and convert individuals and organizations into paying customers;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the timing and success of new features, integrations, capabilities and enhancements by us, or by competitors to their products, or any other changes in the competitive landscape of our market;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the amount and timing of operating expenses that we may incur to maintain and expand our business and operations to remain competitive;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the sufficiency of our cash, cash equivalents and investments to meet our liquidity needs;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ability to make required payments under and to comply with the various requirements of our current and future indebtedness;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cash flows, the prevailing stock prices, general economic and market conditions and other considerations that could affect the specific timing, price and size of repurchases under our stock repurchase program or our ability to fund any stock repurchases;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geopolitical tensions, including the war in Ukraine and the conflict in Israel, Gaza and surrounding areas;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the impact of inflation on us and our members;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borrowing costs, which have and may continue to increase as a result of increases in interest rates;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ability to effectively manage our exposure to fluctuations in foreign currency exchange rates;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the size of our addressable markets, market share and market trends;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anticipated trends, developments and challenges in our industry, business and the highly competitive markets in which we operate;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any adverse impact on our business operations as a result of using artificial intelligence or other machine learning technologies in our services;</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expectations regarding our income tax liabilities and the adequacy of our reserves;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ability to effectively manage our growth and expand our infrastructure and maintain our corporate culture;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7955"/>
                <wp:effectExtent l="0" t="0" r="0" b="0"/>
                <wp:wrapNone/>
                <wp:docPr id="4" name="Frame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ii</w:t>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ability to identify, recruit and retain skilled personnel, including key members of senior management;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the safety, affordability and convenience of our platform and our offerings;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ability to successfully defend litigation brought against us;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 xml:space="preserve">our ability to successfully identify, manage and integrate any existing and potential acquisitions of businesses, talent, technologies or intellectual property; </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general economic conditions in either domestic or international markets, including geopolitical uncertainty and instability, and their effects on software spending;</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ability to protect against security incidents, technical difficulties, or interruptions to our platform;</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our ability to maintain, protect and enhance our intellectual property;</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impact of tariffs and global trade disruptions on us, our customers and our vendors, including the impact on inflation, supply chains and consumer sentiment; and</w:t>
      </w:r>
    </w:p>
    <w:p>
      <w:pPr>
        <w:pStyle w:val="TextBody"/>
        <w:bidi w:val="0"/>
        <w:spacing w:lineRule="auto" w:line="288" w:before="0" w:after="160"/>
        <w:ind w:left="0" w:right="0" w:hanging="360"/>
        <w:jc w:val="left"/>
        <w:rPr/>
      </w:pPr>
      <w:r>
        <w:rPr>
          <w:color w:val="000000"/>
        </w:rPr>
        <w:t>•</w:t>
      </w:r>
      <w:r>
        <w:rPr>
          <w:rFonts w:ascii="Expensify Neue;sans-serif" w:hAnsi="Expensify Neue;sans-serif"/>
          <w:b w:val="false"/>
          <w:color w:val="000000"/>
          <w:sz w:val="20"/>
        </w:rPr>
        <w:t>the other risks and uncertainties identified under Part I, Item 1A. “Risk Factors” in our Annual Report on Form 10-K for the year ended December 31, 2024 and under Part II, Item 1A. “Risk Factors” in our Quarterly Report on Form 10-Q for the quarterly period ended March 31, 2025.</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our Annual Report on Form 10-K for the year ended December 31, 2024, and any subsequent filings, as well as those identified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If we update one or more forward-looking statements, no inference should be drawn that we will make additional updates with respect to those or other forward-looking statements.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7955"/>
                <wp:effectExtent l="0" t="0" r="0" b="0"/>
                <wp:wrapNone/>
                <wp:docPr id="5"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iii</w:t>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information. These statements are inherently uncertain, and you are cautioned not to unduly rely upon these statements. Unless otherwise indicated or unless the context requires otherwise, all references in this document to “Expensify,” the “Company,” “we,” “us,” “our” or similar references are to Expensify, Inc. and its consolidated subsidiaries. Capitalized terms used and not defined above are defined elsewhere within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7955"/>
                <wp:effectExtent l="0" t="0" r="0" b="0"/>
                <wp:wrapNone/>
                <wp:docPr id="6" name="Frame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iv</w:t>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lineRule="auto" w:line="288" w:before="0" w:after="320"/>
        <w:jc w:val="left"/>
        <w:rPr>
          <w:rFonts w:ascii="Expensify New Kansas Medium;sans-serif" w:hAnsi="Expensify New Kansas Medium;sans-serif"/>
          <w:b/>
          <w:color w:val="002E22"/>
          <w:sz w:val="36"/>
        </w:rPr>
      </w:pPr>
      <w:r>
        <w:rPr>
          <w:rFonts w:ascii="Expensify New Kansas Medium;sans-serif" w:hAnsi="Expensify New Kansas Medium;sans-serif"/>
          <w:b/>
          <w:color w:val="002E22"/>
          <w:sz w:val="36"/>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017270"/>
                <wp:effectExtent l="0" t="0" r="0" b="0"/>
                <wp:wrapNone/>
                <wp:docPr id="7" name="Frame6"/>
                <a:graphic xmlns:a="http://schemas.openxmlformats.org/drawingml/2006/main">
                  <a:graphicData uri="http://schemas.microsoft.com/office/word/2010/wordprocessingShape">
                    <wps:wsp>
                      <wps:cNvSpPr txBox="1"/>
                      <wps:spPr>
                        <a:xfrm>
                          <a:off x="0" y="0"/>
                          <a:ext cx="6480175" cy="101727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1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Condensed Consolidated Balance Sheets</w:t>
      </w:r>
    </w:p>
    <w:p>
      <w:pPr>
        <w:pStyle w:val="TextBody"/>
        <w:bidi w:val="0"/>
        <w:spacing w:lineRule="auto" w:line="288" w:before="0" w:after="160"/>
        <w:jc w:val="center"/>
        <w:rPr>
          <w:rFonts w:ascii="Expensify Neue;sans-serif" w:hAnsi="Expensify Neue;sans-serif"/>
          <w:b/>
          <w:color w:val="000000"/>
          <w:sz w:val="20"/>
        </w:rPr>
      </w:pPr>
      <w:r>
        <w:rPr>
          <w:rFonts w:ascii="Expensify Neue;sans-serif" w:hAnsi="Expensify Neue;sans-serif"/>
          <w:b/>
          <w:color w:val="000000"/>
          <w:sz w:val="20"/>
        </w:rPr>
        <w:t xml:space="preserve">(unaudited, in thousands, except share data) </w:t>
      </w:r>
    </w:p>
    <w:tbl>
      <w:tblPr>
        <w:tblW w:w="10205" w:type="dxa"/>
        <w:jc w:val="left"/>
        <w:tblInd w:w="0" w:type="dxa"/>
        <w:tblLayout w:type="fixed"/>
        <w:tblCellMar>
          <w:top w:w="28" w:type="dxa"/>
          <w:left w:w="28" w:type="dxa"/>
          <w:bottom w:w="28" w:type="dxa"/>
          <w:right w:w="28" w:type="dxa"/>
        </w:tblCellMar>
      </w:tblPr>
      <w:tblGrid>
        <w:gridCol w:w="2634"/>
        <w:gridCol w:w="2152"/>
        <w:gridCol w:w="2176"/>
        <w:gridCol w:w="266"/>
        <w:gridCol w:w="1043"/>
        <w:gridCol w:w="137"/>
        <w:gridCol w:w="109"/>
        <w:gridCol w:w="109"/>
        <w:gridCol w:w="109"/>
        <w:gridCol w:w="259"/>
        <w:gridCol w:w="1017"/>
        <w:gridCol w:w="194"/>
      </w:tblGrid>
      <w:tr>
        <w:trPr/>
        <w:tc>
          <w:tcPr>
            <w:tcW w:w="2634"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96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December 31,</w:t>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6"/>
              </w:rPr>
            </w:pPr>
            <w:r>
              <w:rPr>
                <w:rFonts w:ascii="Expensify Neue;sans-serif" w:hAnsi="Expensify Neue;sans-serif"/>
                <w:b/>
                <w:color w:val="000000"/>
                <w:sz w:val="16"/>
              </w:rPr>
              <w:t>Assets</w:t>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Cash and cash equivalents</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61,453 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48,772 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Accounts receivable, net</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12,312 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12,701 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Settlement assets, net</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53,283 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42,406 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Prepaid expenses</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4,174 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12,089 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Other current assets</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21,376 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20,908 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Total current assets</w:t>
            </w:r>
          </w:p>
        </w:tc>
        <w:tc>
          <w:tcPr>
            <w:tcW w:w="13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152,598 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136,876 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Capitalized software, net</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14,622 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16,232 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Property and equipment, net</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13,201 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13,621 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Lease right-of-use assets</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4,912 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5,441 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Deferred tax assets, net</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497 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499 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Other assets</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1,005 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1,011 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Total assets</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186,835 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173,680 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6"/>
              </w:rPr>
            </w:pPr>
            <w:r>
              <w:rPr>
                <w:rFonts w:ascii="Expensify Neue;sans-serif" w:hAnsi="Expensify Neue;sans-serif"/>
                <w:b/>
                <w:color w:val="000000"/>
                <w:sz w:val="16"/>
              </w:rPr>
              <w:t>Liabilities and stockholders' equity</w:t>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Accounts payable</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710 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196 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Accrued expenses and other liabilities</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7,726 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8,240 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Lease liabilities, current</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720 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729 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Settlement liabilities</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35,238 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28,845 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Total current liabilities</w:t>
            </w:r>
          </w:p>
        </w:tc>
        <w:tc>
          <w:tcPr>
            <w:tcW w:w="13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44,394 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38,010 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Lease liabilities, non-current</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5,208 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5,738 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Other liabilities</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1,573 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1,689 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Total liabilities</w:t>
            </w:r>
          </w:p>
        </w:tc>
        <w:tc>
          <w:tcPr>
            <w:tcW w:w="13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51,175 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45,437 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Commitments and contingencies (Note 4)</w:t>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Stockholders' equity:</w:t>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Expensify Neue;sans-serif" w:hAnsi="Expensify Neue;sans-serif"/>
                <w:b w:val="false"/>
                <w:color w:val="000000"/>
                <w:sz w:val="16"/>
              </w:rPr>
            </w:pPr>
            <w:r>
              <w:rPr>
                <w:rFonts w:ascii="Expensify Neue;sans-serif" w:hAnsi="Expensify Neue;sans-serif"/>
                <w:b w:val="false"/>
                <w:color w:val="000000"/>
                <w:sz w:val="16"/>
              </w:rPr>
              <w:t>Preferred stock, par value $0.0001; 10,000,000 shares authorized as of September 30, 2025 and December 31, 2024; no shares issued and outstanding as of September 30, 2025 and December 31, 2024</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60"/>
              <w:ind w:left="0" w:right="0" w:hanging="180"/>
              <w:jc w:val="left"/>
              <w:rPr>
                <w:rFonts w:ascii="Expensify Neue;sans-serif" w:hAnsi="Expensify Neue;sans-serif"/>
                <w:b w:val="false"/>
                <w:color w:val="000000"/>
                <w:sz w:val="16"/>
              </w:rPr>
            </w:pPr>
            <w:r>
              <w:rPr>
                <w:rFonts w:ascii="Expensify Neue;sans-serif" w:hAnsi="Expensify Neue;sans-serif"/>
                <w:b w:val="false"/>
                <w:color w:val="000000"/>
                <w:sz w:val="16"/>
              </w:rPr>
              <w:t xml:space="preserve">Common stock, par value $0.0001 </w:t>
            </w:r>
          </w:p>
          <w:p>
            <w:pPr>
              <w:pStyle w:val="TableContents"/>
              <w:bidi w:val="0"/>
              <w:spacing w:lineRule="auto" w:line="240" w:before="0" w:after="60"/>
              <w:ind w:left="0" w:right="0" w:hanging="180"/>
              <w:jc w:val="left"/>
              <w:rPr>
                <w:rFonts w:ascii="Expensify Neue;sans-serif" w:hAnsi="Expensify Neue;sans-serif"/>
                <w:b w:val="false"/>
                <w:color w:val="000000"/>
                <w:sz w:val="16"/>
              </w:rPr>
            </w:pPr>
            <w:r>
              <w:rPr>
                <w:rFonts w:ascii="Expensify Neue;sans-serif" w:hAnsi="Expensify Neue;sans-serif"/>
                <w:b w:val="false"/>
                <w:color w:val="000000"/>
                <w:sz w:val="16"/>
              </w:rPr>
              <w:t xml:space="preserve">Class A common stock; 1,000,000,000 shares authorized; 80,832,770 and 79,471,414 shares of Class A common stock issued and outstanding as of September 30, 2025 and December 31, 2024, respectively </w:t>
            </w:r>
          </w:p>
          <w:p>
            <w:pPr>
              <w:pStyle w:val="TableContents"/>
              <w:bidi w:val="0"/>
              <w:spacing w:lineRule="auto" w:line="240" w:before="0" w:after="60"/>
              <w:ind w:left="0" w:right="0" w:hanging="180"/>
              <w:jc w:val="left"/>
              <w:rPr>
                <w:rFonts w:ascii="Expensify Neue;sans-serif" w:hAnsi="Expensify Neue;sans-serif"/>
                <w:b w:val="false"/>
                <w:color w:val="000000"/>
                <w:sz w:val="16"/>
              </w:rPr>
            </w:pPr>
            <w:r>
              <w:rPr>
                <w:rFonts w:ascii="Expensify Neue;sans-serif" w:hAnsi="Expensify Neue;sans-serif"/>
                <w:b w:val="false"/>
                <w:color w:val="000000"/>
                <w:sz w:val="16"/>
              </w:rPr>
              <w:t>LT10 common stock; 21,871,197 shares authorized; 4,209,827 shares of LT10 common stock issued and outstanding as of September 30, 2025 and December 31, 2024</w:t>
            </w:r>
          </w:p>
          <w:p>
            <w:pPr>
              <w:pStyle w:val="TableContents"/>
              <w:bidi w:val="0"/>
              <w:spacing w:lineRule="auto" w:line="240" w:before="0" w:after="0"/>
              <w:ind w:left="0" w:right="0" w:hanging="180"/>
              <w:jc w:val="left"/>
              <w:rPr>
                <w:rFonts w:ascii="Expensify Neue;sans-serif" w:hAnsi="Expensify Neue;sans-serif"/>
                <w:b w:val="false"/>
                <w:color w:val="000000"/>
                <w:sz w:val="16"/>
              </w:rPr>
            </w:pPr>
            <w:r>
              <w:rPr>
                <w:rFonts w:ascii="Expensify Neue;sans-serif" w:hAnsi="Expensify Neue;sans-serif"/>
                <w:b w:val="false"/>
                <w:color w:val="000000"/>
                <w:sz w:val="16"/>
              </w:rPr>
              <w:t>LT50 common stock; 24,967,114 shares authorized; 7,988,939 and 7,695,524 shares of LT50 common stock issued and outstanding as of September 30, 2025 and December 31, 2024, respectively</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Additional paid-in capital</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300,751 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279,062 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Accumulated deficit</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(165,100)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(150,828)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Total stockholders' equity</w:t>
            </w:r>
          </w:p>
        </w:tc>
        <w:tc>
          <w:tcPr>
            <w:tcW w:w="13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135,660 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128,243 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Total liabilities and stockholders' equity</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10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186,835 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6"/>
              </w:rPr>
            </w:pPr>
            <w:r>
              <w:rPr>
                <w:rFonts w:ascii="Expensify Neue;sans-serif" w:hAnsi="Expensify Neue;sans-serif"/>
                <w:b w:val="false"/>
                <w:color w:val="000000"/>
                <w:sz w:val="16"/>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6"/>
              </w:rPr>
            </w:pPr>
            <w:r>
              <w:rPr>
                <w:rFonts w:ascii="Expensify Neue;sans-serif" w:hAnsi="Expensify Neue;sans-serif"/>
                <w:b w:val="false"/>
                <w:color w:val="000000"/>
                <w:sz w:val="16"/>
              </w:rPr>
              <w:t>173,680 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43635"/>
                <wp:effectExtent l="0" t="0" r="0" b="0"/>
                <wp:wrapNone/>
                <wp:docPr id="8" name="Frame7"/>
                <a:graphic xmlns:a="http://schemas.openxmlformats.org/drawingml/2006/main">
                  <a:graphicData uri="http://schemas.microsoft.com/office/word/2010/wordprocessingShape">
                    <wps:wsp>
                      <wps:cNvSpPr txBox="1"/>
                      <wps:spPr>
                        <a:xfrm>
                          <a:off x="0" y="0"/>
                          <a:ext cx="6480175" cy="1143635"/>
                        </a:xfrm>
                        <a:prstGeom prst="rect"/>
                        <a:solidFill>
                          <a:srgbClr val="FFFFFF"/>
                        </a:solidFill>
                      </wps:spPr>
                      <wps:txbx>
                        <w:txbxContent>
                          <w:tbl>
                            <w:tblPr>
                              <w:tblW w:w="7514" w:type="dxa"/>
                              <w:jc w:val="left"/>
                              <w:tblInd w:w="0" w:type="dxa"/>
                              <w:tblLayout w:type="fixed"/>
                              <w:tblCellMar>
                                <w:top w:w="28" w:type="dxa"/>
                                <w:left w:w="28" w:type="dxa"/>
                                <w:bottom w:w="28" w:type="dxa"/>
                                <w:right w:w="28" w:type="dxa"/>
                              </w:tblCellMar>
                            </w:tblPr>
                            <w:tblGrid>
                              <w:gridCol w:w="1303"/>
                              <w:gridCol w:w="1143"/>
                              <w:gridCol w:w="1143"/>
                              <w:gridCol w:w="1143"/>
                              <w:gridCol w:w="1143"/>
                              <w:gridCol w:w="1639"/>
                            </w:tblGrid>
                            <w:tr>
                              <w:trPr/>
                              <w:tc>
                                <w:tcPr>
                                  <w:tcW w:w="130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r>
                            <w:tr>
                              <w:trPr/>
                              <w:tc>
                                <w:tcPr>
                                  <w:tcW w:w="751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56"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05pt;mso-wrap-distance-left:0pt;mso-wrap-distance-right:0pt;mso-wrap-distance-top:0pt;mso-wrap-distance-bottom:0pt;margin-top:0pt;mso-position-vertical:top;mso-position-vertical-relative:text;margin-left:0pt;mso-position-horizontal:left;mso-position-horizontal-relative:text">
                <v:textbox>
                  <w:txbxContent>
                    <w:tbl>
                      <w:tblPr>
                        <w:tblW w:w="7514" w:type="dxa"/>
                        <w:jc w:val="left"/>
                        <w:tblInd w:w="0" w:type="dxa"/>
                        <w:tblLayout w:type="fixed"/>
                        <w:tblCellMar>
                          <w:top w:w="28" w:type="dxa"/>
                          <w:left w:w="28" w:type="dxa"/>
                          <w:bottom w:w="28" w:type="dxa"/>
                          <w:right w:w="28" w:type="dxa"/>
                        </w:tblCellMar>
                      </w:tblPr>
                      <w:tblGrid>
                        <w:gridCol w:w="1303"/>
                        <w:gridCol w:w="1143"/>
                        <w:gridCol w:w="1143"/>
                        <w:gridCol w:w="1143"/>
                        <w:gridCol w:w="1143"/>
                        <w:gridCol w:w="1639"/>
                      </w:tblGrid>
                      <w:tr>
                        <w:trPr/>
                        <w:tc>
                          <w:tcPr>
                            <w:tcW w:w="130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r>
                      <w:tr>
                        <w:trPr/>
                        <w:tc>
                          <w:tcPr>
                            <w:tcW w:w="751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56"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Condensed Consolidated Statements of Operations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 xml:space="preserve">(unaudited, in thousands, except share and per share data) </w:t>
      </w:r>
    </w:p>
    <w:tbl>
      <w:tblPr>
        <w:tblW w:w="10205" w:type="dxa"/>
        <w:jc w:val="left"/>
        <w:tblInd w:w="0" w:type="dxa"/>
        <w:tblLayout w:type="fixed"/>
        <w:tblCellMar>
          <w:top w:w="28" w:type="dxa"/>
          <w:left w:w="28" w:type="dxa"/>
          <w:bottom w:w="28" w:type="dxa"/>
          <w:right w:w="28" w:type="dxa"/>
        </w:tblCellMar>
      </w:tblPr>
      <w:tblGrid>
        <w:gridCol w:w="1546"/>
        <w:gridCol w:w="1049"/>
        <w:gridCol w:w="1041"/>
        <w:gridCol w:w="294"/>
        <w:gridCol w:w="992"/>
        <w:gridCol w:w="119"/>
        <w:gridCol w:w="119"/>
        <w:gridCol w:w="119"/>
        <w:gridCol w:w="119"/>
        <w:gridCol w:w="265"/>
        <w:gridCol w:w="908"/>
        <w:gridCol w:w="119"/>
        <w:gridCol w:w="109"/>
        <w:gridCol w:w="109"/>
        <w:gridCol w:w="109"/>
        <w:gridCol w:w="261"/>
        <w:gridCol w:w="1020"/>
        <w:gridCol w:w="114"/>
        <w:gridCol w:w="114"/>
        <w:gridCol w:w="114"/>
        <w:gridCol w:w="114"/>
        <w:gridCol w:w="261"/>
        <w:gridCol w:w="1020"/>
        <w:gridCol w:w="170"/>
      </w:tblGrid>
      <w:tr>
        <w:trPr/>
        <w:tc>
          <w:tcPr>
            <w:tcW w:w="15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6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Nine Months Ended September 30,</w:t>
            </w:r>
          </w:p>
        </w:tc>
      </w:tr>
      <w:tr>
        <w:trPr/>
        <w:tc>
          <w:tcPr>
            <w:tcW w:w="3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r>
      <w:tr>
        <w:trPr/>
        <w:tc>
          <w:tcPr>
            <w:tcW w:w="3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Revenue</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35,065 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35,409 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106,903 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102,232 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Cost of revenue, net</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17,667 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17,145 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52,686 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46,091 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Gross margin</w:t>
            </w:r>
          </w:p>
        </w:tc>
        <w:tc>
          <w:tcPr>
            <w:tcW w:w="1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17,398 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18,264 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54,217 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56,141 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Operating expenses:</w:t>
            </w:r>
          </w:p>
        </w:tc>
        <w:tc>
          <w:tcPr>
            <w:tcW w:w="1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Research and development</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4,905 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5,618 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15,421 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17,936 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General and administrative</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9,814 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9,084 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30,054 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29,760 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Sales and marketing</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4,936 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3,274 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22,824 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9,730 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operating expenses</w:t>
            </w:r>
          </w:p>
        </w:tc>
        <w:tc>
          <w:tcPr>
            <w:tcW w:w="1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19,655 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17,976 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68,299 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57,426 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(Loss) income from operations</w:t>
            </w:r>
          </w:p>
        </w:tc>
        <w:tc>
          <w:tcPr>
            <w:tcW w:w="1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(2,257)</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288 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(14,082)</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(1,285)</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 income (expenses), net</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(1,033)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(Loss) income before income taxes</w:t>
            </w:r>
          </w:p>
        </w:tc>
        <w:tc>
          <w:tcPr>
            <w:tcW w:w="1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(2,161)</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469 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(12,773)</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(2,318)</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Provision for income taxes</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(2,667)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(1,499)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(6,425)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(2,315)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(2,198)</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(14,272)</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(8,743)</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per share:</w:t>
            </w:r>
          </w:p>
        </w:tc>
        <w:tc>
          <w:tcPr>
            <w:tcW w:w="14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Basic and diluted</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(0.03)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(0.02)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(0.15)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(0.10)</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Weighted average shares of common stock used to compute net loss per share:</w:t>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Basic and diluted</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92,559,381 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88,177,739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92,114,672 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86,643,209 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42390"/>
                <wp:effectExtent l="0" t="0" r="0" b="0"/>
                <wp:wrapNone/>
                <wp:docPr id="9" name="Frame8"/>
                <a:graphic xmlns:a="http://schemas.openxmlformats.org/drawingml/2006/main">
                  <a:graphicData uri="http://schemas.microsoft.com/office/word/2010/wordprocessingShape">
                    <wps:wsp>
                      <wps:cNvSpPr txBox="1"/>
                      <wps:spPr>
                        <a:xfrm>
                          <a:off x="0" y="0"/>
                          <a:ext cx="6480175" cy="1342390"/>
                        </a:xfrm>
                        <a:prstGeom prst="rect"/>
                        <a:solidFill>
                          <a:srgbClr val="FFFFFF"/>
                        </a:solidFill>
                      </wps:spPr>
                      <wps:txbx>
                        <w:txbxContent>
                          <w:tbl>
                            <w:tblPr>
                              <w:tblW w:w="7514" w:type="dxa"/>
                              <w:jc w:val="center"/>
                              <w:tblInd w:w="0" w:type="dxa"/>
                              <w:tblLayout w:type="fixed"/>
                              <w:tblCellMar>
                                <w:top w:w="28" w:type="dxa"/>
                                <w:left w:w="28" w:type="dxa"/>
                                <w:bottom w:w="28" w:type="dxa"/>
                                <w:right w:w="28" w:type="dxa"/>
                              </w:tblCellMar>
                            </w:tblPr>
                            <w:tblGrid>
                              <w:gridCol w:w="1303"/>
                              <w:gridCol w:w="1143"/>
                              <w:gridCol w:w="1143"/>
                              <w:gridCol w:w="1143"/>
                              <w:gridCol w:w="1143"/>
                              <w:gridCol w:w="1639"/>
                            </w:tblGrid>
                            <w:tr>
                              <w:trPr/>
                              <w:tc>
                                <w:tcPr>
                                  <w:tcW w:w="130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r>
                            <w:tr>
                              <w:trPr/>
                              <w:tc>
                                <w:tcPr>
                                  <w:tcW w:w="751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7pt;mso-wrap-distance-left:0pt;mso-wrap-distance-right:0pt;mso-wrap-distance-top:0pt;mso-wrap-distance-bottom:0pt;margin-top:0pt;mso-position-vertical:top;mso-position-vertical-relative:text;margin-left:0pt;mso-position-horizontal:left;mso-position-horizontal-relative:text">
                <v:textbox>
                  <w:txbxContent>
                    <w:tbl>
                      <w:tblPr>
                        <w:tblW w:w="7514" w:type="dxa"/>
                        <w:jc w:val="center"/>
                        <w:tblInd w:w="0" w:type="dxa"/>
                        <w:tblLayout w:type="fixed"/>
                        <w:tblCellMar>
                          <w:top w:w="28" w:type="dxa"/>
                          <w:left w:w="28" w:type="dxa"/>
                          <w:bottom w:w="28" w:type="dxa"/>
                          <w:right w:w="28" w:type="dxa"/>
                        </w:tblCellMar>
                      </w:tblPr>
                      <w:tblGrid>
                        <w:gridCol w:w="1303"/>
                        <w:gridCol w:w="1143"/>
                        <w:gridCol w:w="1143"/>
                        <w:gridCol w:w="1143"/>
                        <w:gridCol w:w="1143"/>
                        <w:gridCol w:w="1639"/>
                      </w:tblGrid>
                      <w:tr>
                        <w:trPr/>
                        <w:tc>
                          <w:tcPr>
                            <w:tcW w:w="130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r>
                      <w:tr>
                        <w:trPr/>
                        <w:tc>
                          <w:tcPr>
                            <w:tcW w:w="751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Condensed Consolidated Statements of Changes in Stockholders’ Equity</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 in thousands, except share data)</w:t>
      </w:r>
    </w:p>
    <w:tbl>
      <w:tblPr>
        <w:tblW w:w="11848" w:type="dxa"/>
        <w:jc w:val="left"/>
        <w:tblInd w:w="0" w:type="dxa"/>
        <w:tblLayout w:type="fixed"/>
        <w:tblCellMar>
          <w:top w:w="28" w:type="dxa"/>
          <w:left w:w="28" w:type="dxa"/>
          <w:bottom w:w="28" w:type="dxa"/>
          <w:right w:w="28" w:type="dxa"/>
        </w:tblCellMar>
      </w:tblPr>
      <w:tblGrid>
        <w:gridCol w:w="832"/>
        <w:gridCol w:w="401"/>
        <w:gridCol w:w="403"/>
        <w:gridCol w:w="245"/>
        <w:gridCol w:w="245"/>
        <w:gridCol w:w="246"/>
        <w:gridCol w:w="109"/>
        <w:gridCol w:w="109"/>
        <w:gridCol w:w="109"/>
        <w:gridCol w:w="256"/>
        <w:gridCol w:w="460"/>
        <w:gridCol w:w="125"/>
        <w:gridCol w:w="109"/>
        <w:gridCol w:w="109"/>
        <w:gridCol w:w="109"/>
        <w:gridCol w:w="109"/>
        <w:gridCol w:w="109"/>
        <w:gridCol w:w="109"/>
        <w:gridCol w:w="623"/>
        <w:gridCol w:w="623"/>
        <w:gridCol w:w="246"/>
        <w:gridCol w:w="109"/>
        <w:gridCol w:w="109"/>
        <w:gridCol w:w="109"/>
        <w:gridCol w:w="306"/>
        <w:gridCol w:w="387"/>
        <w:gridCol w:w="148"/>
        <w:gridCol w:w="109"/>
        <w:gridCol w:w="109"/>
        <w:gridCol w:w="109"/>
        <w:gridCol w:w="226"/>
        <w:gridCol w:w="946"/>
        <w:gridCol w:w="109"/>
        <w:gridCol w:w="109"/>
        <w:gridCol w:w="109"/>
        <w:gridCol w:w="109"/>
        <w:gridCol w:w="226"/>
        <w:gridCol w:w="986"/>
        <w:gridCol w:w="109"/>
        <w:gridCol w:w="109"/>
        <w:gridCol w:w="109"/>
        <w:gridCol w:w="109"/>
        <w:gridCol w:w="240"/>
        <w:gridCol w:w="1006"/>
        <w:gridCol w:w="165"/>
      </w:tblGrid>
      <w:tr>
        <w:trPr/>
        <w:tc>
          <w:tcPr>
            <w:tcW w:w="83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Preferred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Additional 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Accumulated deficit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 xml:space="preserve">Total stockholders' </w:t>
              <w:br/>
              <w:t>equity</w:t>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8"/>
              </w:rPr>
            </w:pPr>
            <w:r>
              <w:rPr>
                <w:rFonts w:ascii="Expensify Neue;sans-serif" w:hAnsi="Expensify Neue;sans-serif"/>
                <w:b/>
                <w:color w:val="000000"/>
                <w:sz w:val="18"/>
              </w:rPr>
              <w:t>Three months ended September 30, 2025</w:t>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Balance at June 30, 2025</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92,647,210 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294,591 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(162,785)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131,815 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on exercise of stock options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260,962 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198 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restricted stock units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2,128 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Settlement of liability-classified restricted common shares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237,573 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under Matching Plan</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1,267,158 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1,741 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in connection with restricted stock units vesting</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196,268 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Repurchase and retirement of common stock</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(1,579,763)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(3,031)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Stock-based compensation</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7,247 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Net loss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(2,315)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Balance at September 30, 2025</w:t>
            </w:r>
          </w:p>
        </w:tc>
        <w:tc>
          <w:tcPr>
            <w:tcW w:w="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93,031,536 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300,751 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(165,100)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135,660 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075055"/>
                <wp:effectExtent l="0" t="0" r="0" b="0"/>
                <wp:wrapNone/>
                <wp:docPr id="10" name="Frame9"/>
                <a:graphic xmlns:a="http://schemas.openxmlformats.org/drawingml/2006/main">
                  <a:graphicData uri="http://schemas.microsoft.com/office/word/2010/wordprocessingShape">
                    <wps:wsp>
                      <wps:cNvSpPr txBox="1"/>
                      <wps:spPr>
                        <a:xfrm>
                          <a:off x="0" y="0"/>
                          <a:ext cx="6480175" cy="1075055"/>
                        </a:xfrm>
                        <a:prstGeom prst="rect"/>
                        <a:solidFill>
                          <a:srgbClr val="FFFFFF"/>
                        </a:solidFill>
                      </wps:spPr>
                      <wps:txbx>
                        <w:txbxContent>
                          <w:tbl>
                            <w:tblPr>
                              <w:tblW w:w="7515" w:type="dxa"/>
                              <w:jc w:val="left"/>
                              <w:tblInd w:w="0" w:type="dxa"/>
                              <w:tblLayout w:type="fixed"/>
                              <w:tblCellMar>
                                <w:top w:w="28" w:type="dxa"/>
                                <w:left w:w="28" w:type="dxa"/>
                                <w:bottom w:w="28" w:type="dxa"/>
                                <w:right w:w="28" w:type="dxa"/>
                              </w:tblCellMar>
                            </w:tblPr>
                            <w:tblGrid>
                              <w:gridCol w:w="2404"/>
                              <w:gridCol w:w="2116"/>
                              <w:gridCol w:w="2995"/>
                            </w:tblGrid>
                            <w:tr>
                              <w:trPr/>
                              <w:tc>
                                <w:tcPr>
                                  <w:tcW w:w="2404"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r>
                            <w:tr>
                              <w:trPr/>
                              <w:tc>
                                <w:tcPr>
                                  <w:tcW w:w="7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4.65pt;mso-wrap-distance-left:0pt;mso-wrap-distance-right:0pt;mso-wrap-distance-top:0pt;mso-wrap-distance-bottom:0pt;margin-top:0pt;mso-position-vertical:top;mso-position-vertical-relative:text;margin-left:0pt;mso-position-horizontal:left;mso-position-horizontal-relative:text">
                <v:textbox>
                  <w:txbxContent>
                    <w:tbl>
                      <w:tblPr>
                        <w:tblW w:w="7515" w:type="dxa"/>
                        <w:jc w:val="left"/>
                        <w:tblInd w:w="0" w:type="dxa"/>
                        <w:tblLayout w:type="fixed"/>
                        <w:tblCellMar>
                          <w:top w:w="28" w:type="dxa"/>
                          <w:left w:w="28" w:type="dxa"/>
                          <w:bottom w:w="28" w:type="dxa"/>
                          <w:right w:w="28" w:type="dxa"/>
                        </w:tblCellMar>
                      </w:tblPr>
                      <w:tblGrid>
                        <w:gridCol w:w="2404"/>
                        <w:gridCol w:w="2116"/>
                        <w:gridCol w:w="2995"/>
                      </w:tblGrid>
                      <w:tr>
                        <w:trPr/>
                        <w:tc>
                          <w:tcPr>
                            <w:tcW w:w="2404"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r>
                      <w:tr>
                        <w:trPr/>
                        <w:tc>
                          <w:tcPr>
                            <w:tcW w:w="7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Condensed Consolidated Statements of Changes in Stockholders’ Equity</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 in thousands, except share data)</w:t>
      </w:r>
    </w:p>
    <w:tbl>
      <w:tblPr>
        <w:tblW w:w="11608" w:type="dxa"/>
        <w:jc w:val="left"/>
        <w:tblInd w:w="0" w:type="dxa"/>
        <w:tblLayout w:type="fixed"/>
        <w:tblCellMar>
          <w:top w:w="28" w:type="dxa"/>
          <w:left w:w="28" w:type="dxa"/>
          <w:bottom w:w="28" w:type="dxa"/>
          <w:right w:w="28" w:type="dxa"/>
        </w:tblCellMar>
      </w:tblPr>
      <w:tblGrid>
        <w:gridCol w:w="592"/>
        <w:gridCol w:w="401"/>
        <w:gridCol w:w="403"/>
        <w:gridCol w:w="245"/>
        <w:gridCol w:w="245"/>
        <w:gridCol w:w="246"/>
        <w:gridCol w:w="109"/>
        <w:gridCol w:w="109"/>
        <w:gridCol w:w="109"/>
        <w:gridCol w:w="256"/>
        <w:gridCol w:w="460"/>
        <w:gridCol w:w="125"/>
        <w:gridCol w:w="109"/>
        <w:gridCol w:w="109"/>
        <w:gridCol w:w="109"/>
        <w:gridCol w:w="109"/>
        <w:gridCol w:w="109"/>
        <w:gridCol w:w="109"/>
        <w:gridCol w:w="623"/>
        <w:gridCol w:w="623"/>
        <w:gridCol w:w="246"/>
        <w:gridCol w:w="109"/>
        <w:gridCol w:w="109"/>
        <w:gridCol w:w="109"/>
        <w:gridCol w:w="306"/>
        <w:gridCol w:w="387"/>
        <w:gridCol w:w="148"/>
        <w:gridCol w:w="109"/>
        <w:gridCol w:w="109"/>
        <w:gridCol w:w="109"/>
        <w:gridCol w:w="226"/>
        <w:gridCol w:w="946"/>
        <w:gridCol w:w="109"/>
        <w:gridCol w:w="109"/>
        <w:gridCol w:w="109"/>
        <w:gridCol w:w="109"/>
        <w:gridCol w:w="226"/>
        <w:gridCol w:w="986"/>
        <w:gridCol w:w="109"/>
        <w:gridCol w:w="109"/>
        <w:gridCol w:w="109"/>
        <w:gridCol w:w="109"/>
        <w:gridCol w:w="240"/>
        <w:gridCol w:w="1006"/>
        <w:gridCol w:w="165"/>
      </w:tblGrid>
      <w:tr>
        <w:trPr/>
        <w:tc>
          <w:tcPr>
            <w:tcW w:w="59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Preferred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Additional 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Accumulated deficit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 xml:space="preserve">Total stockholders' </w:t>
              <w:br/>
              <w:t>equity</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8"/>
              </w:rPr>
            </w:pPr>
            <w:r>
              <w:rPr>
                <w:rFonts w:ascii="Expensify Neue;sans-serif" w:hAnsi="Expensify Neue;sans-serif"/>
                <w:b/>
                <w:color w:val="000000"/>
                <w:sz w:val="18"/>
              </w:rPr>
              <w:t>Three months ended September 30, 2024</w:t>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Balance at June 30, 2024</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88,194,690 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261,309 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(147,318)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114,000 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upon exercise of stock options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250,388 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250 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Vesting of early exercised stock options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restricted stock units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11,666 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Repurchases of early exercised stock options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(2,520)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under Matching Plan</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911,645 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896 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in connection with restricted stock units vesting</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206,745 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Repurchase and retirement of common stock</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(645,938)</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(1,510)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Stock-based compensation</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8,384 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Net loss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(2,198)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Balance at September 30, 2024</w:t>
            </w:r>
          </w:p>
        </w:tc>
        <w:tc>
          <w:tcPr>
            <w:tcW w:w="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88,926,676 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269,441 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(149,516)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119,934 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075055"/>
                <wp:effectExtent l="0" t="0" r="0" b="0"/>
                <wp:wrapNone/>
                <wp:docPr id="11" name="Frame10"/>
                <a:graphic xmlns:a="http://schemas.openxmlformats.org/drawingml/2006/main">
                  <a:graphicData uri="http://schemas.microsoft.com/office/word/2010/wordprocessingShape">
                    <wps:wsp>
                      <wps:cNvSpPr txBox="1"/>
                      <wps:spPr>
                        <a:xfrm>
                          <a:off x="0" y="0"/>
                          <a:ext cx="6480175" cy="1075055"/>
                        </a:xfrm>
                        <a:prstGeom prst="rect"/>
                        <a:solidFill>
                          <a:srgbClr val="FFFFFF"/>
                        </a:solidFill>
                      </wps:spPr>
                      <wps:txbx>
                        <w:txbxContent>
                          <w:tbl>
                            <w:tblPr>
                              <w:tblW w:w="7515" w:type="dxa"/>
                              <w:jc w:val="left"/>
                              <w:tblInd w:w="0" w:type="dxa"/>
                              <w:tblLayout w:type="fixed"/>
                              <w:tblCellMar>
                                <w:top w:w="28" w:type="dxa"/>
                                <w:left w:w="28" w:type="dxa"/>
                                <w:bottom w:w="28" w:type="dxa"/>
                                <w:right w:w="28" w:type="dxa"/>
                              </w:tblCellMar>
                            </w:tblPr>
                            <w:tblGrid>
                              <w:gridCol w:w="2404"/>
                              <w:gridCol w:w="2116"/>
                              <w:gridCol w:w="2995"/>
                            </w:tblGrid>
                            <w:tr>
                              <w:trPr/>
                              <w:tc>
                                <w:tcPr>
                                  <w:tcW w:w="2404"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r>
                            <w:tr>
                              <w:trPr/>
                              <w:tc>
                                <w:tcPr>
                                  <w:tcW w:w="7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4.65pt;mso-wrap-distance-left:0pt;mso-wrap-distance-right:0pt;mso-wrap-distance-top:0pt;mso-wrap-distance-bottom:0pt;margin-top:0pt;mso-position-vertical:top;mso-position-vertical-relative:text;margin-left:0pt;mso-position-horizontal:left;mso-position-horizontal-relative:text">
                <v:textbox>
                  <w:txbxContent>
                    <w:tbl>
                      <w:tblPr>
                        <w:tblW w:w="7515" w:type="dxa"/>
                        <w:jc w:val="left"/>
                        <w:tblInd w:w="0" w:type="dxa"/>
                        <w:tblLayout w:type="fixed"/>
                        <w:tblCellMar>
                          <w:top w:w="28" w:type="dxa"/>
                          <w:left w:w="28" w:type="dxa"/>
                          <w:bottom w:w="28" w:type="dxa"/>
                          <w:right w:w="28" w:type="dxa"/>
                        </w:tblCellMar>
                      </w:tblPr>
                      <w:tblGrid>
                        <w:gridCol w:w="2404"/>
                        <w:gridCol w:w="2116"/>
                        <w:gridCol w:w="2995"/>
                      </w:tblGrid>
                      <w:tr>
                        <w:trPr/>
                        <w:tc>
                          <w:tcPr>
                            <w:tcW w:w="2404"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r>
                      <w:tr>
                        <w:trPr/>
                        <w:tc>
                          <w:tcPr>
                            <w:tcW w:w="7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Condensed Consolidated Statements of Changes in Stockholders’ Equity</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 in thousands, except share data)</w:t>
      </w:r>
    </w:p>
    <w:tbl>
      <w:tblPr>
        <w:tblW w:w="11848" w:type="dxa"/>
        <w:jc w:val="left"/>
        <w:tblInd w:w="0" w:type="dxa"/>
        <w:tblLayout w:type="fixed"/>
        <w:tblCellMar>
          <w:top w:w="28" w:type="dxa"/>
          <w:left w:w="28" w:type="dxa"/>
          <w:bottom w:w="28" w:type="dxa"/>
          <w:right w:w="28" w:type="dxa"/>
        </w:tblCellMar>
      </w:tblPr>
      <w:tblGrid>
        <w:gridCol w:w="832"/>
        <w:gridCol w:w="401"/>
        <w:gridCol w:w="403"/>
        <w:gridCol w:w="245"/>
        <w:gridCol w:w="245"/>
        <w:gridCol w:w="246"/>
        <w:gridCol w:w="109"/>
        <w:gridCol w:w="109"/>
        <w:gridCol w:w="109"/>
        <w:gridCol w:w="256"/>
        <w:gridCol w:w="460"/>
        <w:gridCol w:w="125"/>
        <w:gridCol w:w="109"/>
        <w:gridCol w:w="109"/>
        <w:gridCol w:w="109"/>
        <w:gridCol w:w="109"/>
        <w:gridCol w:w="109"/>
        <w:gridCol w:w="109"/>
        <w:gridCol w:w="623"/>
        <w:gridCol w:w="623"/>
        <w:gridCol w:w="246"/>
        <w:gridCol w:w="109"/>
        <w:gridCol w:w="109"/>
        <w:gridCol w:w="109"/>
        <w:gridCol w:w="306"/>
        <w:gridCol w:w="387"/>
        <w:gridCol w:w="148"/>
        <w:gridCol w:w="109"/>
        <w:gridCol w:w="109"/>
        <w:gridCol w:w="109"/>
        <w:gridCol w:w="226"/>
        <w:gridCol w:w="946"/>
        <w:gridCol w:w="109"/>
        <w:gridCol w:w="109"/>
        <w:gridCol w:w="109"/>
        <w:gridCol w:w="109"/>
        <w:gridCol w:w="226"/>
        <w:gridCol w:w="986"/>
        <w:gridCol w:w="109"/>
        <w:gridCol w:w="109"/>
        <w:gridCol w:w="109"/>
        <w:gridCol w:w="109"/>
        <w:gridCol w:w="240"/>
        <w:gridCol w:w="1006"/>
        <w:gridCol w:w="165"/>
      </w:tblGrid>
      <w:tr>
        <w:trPr/>
        <w:tc>
          <w:tcPr>
            <w:tcW w:w="83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Preferred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Additional 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Accumulated deficit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 xml:space="preserve">Total stockholders' </w:t>
              <w:br/>
              <w:t>equity</w:t>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8"/>
              </w:rPr>
            </w:pPr>
            <w:r>
              <w:rPr>
                <w:rFonts w:ascii="Expensify Neue;sans-serif" w:hAnsi="Expensify Neue;sans-serif"/>
                <w:b/>
                <w:color w:val="000000"/>
                <w:sz w:val="18"/>
              </w:rPr>
              <w:t>Nine months ended September 30, 2025</w:t>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Balance at December 31, 2024</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91,376,765 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279,062 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(150,828)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128,243 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on exercise of stock options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357,044 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315 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Vesting of early exercised stock options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113 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restricted stock units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8,600 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28 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Settlement of liability-classified restricted common shares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382,393 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under Matching Plan</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2,950,902 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4,351 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in connection with restricted stock units vesting</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820,931 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Repurchase and retirement of common stock</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(2,865,099)</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(6,057)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Stock-based compensation</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22,939 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22,939 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Net loss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(14,272)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(14,272)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Balance at September 30, 2025</w:t>
            </w:r>
          </w:p>
        </w:tc>
        <w:tc>
          <w:tcPr>
            <w:tcW w:w="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93,031,536 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300,751 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(165,100)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135,660 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075055"/>
                <wp:effectExtent l="0" t="0" r="0" b="0"/>
                <wp:wrapNone/>
                <wp:docPr id="12" name="Frame11"/>
                <a:graphic xmlns:a="http://schemas.openxmlformats.org/drawingml/2006/main">
                  <a:graphicData uri="http://schemas.microsoft.com/office/word/2010/wordprocessingShape">
                    <wps:wsp>
                      <wps:cNvSpPr txBox="1"/>
                      <wps:spPr>
                        <a:xfrm>
                          <a:off x="0" y="0"/>
                          <a:ext cx="6480175" cy="1075055"/>
                        </a:xfrm>
                        <a:prstGeom prst="rect"/>
                        <a:solidFill>
                          <a:srgbClr val="FFFFFF"/>
                        </a:solidFill>
                      </wps:spPr>
                      <wps:txbx>
                        <w:txbxContent>
                          <w:tbl>
                            <w:tblPr>
                              <w:tblW w:w="7515" w:type="dxa"/>
                              <w:jc w:val="left"/>
                              <w:tblInd w:w="0" w:type="dxa"/>
                              <w:tblLayout w:type="fixed"/>
                              <w:tblCellMar>
                                <w:top w:w="28" w:type="dxa"/>
                                <w:left w:w="28" w:type="dxa"/>
                                <w:bottom w:w="28" w:type="dxa"/>
                                <w:right w:w="28" w:type="dxa"/>
                              </w:tblCellMar>
                            </w:tblPr>
                            <w:tblGrid>
                              <w:gridCol w:w="2404"/>
                              <w:gridCol w:w="2116"/>
                              <w:gridCol w:w="2995"/>
                            </w:tblGrid>
                            <w:tr>
                              <w:trPr/>
                              <w:tc>
                                <w:tcPr>
                                  <w:tcW w:w="2404"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r>
                            <w:tr>
                              <w:trPr/>
                              <w:tc>
                                <w:tcPr>
                                  <w:tcW w:w="7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4.65pt;mso-wrap-distance-left:0pt;mso-wrap-distance-right:0pt;mso-wrap-distance-top:0pt;mso-wrap-distance-bottom:0pt;margin-top:0pt;mso-position-vertical:top;mso-position-vertical-relative:text;margin-left:0pt;mso-position-horizontal:left;mso-position-horizontal-relative:text">
                <v:textbox>
                  <w:txbxContent>
                    <w:tbl>
                      <w:tblPr>
                        <w:tblW w:w="7515" w:type="dxa"/>
                        <w:jc w:val="left"/>
                        <w:tblInd w:w="0" w:type="dxa"/>
                        <w:tblLayout w:type="fixed"/>
                        <w:tblCellMar>
                          <w:top w:w="28" w:type="dxa"/>
                          <w:left w:w="28" w:type="dxa"/>
                          <w:bottom w:w="28" w:type="dxa"/>
                          <w:right w:w="28" w:type="dxa"/>
                        </w:tblCellMar>
                      </w:tblPr>
                      <w:tblGrid>
                        <w:gridCol w:w="2404"/>
                        <w:gridCol w:w="2116"/>
                        <w:gridCol w:w="2995"/>
                      </w:tblGrid>
                      <w:tr>
                        <w:trPr/>
                        <w:tc>
                          <w:tcPr>
                            <w:tcW w:w="2404"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r>
                      <w:tr>
                        <w:trPr/>
                        <w:tc>
                          <w:tcPr>
                            <w:tcW w:w="7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Condensed Consolidated Statements of Changes in Stockholders’ Equity</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 in thousands, except share data)</w:t>
      </w:r>
    </w:p>
    <w:tbl>
      <w:tblPr>
        <w:tblW w:w="11608" w:type="dxa"/>
        <w:jc w:val="left"/>
        <w:tblInd w:w="0" w:type="dxa"/>
        <w:tblLayout w:type="fixed"/>
        <w:tblCellMar>
          <w:top w:w="28" w:type="dxa"/>
          <w:left w:w="28" w:type="dxa"/>
          <w:bottom w:w="28" w:type="dxa"/>
          <w:right w:w="28" w:type="dxa"/>
        </w:tblCellMar>
      </w:tblPr>
      <w:tblGrid>
        <w:gridCol w:w="592"/>
        <w:gridCol w:w="401"/>
        <w:gridCol w:w="403"/>
        <w:gridCol w:w="245"/>
        <w:gridCol w:w="245"/>
        <w:gridCol w:w="246"/>
        <w:gridCol w:w="109"/>
        <w:gridCol w:w="109"/>
        <w:gridCol w:w="109"/>
        <w:gridCol w:w="256"/>
        <w:gridCol w:w="460"/>
        <w:gridCol w:w="125"/>
        <w:gridCol w:w="109"/>
        <w:gridCol w:w="109"/>
        <w:gridCol w:w="109"/>
        <w:gridCol w:w="109"/>
        <w:gridCol w:w="109"/>
        <w:gridCol w:w="109"/>
        <w:gridCol w:w="623"/>
        <w:gridCol w:w="623"/>
        <w:gridCol w:w="246"/>
        <w:gridCol w:w="109"/>
        <w:gridCol w:w="109"/>
        <w:gridCol w:w="109"/>
        <w:gridCol w:w="306"/>
        <w:gridCol w:w="387"/>
        <w:gridCol w:w="148"/>
        <w:gridCol w:w="109"/>
        <w:gridCol w:w="109"/>
        <w:gridCol w:w="109"/>
        <w:gridCol w:w="226"/>
        <w:gridCol w:w="946"/>
        <w:gridCol w:w="109"/>
        <w:gridCol w:w="109"/>
        <w:gridCol w:w="109"/>
        <w:gridCol w:w="109"/>
        <w:gridCol w:w="226"/>
        <w:gridCol w:w="986"/>
        <w:gridCol w:w="109"/>
        <w:gridCol w:w="109"/>
        <w:gridCol w:w="109"/>
        <w:gridCol w:w="109"/>
        <w:gridCol w:w="240"/>
        <w:gridCol w:w="1006"/>
        <w:gridCol w:w="165"/>
      </w:tblGrid>
      <w:tr>
        <w:trPr/>
        <w:tc>
          <w:tcPr>
            <w:tcW w:w="59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Preferred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Additional 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Accumulated deficit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 xml:space="preserve">Total stockholders' </w:t>
              <w:br/>
              <w:t>equity</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8"/>
              </w:rPr>
            </w:pPr>
            <w:r>
              <w:rPr>
                <w:rFonts w:ascii="Expensify Neue;sans-serif" w:hAnsi="Expensify Neue;sans-serif"/>
                <w:b/>
                <w:color w:val="000000"/>
                <w:sz w:val="18"/>
              </w:rPr>
              <w:t>Nine months ended September 30, 2024</w:t>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Balance at December 31, 2023</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85,225,328 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241,509 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(140,773)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100,744 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upon exercise of stock options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306,917 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303 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Vesting of early exercised stock options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337 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restricted stock units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27,925 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53 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Repurchase of early exercised stock options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(32,954)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under Matching Plan</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3,364,621 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2,900 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Issuance of common stock in connection with restricted stock units vesting</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680,777 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Repurchase and retirement of common stock</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(645,938)</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(1,510)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Stock-based compensation</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25,850 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25,850 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Net loss</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(8,743)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(8,743)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Balance at September 30, 2024</w:t>
            </w:r>
          </w:p>
        </w:tc>
        <w:tc>
          <w:tcPr>
            <w:tcW w:w="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88,926,676 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9 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269,441 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9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(149,516)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w:t>
            </w:r>
          </w:p>
        </w:tc>
        <w:tc>
          <w:tcPr>
            <w:tcW w:w="10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8"/>
              </w:rPr>
            </w:pPr>
            <w:r>
              <w:rPr>
                <w:rFonts w:ascii="Expensify Neue;sans-serif" w:hAnsi="Expensify Neue;sans-serif"/>
                <w:b w:val="false"/>
                <w:color w:val="000000"/>
                <w:sz w:val="18"/>
              </w:rPr>
              <w:t>119,934 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075055"/>
                <wp:effectExtent l="0" t="0" r="0" b="0"/>
                <wp:wrapNone/>
                <wp:docPr id="13" name="Frame12"/>
                <a:graphic xmlns:a="http://schemas.openxmlformats.org/drawingml/2006/main">
                  <a:graphicData uri="http://schemas.microsoft.com/office/word/2010/wordprocessingShape">
                    <wps:wsp>
                      <wps:cNvSpPr txBox="1"/>
                      <wps:spPr>
                        <a:xfrm>
                          <a:off x="0" y="0"/>
                          <a:ext cx="6480175" cy="1075055"/>
                        </a:xfrm>
                        <a:prstGeom prst="rect"/>
                        <a:solidFill>
                          <a:srgbClr val="FFFFFF"/>
                        </a:solidFill>
                      </wps:spPr>
                      <wps:txbx>
                        <w:txbxContent>
                          <w:tbl>
                            <w:tblPr>
                              <w:tblW w:w="7515" w:type="dxa"/>
                              <w:jc w:val="left"/>
                              <w:tblInd w:w="0" w:type="dxa"/>
                              <w:tblLayout w:type="fixed"/>
                              <w:tblCellMar>
                                <w:top w:w="28" w:type="dxa"/>
                                <w:left w:w="28" w:type="dxa"/>
                                <w:bottom w:w="28" w:type="dxa"/>
                                <w:right w:w="28" w:type="dxa"/>
                              </w:tblCellMar>
                            </w:tblPr>
                            <w:tblGrid>
                              <w:gridCol w:w="2404"/>
                              <w:gridCol w:w="2116"/>
                              <w:gridCol w:w="2995"/>
                            </w:tblGrid>
                            <w:tr>
                              <w:trPr/>
                              <w:tc>
                                <w:tcPr>
                                  <w:tcW w:w="2404"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r>
                            <w:tr>
                              <w:trPr/>
                              <w:tc>
                                <w:tcPr>
                                  <w:tcW w:w="7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4.65pt;mso-wrap-distance-left:0pt;mso-wrap-distance-right:0pt;mso-wrap-distance-top:0pt;mso-wrap-distance-bottom:0pt;margin-top:0pt;mso-position-vertical:top;mso-position-vertical-relative:text;margin-left:0pt;mso-position-horizontal:left;mso-position-horizontal-relative:text">
                <v:textbox>
                  <w:txbxContent>
                    <w:tbl>
                      <w:tblPr>
                        <w:tblW w:w="7515" w:type="dxa"/>
                        <w:jc w:val="left"/>
                        <w:tblInd w:w="0" w:type="dxa"/>
                        <w:tblLayout w:type="fixed"/>
                        <w:tblCellMar>
                          <w:top w:w="28" w:type="dxa"/>
                          <w:left w:w="28" w:type="dxa"/>
                          <w:bottom w:w="28" w:type="dxa"/>
                          <w:right w:w="28" w:type="dxa"/>
                        </w:tblCellMar>
                      </w:tblPr>
                      <w:tblGrid>
                        <w:gridCol w:w="2404"/>
                        <w:gridCol w:w="2116"/>
                        <w:gridCol w:w="2995"/>
                      </w:tblGrid>
                      <w:tr>
                        <w:trPr/>
                        <w:tc>
                          <w:tcPr>
                            <w:tcW w:w="2404"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r>
                      <w:tr>
                        <w:trPr/>
                        <w:tc>
                          <w:tcPr>
                            <w:tcW w:w="7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Condensed Consolidated Statements of Cash Flows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 in thousands)</w:t>
      </w:r>
    </w:p>
    <w:tbl>
      <w:tblPr>
        <w:tblW w:w="10205" w:type="dxa"/>
        <w:jc w:val="left"/>
        <w:tblInd w:w="0" w:type="dxa"/>
        <w:tblLayout w:type="fixed"/>
        <w:tblCellMar>
          <w:top w:w="28" w:type="dxa"/>
          <w:left w:w="28" w:type="dxa"/>
          <w:bottom w:w="28" w:type="dxa"/>
          <w:right w:w="28" w:type="dxa"/>
        </w:tblCellMar>
      </w:tblPr>
      <w:tblGrid>
        <w:gridCol w:w="2767"/>
        <w:gridCol w:w="2389"/>
        <w:gridCol w:w="2397"/>
        <w:gridCol w:w="219"/>
        <w:gridCol w:w="826"/>
        <w:gridCol w:w="121"/>
        <w:gridCol w:w="121"/>
        <w:gridCol w:w="121"/>
        <w:gridCol w:w="121"/>
        <w:gridCol w:w="219"/>
        <w:gridCol w:w="725"/>
        <w:gridCol w:w="179"/>
      </w:tblGrid>
      <w:tr>
        <w:trPr/>
        <w:tc>
          <w:tcPr>
            <w:tcW w:w="2767"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755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4"/>
              </w:rPr>
            </w:pPr>
            <w:r>
              <w:rPr>
                <w:rFonts w:ascii="Expensify Neue;sans-serif" w:hAnsi="Expensify Neue;sans-serif"/>
                <w:b/>
                <w:color w:val="000000"/>
                <w:sz w:val="14"/>
              </w:rPr>
              <w:t>Nine Months Ended September 30,</w:t>
            </w:r>
          </w:p>
        </w:tc>
      </w:tr>
      <w:tr>
        <w:trPr/>
        <w:tc>
          <w:tcPr>
            <w:tcW w:w="7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4"/>
              </w:rPr>
            </w:pPr>
            <w:r>
              <w:rPr>
                <w:rFonts w:ascii="Expensify Neue;sans-serif" w:hAnsi="Expensify Neue;sans-serif"/>
                <w:b/>
                <w:color w:val="000000"/>
                <w:sz w:val="14"/>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4"/>
              </w:rPr>
            </w:pPr>
            <w:r>
              <w:rPr>
                <w:rFonts w:ascii="Expensify Neue;sans-serif" w:hAnsi="Expensify Neue;sans-serif"/>
                <w:b/>
                <w:color w:val="000000"/>
                <w:sz w:val="14"/>
              </w:rPr>
              <w:t>2024</w:t>
            </w:r>
          </w:p>
        </w:tc>
      </w:tr>
      <w:tr>
        <w:trPr/>
        <w:tc>
          <w:tcPr>
            <w:tcW w:w="7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Cash flows from operating activities:</w:t>
            </w:r>
          </w:p>
        </w:tc>
        <w:tc>
          <w:tcPr>
            <w:tcW w:w="11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Net loss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(14,272)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(8,743)</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Adjustments to reconcile net loss to net cash provided by operating activities:</w:t>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Depreciation and amortization</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6,179 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4,851 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Reduction of operating lease right-of-use assets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427 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411 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Loss on impairment, receivables and sale or disposal of equipment</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448 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637 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Stock-based compensation expense</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21,580 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23,535 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Amortization of original issue discount and debt issuance costs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79 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43 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Deferred tax assets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(32)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Changes in assets and liabilities:</w:t>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Accounts receivable, net</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845 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Settlement assets, net</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(7,906)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(13,202)</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Prepaid expenses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7,915 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1,597 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Other current assets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(2,564)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2,707 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Other assets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(144)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Accounts payable</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451 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(349)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Accrued expenses and other liabilities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(350)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(1,501)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Operating lease liabilities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(435)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67 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Settlement liabilities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6,393 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5,389 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Other liabilities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(116)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364 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Net cash provided by operating activities</w:t>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17,887 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16,475 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Cash flows from investing activities:</w:t>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Purchases of property and equipment</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Software development costs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(2,740)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(6,699)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Net cash used in investing activities</w:t>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(2,757)</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(6,699)</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Cash flows from financing activities:</w:t>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Principal payments of finance leases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(104)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(96)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Principal payments of outstanding debt</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(22,671)</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Payments for debt issuance costs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(88)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(71)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Repurchases of early exercised stock options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(35)</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Proceeds from common stock purchased under Matching Plan</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4,351 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2,900 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Proceeds from issuance of common stock upon exercise of stock options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315 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303 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Repurchase and retirement of common stock</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(6,057)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(1,510)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Net cash used in financing activities</w:t>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(1,583)</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(21,180)</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Net increase (decrease) in cash and cash equivalents and restricted cash</w:t>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13,547 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(11,404)</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Cash and cash equivalents and restricted cash, beginning of period</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90,834 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96,658 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Cash and cash equivalents and restricted cash, end of period</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104,381 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7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85,254 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Supplemental disclosure of cash flow information:</w:t>
            </w:r>
          </w:p>
        </w:tc>
        <w:tc>
          <w:tcPr>
            <w:tcW w:w="11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Cash paid for interest</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1,326 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Cash paid for income taxes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4,880 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3,735 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Noncash investing and financing items:</w:t>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Stock-based compensation capitalized as software development costs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1,359 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2,315 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Purchases of property and equipment and capitalized software in accounts payable and accrued expenses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78 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178 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Fair value of common stock issued to settle liability-classified restricted stock units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792 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Reconciliation of cash and cash equivalents and restricted cash to the Condensed Consolidated Balance Sheets</w:t>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Cash and cash equivalents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61,453 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39,172 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Restricted cash included in other current assets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17,875 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23,748 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Restricted cash included in settlement assets, net</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25,053 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22,334 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Total cash, cash equivalents and restricted cash</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104,381 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7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85,254 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075055"/>
                <wp:effectExtent l="0" t="0" r="0" b="0"/>
                <wp:wrapNone/>
                <wp:docPr id="14" name="Frame13"/>
                <a:graphic xmlns:a="http://schemas.openxmlformats.org/drawingml/2006/main">
                  <a:graphicData uri="http://schemas.microsoft.com/office/word/2010/wordprocessingShape">
                    <wps:wsp>
                      <wps:cNvSpPr txBox="1"/>
                      <wps:spPr>
                        <a:xfrm>
                          <a:off x="0" y="0"/>
                          <a:ext cx="6480175" cy="1075055"/>
                        </a:xfrm>
                        <a:prstGeom prst="rect"/>
                        <a:solidFill>
                          <a:srgbClr val="FFFFFF"/>
                        </a:solidFill>
                      </wps:spPr>
                      <wps:txbx>
                        <w:txbxContent>
                          <w:tbl>
                            <w:tblPr>
                              <w:tblW w:w="7514" w:type="dxa"/>
                              <w:jc w:val="left"/>
                              <w:tblInd w:w="0" w:type="dxa"/>
                              <w:tblLayout w:type="fixed"/>
                              <w:tblCellMar>
                                <w:top w:w="28" w:type="dxa"/>
                                <w:left w:w="28" w:type="dxa"/>
                                <w:bottom w:w="28" w:type="dxa"/>
                                <w:right w:w="28" w:type="dxa"/>
                              </w:tblCellMar>
                            </w:tblPr>
                            <w:tblGrid>
                              <w:gridCol w:w="1303"/>
                              <w:gridCol w:w="1143"/>
                              <w:gridCol w:w="1143"/>
                              <w:gridCol w:w="1143"/>
                              <w:gridCol w:w="1143"/>
                              <w:gridCol w:w="1639"/>
                            </w:tblGrid>
                            <w:tr>
                              <w:trPr/>
                              <w:tc>
                                <w:tcPr>
                                  <w:tcW w:w="130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r>
                            <w:tr>
                              <w:trPr/>
                              <w:tc>
                                <w:tcPr>
                                  <w:tcW w:w="751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4.65pt;mso-wrap-distance-left:0pt;mso-wrap-distance-right:0pt;mso-wrap-distance-top:0pt;mso-wrap-distance-bottom:0pt;margin-top:0pt;mso-position-vertical:top;mso-position-vertical-relative:text;margin-left:0pt;mso-position-horizontal:left;mso-position-horizontal-relative:text">
                <v:textbox>
                  <w:txbxContent>
                    <w:tbl>
                      <w:tblPr>
                        <w:tblW w:w="7514" w:type="dxa"/>
                        <w:jc w:val="left"/>
                        <w:tblInd w:w="0" w:type="dxa"/>
                        <w:tblLayout w:type="fixed"/>
                        <w:tblCellMar>
                          <w:top w:w="28" w:type="dxa"/>
                          <w:left w:w="28" w:type="dxa"/>
                          <w:bottom w:w="28" w:type="dxa"/>
                          <w:right w:w="28" w:type="dxa"/>
                        </w:tblCellMar>
                      </w:tblPr>
                      <w:tblGrid>
                        <w:gridCol w:w="1303"/>
                        <w:gridCol w:w="1143"/>
                        <w:gridCol w:w="1143"/>
                        <w:gridCol w:w="1143"/>
                        <w:gridCol w:w="1143"/>
                        <w:gridCol w:w="1639"/>
                      </w:tblGrid>
                      <w:tr>
                        <w:trPr/>
                        <w:tc>
                          <w:tcPr>
                            <w:tcW w:w="130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r>
                      <w:tr>
                        <w:trPr/>
                        <w:tc>
                          <w:tcPr>
                            <w:tcW w:w="751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20"/>
                              </w:rPr>
                            </w:pPr>
                            <w:r>
                              <w:rPr>
                                <w:rFonts w:ascii="Expensify Neue;sans-serif" w:hAnsi="Expensify Neue;sans-serif"/>
                                <w:b w:val="false"/>
                                <w:color w:val="000000"/>
                                <w:sz w:val="20"/>
                              </w:rPr>
                              <w:t>See accompanying notes to Condensed Consolidated Financial Statements.</w:t>
                            </w:r>
                          </w:p>
                        </w:tc>
                      </w:tr>
                      <w:tr>
                        <w:trPr/>
                        <w:tc>
                          <w:tcPr>
                            <w:tcW w:w="751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NOTE 1 – GENERAL INFORMATION</w:t>
      </w:r>
    </w:p>
    <w:p>
      <w:pPr>
        <w:pStyle w:val="TextBody"/>
        <w:bidi w:val="0"/>
        <w:spacing w:lineRule="auto" w:line="288" w:before="0" w:after="160"/>
        <w:jc w:val="left"/>
        <w:rPr/>
      </w:pPr>
      <w:r>
        <w:rPr>
          <w:rFonts w:ascii="Expensify Neue;sans-serif" w:hAnsi="Expensify Neue;sans-serif"/>
          <w:b/>
          <w:color w:val="000000"/>
          <w:sz w:val="20"/>
        </w:rPr>
        <w:t>Description of the Business</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Expensify, Inc. ("Expensify") was incorporated in Delaware on April 29, 2009. Expensify offers a comprehensive expense management platform that integrates with a variety of third-party accounting applications, including QuickBooks Desktop, QuickBooks Online, Xero, NetSuite, Intacct, Sage, Microsoft Dynamics, MYOB and others. Expensify's product simplifies the way that employees and vendors manage and submit expense receipts and bills and provides efficiencies to companies for the payment of those bills. Expensify delivers its services over the internet to corporations and individuals under license arrangements and offers unique pricing options for small and medium-sized businesses and enterprises primarily on a per-active-member basis. Expensify has subsidiaries in the United States ("U.S."), Australia, Canada, Netherlands and United Kingdom ("UK").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Expensify also offers an Expensify charge card (the "Expensify Card"), which is primarily distributed to corporate customers in the U.S. who subsequently distribute the card to their employees for business use. The Expensify Card allows customers to have real-time control over their employees' spending and compliance with spending limits in addition to eReceipt reporting on purchases.</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As of </w:t>
      </w:r>
      <w:r>
        <w:rPr>
          <w:rFonts w:ascii="Expensify Neue;sans-serif" w:hAnsi="Expensify Neue;sans-serif"/>
          <w:b w:val="false"/>
          <w:color w:val="000000"/>
          <w:sz w:val="20"/>
        </w:rPr>
        <w:t>September 30, 2025</w:t>
      </w:r>
      <w:r>
        <w:rPr>
          <w:rFonts w:ascii="Expensify Neue;sans-serif" w:hAnsi="Expensify Neue;sans-serif"/>
          <w:b w:val="false"/>
          <w:color w:val="000000"/>
          <w:sz w:val="20"/>
          <w:shd w:fill="FFFFFF" w:val="clear"/>
        </w:rPr>
        <w:t xml:space="preserve">, the Expensify Card substantially consisted of a single card program that launched in February 2024 (the "Updated Card Program"). </w:t>
      </w:r>
      <w:r>
        <w:rPr>
          <w:rFonts w:ascii="Expensify Neue;sans-serif" w:hAnsi="Expensify Neue;sans-serif"/>
          <w:b w:val="false"/>
          <w:color w:val="000000"/>
          <w:sz w:val="20"/>
        </w:rPr>
        <w:t xml:space="preserve">The Updated Card Program operates under an agreement with the issuing bank, </w:t>
      </w:r>
      <w:r>
        <w:rPr>
          <w:rFonts w:ascii="Expensify Neue;sans-serif" w:hAnsi="Expensify Neue;sans-serif"/>
          <w:b w:val="false"/>
          <w:color w:val="000000"/>
          <w:sz w:val="20"/>
          <w:shd w:fill="FFFFFF" w:val="clear"/>
        </w:rPr>
        <w:t>The Bancorp Bank, N.A. ("Bancorp"),</w:t>
      </w:r>
      <w:r>
        <w:rPr>
          <w:color w:val="000000"/>
        </w:rPr>
        <w:t xml:space="preserve"> </w:t>
      </w:r>
      <w:r>
        <w:rPr>
          <w:rFonts w:ascii="Expensify Neue;sans-serif" w:hAnsi="Expensify Neue;sans-serif"/>
          <w:b w:val="false"/>
          <w:color w:val="000000"/>
          <w:sz w:val="20"/>
        </w:rPr>
        <w:t>to issue Expensify Cards to customers and authorize and settle transactions on the Visa card network.</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Basis of Presentation and Principles of Consolidation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accompanying condensed consolidated financial statements include the accounts of Expensify, its wholly-owned subsidiaries, and Expensify.org (collectively, the "Company") and have been prepared in accordance with U.S. generally accepted accounting principles ("GAAP") and the applicable rules and regulations of the Securities and Exchange Commission ("SEC") for interim reporting in conformity with the instructions to Form 10-Q and Article 10 of Regulation S-X. Certain information and footnote disclosures normally included in financial statements presented in accordance with GAAP have been condensed or omitted pursuant to such SEC rules. These condensed consolidated financial statements should be read in conjunction with the consolidated financial statements and notes thereto included in the Annual Report on Form 10-K for the year ended December 31, 2024 ("2024 Annual Report").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All intercompany transactions and balances have been eliminated in consolidation. In the opinion of management, the accompanying condensed consolidated financial statements reflect all normal and recurring adjustments that are necessary for the fair presentation of the Company's financial position, results of operations, equity, and cash flows for the periods presented.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Results of operations for the three and nine months ended September 30, 2025 are not necessarily indicative of the results that may be expected for the year ending December 31, 2025 or for any other future annual or interim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30250"/>
                <wp:effectExtent l="0" t="0" r="0" b="0"/>
                <wp:wrapNone/>
                <wp:docPr id="15" name="Frame14"/>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Use of Estimates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preparation of condensed consolidated financial statements in conformity with GAAP requires management to make estimates and assumptions that affect the reported amounts of assets and liabilities at the date of the condensed consolidated financial statements and the reported amounts of revenues and expenses during the reporting period. Estimates and judgments are based on historical experience, forecasted events and various other assumptions that the Company believes to be reasonable under the circumstances. Estimates and judgments are evaluated on an ongoing basis. Actual results could differ from those estimates. Changes in estimates are recorded in the period in which they become known.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Estimates and assumptions by management affect the Company’s classification of employee and employee-related expenses, the useful lives and recoverability of long-lived assets and deferred contract acquisition costs, income taxes, capitalization of internal-use software costs, stock-based compensation and the Company's incremental borrowing rate utilized to measure its lease right-of-use ("ROU") assets and lease liabilities.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Segment Reporting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Company operates as one reportable segment because its chief operating decision maker ("CODM"), a committee that consists of the chief executive officer, the chief financial officer, and the chief operating officer, reviews the Company’s financial information on a consolidated basis for purposes of making decisions regarding allocating resources and assessing performance. Accordingly, the CODM uses Net loss on a consolidated basis to measure segment profit or loss and reviews significant segment expenses on a consolidated basis to manage the Company's operations, which includes Cost of revenue, net, Research and development, General and administrative, and Sales and marketing. All significant segment expenses are presented on the Condensed Consolidated Statements of Operations. Interest income is recorded within Other income (expenses), net on the Condensed Consolidated Statements of Operations. Interest income for the three months ended September 30, 2025 and 2024 was $0.5 million and $0.3 million, respectively. Interest income for the nine months ended September 30, 2025 and 2024 was $1.4 million and $0.8 million, respectively. The measure of segment assets is Total assets as reported on the Condensed Consolidated Balance Sheets. Substantially all long-lived assets are located in the United States. </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Updates to Significant Accounting Policies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Company’s significant accounting policies are discussed in Note 2 of the 2024 Annual Report. Since the date the 2024 Annual Report was filed with the SEC, there have been no material changes to the Company's significant accounting policies.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730250"/>
                <wp:effectExtent l="0" t="0" r="0" b="0"/>
                <wp:wrapNone/>
                <wp:docPr id="16" name="Frame15"/>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Recently Issued Accounting Pronouncements </w:t>
      </w:r>
    </w:p>
    <w:p>
      <w:pPr>
        <w:pStyle w:val="TextBody"/>
        <w:bidi w:val="0"/>
        <w:spacing w:lineRule="auto" w:line="288" w:before="0" w:after="160"/>
        <w:jc w:val="left"/>
        <w:rPr/>
      </w:pPr>
      <w:r>
        <w:rPr>
          <w:rFonts w:ascii="Expensify Neue;sans-serif" w:hAnsi="Expensify Neue;sans-serif"/>
          <w:b w:val="false"/>
          <w:color w:val="000000"/>
          <w:sz w:val="20"/>
        </w:rPr>
        <w:t xml:space="preserve">In September 2025, the FASB issued ASU 2025-06, </w:t>
      </w:r>
      <w:r>
        <w:rPr>
          <w:rFonts w:ascii="Expensify Neue;sans-serif" w:hAnsi="Expensify Neue;sans-serif"/>
          <w:b w:val="false"/>
          <w:i/>
          <w:color w:val="000000"/>
          <w:sz w:val="20"/>
        </w:rPr>
        <w:t xml:space="preserve">Intangibles - Goodwill and Other - Internal-Use Software (Subtopic 350-40): Targeted Improvements to the Accounting for Internal-Use Software, </w:t>
      </w:r>
      <w:r>
        <w:rPr>
          <w:rFonts w:ascii="Expensify Neue;sans-serif" w:hAnsi="Expensify Neue;sans-serif"/>
          <w:b w:val="false"/>
          <w:color w:val="000000"/>
          <w:sz w:val="20"/>
        </w:rPr>
        <w:t>which amends guidance related to the accounting for internal-use software development costs by removing references to software development project stages and requiring an entity to start capitalizing eligible software development costs when (i) management has authorized and committed to funding the software project, and (ii) it is probable that the project will be completed and the software will be used to perform the function intended. The ASU is effective for fiscal years beginning after December 15, 2027, including interim periods within those fiscal years, and allows for adoption on a prospective, retrospective, or modified prospective transition approach. Early adoption is permitted. The Company is currently evaluating the impact of this update on its consolidated financial statements and related disclosures.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Since the date the 2024 Annual Report was filed with the SEC, there have been no other material changes to the adoption status of recent accounting pronouncements previously discussed in Note 2 of the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NOTE 2 - REVENUE AND CERTAIN STATEMENT OF OPERATIONS COMPONENTS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table below provides the Company's total revenue by geographic region based on the transaction currency (in thousands). No other individual country outside of the United States accounted for more than 10% of total revenue. </w:t>
      </w:r>
    </w:p>
    <w:tbl>
      <w:tblPr>
        <w:tblW w:w="9052" w:type="dxa"/>
        <w:jc w:val="left"/>
        <w:tblInd w:w="0" w:type="dxa"/>
        <w:tblLayout w:type="fixed"/>
        <w:tblCellMar>
          <w:top w:w="28" w:type="dxa"/>
          <w:left w:w="28" w:type="dxa"/>
          <w:bottom w:w="28" w:type="dxa"/>
          <w:right w:w="28" w:type="dxa"/>
        </w:tblCellMar>
      </w:tblPr>
      <w:tblGrid>
        <w:gridCol w:w="684"/>
        <w:gridCol w:w="602"/>
        <w:gridCol w:w="604"/>
        <w:gridCol w:w="294"/>
        <w:gridCol w:w="1076"/>
        <w:gridCol w:w="142"/>
        <w:gridCol w:w="142"/>
        <w:gridCol w:w="142"/>
        <w:gridCol w:w="142"/>
        <w:gridCol w:w="294"/>
        <w:gridCol w:w="1076"/>
        <w:gridCol w:w="142"/>
        <w:gridCol w:w="109"/>
        <w:gridCol w:w="109"/>
        <w:gridCol w:w="109"/>
        <w:gridCol w:w="261"/>
        <w:gridCol w:w="1093"/>
        <w:gridCol w:w="125"/>
        <w:gridCol w:w="125"/>
        <w:gridCol w:w="125"/>
        <w:gridCol w:w="125"/>
        <w:gridCol w:w="261"/>
        <w:gridCol w:w="1093"/>
        <w:gridCol w:w="177"/>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Nine Months Ended September 30,</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United States</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31,969 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32,248 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97,652 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92,940 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All other locations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3,096 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3,161 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9,251 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9,292 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revenue</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35,065 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35,409 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106,903 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102,232 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No individual customer represented more than 10% of the Company’s total revenue during both the three and nine months ended September 30, 2025 and 2024.</w:t>
      </w:r>
    </w:p>
    <w:p>
      <w:pPr>
        <w:pStyle w:val="TextBody"/>
        <w:bidi w:val="0"/>
        <w:spacing w:lineRule="auto" w:line="288" w:before="0" w:after="160"/>
        <w:jc w:val="left"/>
        <w:rPr/>
      </w:pPr>
      <w:r>
        <w:rPr>
          <w:rFonts w:ascii="Expensify Neue;sans-serif" w:hAnsi="Expensify Neue;sans-serif"/>
          <w:b/>
          <w:color w:val="000000"/>
          <w:sz w:val="20"/>
          <w:shd w:fill="FFFFFF" w:val="clear"/>
        </w:rPr>
        <w:t>Cashback Rewards</w:t>
      </w:r>
      <w:r>
        <w:rPr>
          <w:color w:val="000000"/>
          <w:shd w:fill="FFFFFF" w:val="clear"/>
        </w:rPr>
        <w:t xml:space="preserve"> </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The Company offers a cashback rewards program to all customers on the Updated Card Program based on volume of Expensify Card transactions. Cashback rewards are earned on a monthly basis and are applied against outstanding customer receivables or paid out the following month. The Company considers cashback rewards as consideration payable to a customer, and it is recorded as contra revenue within Revenue on the Condensed Consolidated Statements of Operations. </w:t>
      </w:r>
      <w:r>
        <w:rPr>
          <w:rFonts w:ascii="Expensify Neue;sans-serif" w:hAnsi="Expensify Neue;sans-serif"/>
          <w:b w:val="false"/>
          <w:color w:val="000000"/>
          <w:sz w:val="20"/>
        </w:rPr>
        <w:t xml:space="preserve">Cashback rewards were $2.6 million and $2.3 million for the three months ended September 30, 2025 and 2024, respectively. Cashback rewards were $7.3 million and $6.4 million for the nine months ended September 30, 2025 and 2024,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30250"/>
                <wp:effectExtent l="0" t="0" r="0" b="0"/>
                <wp:wrapNone/>
                <wp:docPr id="17" name="Frame16"/>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88" w:before="0" w:after="160"/>
        <w:jc w:val="left"/>
        <w:rPr/>
      </w:pPr>
      <w:r>
        <w:rPr>
          <w:rFonts w:ascii="Expensify Neue;sans-serif" w:hAnsi="Expensify Neue;sans-serif"/>
          <w:b/>
          <w:color w:val="000000"/>
          <w:sz w:val="20"/>
          <w:shd w:fill="FFFFFF" w:val="clear"/>
        </w:rPr>
        <w:t>Interchange</w:t>
      </w:r>
      <w:r>
        <w:rPr>
          <w:color w:val="000000"/>
          <w:shd w:fill="FFFFFF" w:val="clear"/>
        </w:rPr>
        <w:t xml:space="preserve"> </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The Company generates revenue from the authorization and settlement of Expensify Card transactions under the Updated Card Program. The Company is contractually entitled to all interchange generated on Expensify Card transactions based on its agreement with the issuing bank, and such funds are held as restricted cash within Other current assets on the Condensed Consolidated Balance Sheets until released by the issuing bank. Under the Updated Card Program, the Company is the principal in the transaction and recognizes interchange as revenue on a gross basis within Revenue on the Condensed Consolidated Statements of Operations. </w:t>
      </w:r>
      <w:r>
        <w:rPr>
          <w:rFonts w:ascii="Expensify Neue;sans-serif" w:hAnsi="Expensify Neue;sans-serif"/>
          <w:b w:val="false"/>
          <w:color w:val="000000"/>
          <w:sz w:val="20"/>
        </w:rPr>
        <w:t xml:space="preserve">Interchange revenue was $5.4 million and $3.7 million for the three months ended September 30, 2025 and 2024, respectively. Interchange revenue was $15.7 million and $4.2 million for the nine months ended September 30, 2025 and 2024, respectively. </w:t>
      </w:r>
    </w:p>
    <w:p>
      <w:pPr>
        <w:pStyle w:val="TextBody"/>
        <w:bidi w:val="0"/>
        <w:spacing w:lineRule="auto" w:line="288" w:before="0" w:after="160"/>
        <w:jc w:val="left"/>
        <w:rPr/>
      </w:pPr>
      <w:r>
        <w:rPr>
          <w:rFonts w:ascii="Expensify Neue;sans-serif" w:hAnsi="Expensify Neue;sans-serif"/>
          <w:b/>
          <w:color w:val="000000"/>
          <w:sz w:val="20"/>
          <w:shd w:fill="FFFFFF" w:val="clear"/>
        </w:rPr>
        <w:t>Consideration From a Vendor</w:t>
      </w:r>
      <w:r>
        <w:rPr>
          <w:color w:val="000000"/>
          <w:shd w:fill="FFFFFF" w:val="clear"/>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Under the Updated Card Program, the Company receives consideration from a vendor for certain volume-based incentives from Visa, which are included as a reduction to Cost of revenue, net on the Condensed Consolidated Statements of Operations as they are earned. The amounts earned under these volume-based incentives were $0.3 million and $0.1 million for the three months ended September 30, 2025 and 2024, respectively. The amounts earned under these volume-based incentives were $1.3 million and $0.1 million for the nine months ended September 30, 2025 and 2024, respectively.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Under the Company's previous card program (the "Legacy Card Program"), which an immaterial number of cardholders continue to operate within, the Company receives consideration from a vendor for monetizing Expensify Card activities. The Legacy Card Program operates under an agreement with the payment processor, Marqeta, Inc. ("Marqeta"), and relies on Marqeta to manage the relationship with the issuing bank, Sutton Bank, and the card network, Visa, in authorizing and settling transactions. This consideration, net of fees paid to the vendor, is included as a reduction to Cost of revenue, net on the Condensed Consolidated Statements of Operations as it is earned. Consideration earned under the Legacy Card Program, net of fees paid to the vendor, was immaterial for both the three and nine months ended September 30, 2025. Consideration earned under the Legacy Card Program, net of fees paid to the vendor, was $0.8 million and $7.1 million for the three and nine months ended September 30,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NOTE 3 - CERTAIN BALANCE SHEET COMPONENTS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Other Current Assets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Other current assets consisted of the following (in thousands):</w:t>
      </w:r>
    </w:p>
    <w:tbl>
      <w:tblPr>
        <w:tblW w:w="10205" w:type="dxa"/>
        <w:jc w:val="left"/>
        <w:tblInd w:w="0" w:type="dxa"/>
        <w:tblLayout w:type="fixed"/>
        <w:tblCellMar>
          <w:top w:w="28" w:type="dxa"/>
          <w:left w:w="28" w:type="dxa"/>
          <w:bottom w:w="28" w:type="dxa"/>
          <w:right w:w="28" w:type="dxa"/>
        </w:tblCellMar>
      </w:tblPr>
      <w:tblGrid>
        <w:gridCol w:w="2159"/>
        <w:gridCol w:w="1887"/>
        <w:gridCol w:w="1898"/>
        <w:gridCol w:w="385"/>
        <w:gridCol w:w="1409"/>
        <w:gridCol w:w="185"/>
        <w:gridCol w:w="109"/>
        <w:gridCol w:w="109"/>
        <w:gridCol w:w="109"/>
        <w:gridCol w:w="366"/>
        <w:gridCol w:w="1337"/>
        <w:gridCol w:w="252"/>
      </w:tblGrid>
      <w:tr>
        <w:trPr/>
        <w:tc>
          <w:tcPr>
            <w:tcW w:w="2159"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594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September 30,</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December 31,</w:t>
            </w:r>
          </w:p>
        </w:tc>
      </w:tr>
      <w:tr>
        <w:trPr/>
        <w:tc>
          <w:tcPr>
            <w:tcW w:w="5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r>
      <w:tr>
        <w:trPr/>
        <w:tc>
          <w:tcPr>
            <w:tcW w:w="5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Expensify Card posted collateral for funds held for customers</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9,837 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12,415 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Expensify.org restricted cash</w:t>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6,108 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5,972 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Income tax receivable</w:t>
            </w:r>
          </w:p>
        </w:tc>
        <w:tc>
          <w:tcPr>
            <w:tcW w:w="1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2,948 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429 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Earned interchange restricted cash</w:t>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1,753 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1,442 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Deferred contract acquisition costs</w:t>
            </w:r>
          </w:p>
        </w:tc>
        <w:tc>
          <w:tcPr>
            <w:tcW w:w="1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469 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339 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Other restricted cash</w:t>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151 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w:t>
            </w:r>
          </w:p>
        </w:tc>
        <w:tc>
          <w:tcPr>
            <w:tcW w:w="1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 current assets</w:t>
            </w:r>
          </w:p>
        </w:tc>
        <w:tc>
          <w:tcPr>
            <w:tcW w:w="3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21,376 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20,908 </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730250"/>
                <wp:effectExtent l="0" t="0" r="0" b="0"/>
                <wp:wrapNone/>
                <wp:docPr id="18" name="Frame17"/>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Capitalized Software, Net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Capitalized software, net consisted of the following (in thousands):</w:t>
      </w:r>
    </w:p>
    <w:tbl>
      <w:tblPr>
        <w:tblW w:w="8365" w:type="dxa"/>
        <w:jc w:val="left"/>
        <w:tblInd w:w="0" w:type="dxa"/>
        <w:tblLayout w:type="fixed"/>
        <w:tblCellMar>
          <w:top w:w="28" w:type="dxa"/>
          <w:left w:w="28" w:type="dxa"/>
          <w:bottom w:w="28" w:type="dxa"/>
          <w:right w:w="28" w:type="dxa"/>
        </w:tblCellMar>
      </w:tblPr>
      <w:tblGrid>
        <w:gridCol w:w="1467"/>
        <w:gridCol w:w="1289"/>
        <w:gridCol w:w="1294"/>
        <w:gridCol w:w="391"/>
        <w:gridCol w:w="1430"/>
        <w:gridCol w:w="188"/>
        <w:gridCol w:w="109"/>
        <w:gridCol w:w="109"/>
        <w:gridCol w:w="109"/>
        <w:gridCol w:w="371"/>
        <w:gridCol w:w="1356"/>
        <w:gridCol w:w="252"/>
      </w:tblGrid>
      <w:tr>
        <w:trPr/>
        <w:tc>
          <w:tcPr>
            <w:tcW w:w="1467"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September 30,</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December 31,</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Capitalized software development costs</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35,328 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32,332 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Less: accumulated amortization </w:t>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(20,706)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(16,100)</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Capitalized software, net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14,622 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16,232 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Amortization expense related to capitalized software development costs is recorded in Cost of revenue, net on the Condensed Consolidated Statements of Operations. Amortization expense was $1.9 million and $1.6 million for the three months ended September 30, 2025 and 2024, respectively. Amortization expense was $5.6 million and $4.1 million for the nine months ended September 30, 2025 and 2024, respectively. </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Property and Equipment, Net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Property and equipment, net consisted of the following (in thousands):</w:t>
      </w:r>
    </w:p>
    <w:tbl>
      <w:tblPr>
        <w:tblW w:w="7524" w:type="dxa"/>
        <w:jc w:val="left"/>
        <w:tblInd w:w="0" w:type="dxa"/>
        <w:tblLayout w:type="fixed"/>
        <w:tblCellMar>
          <w:top w:w="28" w:type="dxa"/>
          <w:left w:w="28" w:type="dxa"/>
          <w:bottom w:w="28" w:type="dxa"/>
          <w:right w:w="28" w:type="dxa"/>
        </w:tblCellMar>
      </w:tblPr>
      <w:tblGrid>
        <w:gridCol w:w="1163"/>
        <w:gridCol w:w="1020"/>
        <w:gridCol w:w="1026"/>
        <w:gridCol w:w="391"/>
        <w:gridCol w:w="1430"/>
        <w:gridCol w:w="188"/>
        <w:gridCol w:w="109"/>
        <w:gridCol w:w="109"/>
        <w:gridCol w:w="109"/>
        <w:gridCol w:w="371"/>
        <w:gridCol w:w="1356"/>
        <w:gridCol w:w="252"/>
      </w:tblGrid>
      <w:tr>
        <w:trPr/>
        <w:tc>
          <w:tcPr>
            <w:tcW w:w="116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September 30,</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December 31,</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Computers and equipment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165 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170 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Furniture and fixtures</w:t>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1,947 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1,930 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Leasehold improvements</w:t>
            </w:r>
          </w:p>
        </w:tc>
        <w:tc>
          <w:tcPr>
            <w:tcW w:w="1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7,791 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7,937 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Commercial building</w:t>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9,209 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6,493 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Land</w:t>
            </w:r>
          </w:p>
        </w:tc>
        <w:tc>
          <w:tcPr>
            <w:tcW w:w="1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4,151 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4,151 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Construction in progress</w:t>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2,570 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property and equipment</w:t>
            </w:r>
          </w:p>
        </w:tc>
        <w:tc>
          <w:tcPr>
            <w:tcW w:w="18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23,263 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23,251 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Less: accumulated depreciation</w:t>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(10,062)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(9,630)</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Property and equipment, net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13,201 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13,621 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Depreciation expense is recorded in General and administrative, Sales and marketing, and Other income (expenses), net on the Condensed Consolidated Statements of Operations. Depreciation expense was $0.2 million and $0.1 million for the three months ended September 30, 2025 and 2024, respectively. Depreciation expense was $0.4 million and $0.6 million for the nine months ended September 30,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730250"/>
                <wp:effectExtent l="0" t="0" r="0" b="0"/>
                <wp:wrapNone/>
                <wp:docPr id="19" name="Frame18"/>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88" w:before="0" w:after="160"/>
        <w:jc w:val="left"/>
        <w:rPr/>
      </w:pPr>
      <w:r>
        <w:rPr>
          <w:rFonts w:ascii="Expensify Neue;sans-serif" w:hAnsi="Expensify Neue;sans-serif"/>
          <w:b/>
          <w:color w:val="000000"/>
          <w:sz w:val="20"/>
        </w:rPr>
        <w:t>Accrued Expenses and Other Liabilities</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Accrued expenses and other liabilities consisted of the following (in thousands):</w:t>
      </w:r>
    </w:p>
    <w:tbl>
      <w:tblPr>
        <w:tblW w:w="8154" w:type="dxa"/>
        <w:jc w:val="left"/>
        <w:tblInd w:w="0" w:type="dxa"/>
        <w:tblLayout w:type="fixed"/>
        <w:tblCellMar>
          <w:top w:w="28" w:type="dxa"/>
          <w:left w:w="28" w:type="dxa"/>
          <w:bottom w:w="28" w:type="dxa"/>
          <w:right w:w="28" w:type="dxa"/>
        </w:tblCellMar>
      </w:tblPr>
      <w:tblGrid>
        <w:gridCol w:w="1389"/>
        <w:gridCol w:w="1223"/>
        <w:gridCol w:w="1227"/>
        <w:gridCol w:w="434"/>
        <w:gridCol w:w="1363"/>
        <w:gridCol w:w="212"/>
        <w:gridCol w:w="109"/>
        <w:gridCol w:w="109"/>
        <w:gridCol w:w="109"/>
        <w:gridCol w:w="412"/>
        <w:gridCol w:w="1287"/>
        <w:gridCol w:w="280"/>
      </w:tblGrid>
      <w:tr>
        <w:trPr/>
        <w:tc>
          <w:tcPr>
            <w:tcW w:w="138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September 30,</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As of December 31,</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Professional fees</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1,911 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1,336 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Sales, payroll and other taxes</w:t>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1,438 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2,538 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Partner payouts and advertising fees</w:t>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1,408 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1,194 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Matching Plan payroll liability</w:t>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663 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408 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Cashback rewards</w:t>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495 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489 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Credit card processing fees</w:t>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480 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411 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Income taxes</w:t>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934 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w:t>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1,150 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930 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Accrued expenses and other liabilities</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7,726 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8,240 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NOTE 4 - COMMITMENTS AND CONTINGENCIES</w:t>
      </w:r>
    </w:p>
    <w:p>
      <w:pPr>
        <w:pStyle w:val="TextBody"/>
        <w:bidi w:val="0"/>
        <w:spacing w:lineRule="auto" w:line="288" w:before="0" w:after="160"/>
        <w:jc w:val="left"/>
        <w:rPr/>
      </w:pPr>
      <w:r>
        <w:rPr>
          <w:rFonts w:ascii="Expensify Neue;sans-serif" w:hAnsi="Expensify Neue;sans-serif"/>
          <w:b/>
          <w:color w:val="000000"/>
          <w:sz w:val="20"/>
        </w:rPr>
        <w:t>Amortizing Term Mortgage</w:t>
      </w:r>
      <w:r>
        <w:rPr>
          <w:color w:val="000000"/>
        </w:rPr>
        <w:t xml:space="preserve"> </w:t>
      </w:r>
    </w:p>
    <w:p>
      <w:pPr>
        <w:pStyle w:val="TextBody"/>
        <w:bidi w:val="0"/>
        <w:spacing w:lineRule="auto" w:line="288" w:before="0" w:after="160"/>
        <w:jc w:val="left"/>
        <w:rPr/>
      </w:pPr>
      <w:r>
        <w:rPr>
          <w:rFonts w:ascii="Expensify Neue;sans-serif" w:hAnsi="Expensify Neue;sans-serif"/>
          <w:b w:val="false"/>
          <w:color w:val="000000"/>
          <w:sz w:val="20"/>
        </w:rPr>
        <w:t>In August 2019, the Company entered into an $8.3 million amortizing term mortgage agreement with Canadian Imperial Bank of Commerce ("CIBC") for the Company's commercial building located in Portland, Oregon. The agreement required principal and interest payments to be made each month over a five-year period. Interest accrued at a fixed rate of 5.00% per year until August 2024, at which point the remaining outstanding principal balance on the amortizing term mortgage was due in full</w:t>
      </w:r>
      <w:r>
        <w:rPr>
          <w:rFonts w:ascii="Expensify Neue;sans-serif" w:hAnsi="Expensify Neue;sans-serif"/>
          <w:b w:val="false"/>
          <w:color w:val="000000"/>
          <w:sz w:val="20"/>
          <w:shd w:fill="FFFFFF" w:val="clear"/>
        </w:rPr>
        <w:t>. The borrowings were secured by the building.</w:t>
      </w:r>
      <w:r>
        <w:rPr>
          <w:color w:val="000000"/>
        </w:rPr>
        <w:t xml:space="preserve"> </w:t>
      </w:r>
      <w:r>
        <w:rPr>
          <w:rFonts w:ascii="Expensify Neue;sans-serif" w:hAnsi="Expensify Neue;sans-serif"/>
          <w:b w:val="false"/>
          <w:color w:val="000000"/>
          <w:sz w:val="20"/>
        </w:rPr>
        <w:t>On August 29, 2024, the Company repaid in full the then-outstanding balance o</w:t>
      </w:r>
      <w:r>
        <w:rPr>
          <w:rFonts w:ascii="Expensify Neue;sans-serif" w:hAnsi="Expensify Neue;sans-serif"/>
          <w:b w:val="false"/>
          <w:color w:val="000000"/>
          <w:sz w:val="20"/>
          <w:shd w:fill="FFFFFF" w:val="clear"/>
        </w:rPr>
        <w:t>f</w:t>
      </w:r>
      <w:r>
        <w:rPr>
          <w:color w:val="000000"/>
        </w:rPr>
        <w:t xml:space="preserve"> </w:t>
      </w:r>
      <w:r>
        <w:rPr>
          <w:rFonts w:ascii="Expensify Neue;sans-serif" w:hAnsi="Expensify Neue;sans-serif"/>
          <w:b w:val="false"/>
          <w:color w:val="000000"/>
          <w:sz w:val="20"/>
        </w:rPr>
        <w:t xml:space="preserve">$7.6 million and terminated the associated mortgage agreement with CIBC and secured promissory note. </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Loan and Security Agreement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In February 2024, the Company entered into a Second Amended and Restated Loan and Security Agreement (as amended by the amendments described below, the "2024 Amended Loan and Security Agreement") with CIBC. The 2024 Amended Loan and Security Agreement provided for a $25.0 million revolving credit facility that was set to expire in September 2025. Borrowings under the revolving line of credit accrued interest at CIBC’s reference rate plus 1.00% and were secured by substantially all of the Company's assets.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In April 2024, the Company entered into an irrevocable standby letter of credit (the "Letter of Credit") issued under the 2024 Amended Loan and Security Agreement to reduce cash collateral requirements in connection with the Updated Card Program. The Letter of Credit was issued in the amount of $1.0 million for the benefit of Bancorp. The Letter of Credit was renewed on February 28, 2025 and expires on March 20, 2026. On April 16, 2025, the Company entered into an amendment to the irrevocable standby letter of credit to increase the Letter of Credit to $7.5 million. No amounts had been drawn on the Letter of Credit as of September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730250"/>
                <wp:effectExtent l="0" t="0" r="0" b="0"/>
                <wp:wrapNone/>
                <wp:docPr id="20" name="Frame19"/>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60"/>
                              <w:jc w:val="center"/>
                              <w:rPr>
                                <w:rFonts w:ascii="Expensify Neue;sans-serif" w:hAnsi="Expensify Neue;sans-serif"/>
                                <w:b w:val="false"/>
                                <w:color w:val="000000"/>
                                <w:sz w:val="20"/>
                              </w:rPr>
                            </w:pPr>
                            <w:r>
                              <w:rPr>
                                <w:rFonts w:ascii="Expensify Neue;sans-serif" w:hAnsi="Expensify Neue;sans-serif"/>
                                <w:b w:val="false"/>
                                <w:color w:val="000000"/>
                                <w:sz w:val="20"/>
                              </w:rPr>
                              <w:t>14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May 2024, the Company entered into a First Amendment to the 2024 Amended Loan and Security Agreement, which amended the covenant restricting the amount of repurchases of common stock to allow for certain additional repurchase activity and provided a waiver for the Company's non-compliance during prior periods with the previous version of such covenant.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July 10, 2024, the then-outstanding balance of $15.0 million and an immaterial amount of accrued interest on the revolving line of credit were repaid in full.</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August 2024, the Company entered into a Second Amendment to the 2024 Amended Loan and Security Agreement, which permitted the Company's wholly-owned subsidiary, 401 SW 5th Ave LLC, to remain an excluded subsidiary provided that the subsidiary does not engage in any operations or activities except to maintain legal existence and ownership of the real property or any related activities thereto, does not hold assets other than real estate assets, and does not incur any indebtedness except for intercompany liabilities permitted under the agreement or grant any liens.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February 2025, the Company entered into a Third Amendment to the 2024 Amended Loan and Security Agreement, which amended the covenant restricting the amount of repurchases of common stock, which includes net share settlements of stock-based awards, to allow for certain additional net share settlement activity.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July 1, 2025, the Company terminated the revolving credit facility under the 2024 Amended Loan and Security Agreement. At the time of such termination, the Company had no borrowings under the revolving line of credit, and certain terms, including collateral security, survived the termination with respect to outstanding Contingent Obligations (as defined in the 2024 Amended Loan and Security Agreement) arising from Bank Services (as defined in the 2024 Amended Loan and Security Agreement). The Letter of Credit, which had no amounts drawn, also remained outstanding. There were no penalties incurred by the Company as a result of the termination of the revolving credit facility.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As of December 31, 2024, the Company had no borrowings under the revolving line of credit. </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Letter of Credit Security Agreement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October 9, 2025, the Company entered into a Letter of Credit Facility and Security Agreement (the “LOC Security Agreement”) with CIBC. Following the termination of the revolving credit facility under the 2024 Amended Loan and Security Agreement on July 1, 2025, certain terms of the agreement survived the termination, including collateral security, and the Letter of Credit originally issued under the 2024 Amended Loan and Security Agreement remained outstanding. The LOC Security Agreement, among other things, provides for the issuance of additional irrevocable standby letters of credit, governs the terms of the Letter of Credit, and grants to CIBC, for the ratable benefit of the lenders, a security interest in substantially all of the assets of the Company and its subsidiaries, and replaces the 2024 Amended Loan and Security Agreement with respect to the Contingent Obligations. Under the LOC Security Agreement, the Letter of Credit remained at $7.5 million with an expiration date of March 20, 2026. No amounts had been drawn on the Letter of Credit as of October 9,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599440"/>
                <wp:effectExtent l="0" t="0" r="0" b="0"/>
                <wp:wrapNone/>
                <wp:docPr id="21" name="Frame20"/>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0000"/>
          <w:sz w:val="20"/>
          <w:shd w:fill="FFFFFF" w:val="clear"/>
        </w:rPr>
      </w:pPr>
      <w:r>
        <w:rPr>
          <w:rFonts w:ascii="Expensify Neue;sans-serif" w:hAnsi="Expensify Neue;sans-serif"/>
          <w:b/>
          <w:color w:val="000000"/>
          <w:sz w:val="20"/>
          <w:shd w:fill="FFFFFF" w:val="clear"/>
        </w:rPr>
        <w:t>Legal</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From time to time in the normal course of business, the Company may be involved in claims, proceedings and litigation. In the case of any litigation, the Company records a provision for a liability when management believes that it is both probable that a liability has been incurred, and the amount of the loss can be reasonably estimated. The Company reviews such provisions at least quarterly and adjusts such provisions to reflect the impact of negotiations, settlements, rulings, advice of legal counsel and other information and events pertaining to a particular case.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As of September 30, 2025, there were no legal contingency matters, either individually or in aggregate, that would have a material adverse effect on the Company’s financial position, results of operations or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NOTE 5 - STOCK INCENTIVE PLANS</w:t>
      </w:r>
    </w:p>
    <w:p>
      <w:pPr>
        <w:pStyle w:val="TextBody"/>
        <w:bidi w:val="0"/>
        <w:spacing w:lineRule="auto" w:line="288" w:before="0" w:after="160"/>
        <w:jc w:val="left"/>
        <w:rPr/>
      </w:pPr>
      <w:r>
        <w:rPr>
          <w:rFonts w:ascii="Expensify Neue;sans-serif" w:hAnsi="Expensify Neue;sans-serif"/>
          <w:b/>
          <w:color w:val="000000"/>
          <w:sz w:val="20"/>
        </w:rPr>
        <w:t>2009 and 2019 Stock Plans</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2009, the Board of Directors approved the 2009 Stock Plan ("2009 Stock Plan"). As amended in 2015, the 2009 Stock Plan permitted the Company to grant up to 16,495,150 shares of common stock. In January 2018, the Company increased the number of shares of common stock reserved under the 2009 Stock Plan by 535,130 shares to 17,030,280 shares. In April 2019, the Board of Directors approved the adoption of the 2019 Stock Plan ("2019 Stock Plan", and together with the 2009 Stock Plan, "Stock Plans"). The 2019 Stock Plan permitted the Company to grant up to 8,173,970 additional shares, increasing the overall common stock reserved for grant under the Stock Plans to 25,204,250 shares. On November 9, 2021, the Board of Directors amended and restated the 2019 Stock Plan to, among other things, increase the common stock reserved for issuance under the 2019 Stock Plan to an aggregate of 16,856,770 shares of Class A and LT50 common stock.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Stock Plans will continue to govern the terms and conditions of the outstanding awards granted under them. Upon the expiration, forfeiture, cancellation, withholding of shares upon exercise or settlement of an award to satisfy the exercise price or tax withholding, or repurchase of any shares of Class A common stock underlying outstanding stock-based awards granted under the 2009 Stock Plan or of Class A or LT50 common stock underlying outstanding stock-based awards granted under the 2019 Stock Plan, an equal number of shares of Class A common stock will become available for grant under the 2021 Incentive Award Plan ("2021 Plan") and the Company's 2021 Stock Purchase and Matching Plan ("Matching Plan" and together with the 2021 Plan, "2021 Incentive Plans").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2021 Incentive Plans </w:t>
      </w:r>
    </w:p>
    <w:p>
      <w:pPr>
        <w:pStyle w:val="TextBody"/>
        <w:bidi w:val="0"/>
        <w:spacing w:lineRule="auto" w:line="288" w:before="0" w:after="160"/>
        <w:jc w:val="left"/>
        <w:rPr/>
      </w:pPr>
      <w:r>
        <w:rPr>
          <w:rFonts w:ascii="Expensify Neue;sans-serif" w:hAnsi="Expensify Neue;sans-serif"/>
          <w:b w:val="false"/>
          <w:color w:val="000000"/>
          <w:sz w:val="20"/>
        </w:rPr>
        <w:t xml:space="preserve">In November 2021, the Board of Directors adopted, and the Company's stockholders approved, the 2021 Incentive Plans, which both became effective immediately before the effectiveness of the Company's IPO Registration Statement on Form S-1 and use a combined share reserve. Under the 2021 Incentive Plans, 11,676,932 shares of Class A common stock were initially reserved for issuance pursuant to a variety of stock-based awards, including incentive stock options, nonqualified stock options, stock appreciation rights, restricted stock awards, restricted stock units ("RSUs"), and other forms of equity and cash compensation under the 2021 Plan and purchase rights and matching awards under the Matching Plan. The number of shares initially reserved for issuance or transfer pursuant to awards under the 2021 Incentive Plans will be increased upon the expiration, forfeiture, cancellation, withholding of shares upon exercise or settlement of an award to satisfy the exercise price or tax withholding, or repurchase of any shares of Class A common stock underlying outstanding stock-based awards granted under the 2009 Stock Plan or of Class A or LT50 common stock underlying outstanding stock-based awards granted under the 2019 Stock Plan. The number of shares of Class A common stock reserved and available for issuance under the 2021 Incentive Plans as of September 30, 2025 and </w:t>
      </w:r>
      <w:r>
        <w:rPr>
          <w:rFonts w:ascii="Expensify Neue;sans-serif" w:hAnsi="Expensify Neue;sans-serif"/>
          <w:b w:val="false"/>
          <w:color w:val="000000"/>
          <w:sz w:val="20"/>
          <w:shd w:fill="FFFFFF" w:val="clear"/>
        </w:rPr>
        <w:t>December 31, 2024</w:t>
      </w:r>
      <w:r>
        <w:rPr>
          <w:color w:val="000000"/>
        </w:rPr>
        <w:t xml:space="preserve"> </w:t>
      </w:r>
      <w:r>
        <w:rPr>
          <w:rFonts w:ascii="Expensify Neue;sans-serif" w:hAnsi="Expensify Neue;sans-serif"/>
          <w:b w:val="false"/>
          <w:color w:val="000000"/>
          <w:sz w:val="20"/>
        </w:rPr>
        <w:t xml:space="preserve">was 22,785,691 shares and 20,879,081 shares, respectively. The number of shares will automatically increase each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599440"/>
                <wp:effectExtent l="0" t="0" r="0" b="0"/>
                <wp:wrapNone/>
                <wp:docPr id="22" name="Frame21"/>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subsequent January 1 through January 1, 2031, by the lesser of (A) 6% of the aggregate number of shares of all classes of common stock outstanding on the immediately preceding calendar year end, or (B) such lesser number of shares as determined by the Company’s Board of Directors or compensation committee; provided, however, that no more than 87,576,990 shares of Class A common stock may be issued upon the exercise of incentive stock options. </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Stock Purchase and Matching Plan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Matching Plan operates using consecutive three-month offering periods that commenced on March 15, 2022. Employees, consultants and directors (collectively, "Service Providers") of the Company can participate in the Matching Plan by electing to contribute compensation through deductions from payroll or fee payments, or by receiving discretionary awards under the plan. On the last day of the offering period, the contributions made during the offering period are used to purchase shares of Class A common stock.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price at which Class A common stock is purchased under the Matching Plan equals the average of the high and low trading price of a share of Class A common stock as of the last trading day of the offering period. At the end of each offering period, the Company may provide a discretionary match up to 1/10 of a share of Class A common stock for each share of Class A common stock purchased by or issued to a Service Provider under the Matching Plan that is retained through the end of the applicable offering period. No fractional shares will be issued by the Company. The Company will round to the nearest full share for shares purchased or matched shares issued to a Service Provider under the Matching Plan. The match rate applicable to each offering period shall be limited to 1.50% of the shares of any class of capital stock outstanding as of the exercise date applicable to such offering period. The Company estimates the fair value of matched shares provided under the Matching Plan using the closing price of the Company's Class A common stock on the Nasdaq Stock Market LLC on the date of grant. The Company recognizes stock-based compensation expense related to the matched shares pursuant to its Matching Plan on a straight-line basis over the applicable three-month offering period.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Service Providers who participated in the Matching Plan for the offering period ended September 14, 2025 purchased a total of 897,657 Class A common shares, based on a purchase price of $1.94, resulting in gross cash proceeds to the Company of $1.7 million.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Service Providers who participated in the Matching Plan for the offering period ended September 14, 2024 purchased a total of 370,122 Class A common shares, based on a purchase price of $2.42, resulting in gross cash proceeds to the Company of $0.9 million.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For the offering period ended September 14, 2025, the Company elected to match each share of Class A common stock purchased or issued under the Matching Plan with 1/20 of a share of Class A common stock. During the three and nine months ended September 30, 2025, the Company granted 298,577 and 769,045 shares of Class A common stock as matching contributions under the Matching Plan, respectively.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For the offering period ended September 14, 2024, the Company elected to match each share of Class A common stock purchased or issued under the Matching Plan with 1/20 of a share of Class A common stock. During the three and nine months ended September 30, 2024, the Company granted 176,449 and 443,671 shares of Class A common stock as matching contributions under the Matching Plan,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599440"/>
                <wp:effectExtent l="0" t="0" r="0" b="0"/>
                <wp:wrapNone/>
                <wp:docPr id="23" name="Frame22"/>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Company has made discretionary contributions under the Matching Plan to eligible Service Providers. During the three months ended September 30, 2025 and 2024, the Company granted 70,924 and 365,074 shares of Class A common stock as discretionary contributions under the Matching Plan, respectively.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During the nine months ended September 30, 2025 and 2024, the Company granted 314,658 and 1,300,451 shares of Class A common stock as discretionary contributions under the Matching Plan, respectively.</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Restricted Stock Units </w:t>
      </w:r>
    </w:p>
    <w:p>
      <w:pPr>
        <w:pStyle w:val="TextBody"/>
        <w:bidi w:val="0"/>
        <w:spacing w:lineRule="auto" w:line="288" w:before="0" w:after="160"/>
        <w:jc w:val="left"/>
        <w:rPr>
          <w:rFonts w:ascii="Expensify Neue;sans-serif" w:hAnsi="Expensify Neue;sans-serif"/>
          <w:b w:val="false"/>
          <w:i/>
          <w:color w:val="000000"/>
          <w:sz w:val="20"/>
        </w:rPr>
      </w:pPr>
      <w:r>
        <w:rPr>
          <w:rFonts w:ascii="Expensify Neue;sans-serif" w:hAnsi="Expensify Neue;sans-serif"/>
          <w:b w:val="false"/>
          <w:i/>
          <w:color w:val="000000"/>
          <w:sz w:val="20"/>
        </w:rPr>
        <w:t>Equity-Classified Awards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Pursuant to the Company's Non-Employee Director Compensation Program, which was adopted under the 2021 Incentive Plans, the Company granted 153,690 Class A common stock RSUs during the nine months ended September 30, 2025. A total of 230,064 Class A common stock RSUs vested during the nine months ended September 30, 2025 related to previously-granted RSU awards, as the service conditions were satisfied.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During the nine months ended September 30, 2025, equity-classified RSU activity for Service Providers and non-employee directors was as follows:</w:t>
      </w:r>
    </w:p>
    <w:tbl>
      <w:tblPr>
        <w:tblW w:w="10205" w:type="dxa"/>
        <w:jc w:val="left"/>
        <w:tblInd w:w="0" w:type="dxa"/>
        <w:tblLayout w:type="fixed"/>
        <w:tblCellMar>
          <w:top w:w="28" w:type="dxa"/>
          <w:left w:w="28" w:type="dxa"/>
          <w:bottom w:w="28" w:type="dxa"/>
          <w:right w:w="28" w:type="dxa"/>
        </w:tblCellMar>
      </w:tblPr>
      <w:tblGrid>
        <w:gridCol w:w="977"/>
        <w:gridCol w:w="859"/>
        <w:gridCol w:w="863"/>
        <w:gridCol w:w="749"/>
        <w:gridCol w:w="592"/>
        <w:gridCol w:w="563"/>
        <w:gridCol w:w="109"/>
        <w:gridCol w:w="109"/>
        <w:gridCol w:w="109"/>
        <w:gridCol w:w="674"/>
        <w:gridCol w:w="580"/>
        <w:gridCol w:w="519"/>
        <w:gridCol w:w="109"/>
        <w:gridCol w:w="109"/>
        <w:gridCol w:w="109"/>
        <w:gridCol w:w="660"/>
        <w:gridCol w:w="2062"/>
        <w:gridCol w:w="453"/>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Class A 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LT50 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Weighted average grant date fair value per share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Outstanding at December 31, 2024</w:t>
            </w:r>
          </w:p>
        </w:tc>
        <w:tc>
          <w:tcPr>
            <w:tcW w:w="13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2,150,101 </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1,894,470 </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0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30.21 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RSUs granted</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153,690 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0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2.23 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RSUs vested</w:t>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(527,516)</w:t>
            </w:r>
          </w:p>
        </w:tc>
        <w:tc>
          <w:tcPr>
            <w:tcW w:w="5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(293,415)</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0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23.27 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RSUs cancelled/forfeited/expired</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(41,894)</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(41,894)</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062" w:type="dxa"/>
            <w:tcBorders/>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41.01 </w:t>
            </w:r>
          </w:p>
        </w:tc>
        <w:tc>
          <w:tcPr>
            <w:tcW w:w="4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Expensify Neue;sans-serif" w:hAnsi="Expensify Neue;sans-serif"/>
                <w:b w:val="false"/>
                <w:color w:val="000000"/>
                <w:sz w:val="20"/>
              </w:rPr>
            </w:pPr>
            <w:r>
              <w:rPr>
                <w:rFonts w:ascii="Expensify Neue;sans-serif" w:hAnsi="Expensify Neue;sans-serif"/>
                <w:b w:val="false"/>
                <w:color w:val="000000"/>
                <w:sz w:val="20"/>
              </w:rPr>
              <w:t>Outstanding at September 30, 2025</w:t>
            </w:r>
          </w:p>
        </w:tc>
        <w:tc>
          <w:tcPr>
            <w:tcW w:w="13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1,734,381 </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1,559,161 </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20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30.36 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75"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75"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75"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75"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75"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75"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75"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75"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75"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75"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75"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75"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Expensify Neue;sans-serif" w:hAnsi="Expensify Neue;sans-serif"/>
          <w:b w:val="false"/>
          <w:color w:val="000000"/>
          <w:sz w:val="20"/>
        </w:rPr>
        <w:t>As of September 30, 2025</w:t>
      </w:r>
      <w:r>
        <w:rPr>
          <w:rFonts w:ascii="Expensify Neue;sans-serif" w:hAnsi="Expensify Neue;sans-serif"/>
          <w:b w:val="false"/>
          <w:color w:val="000000"/>
          <w:sz w:val="20"/>
          <w:shd w:fill="FFFFFF" w:val="clear"/>
        </w:rPr>
        <w:t xml:space="preserve">, the Company had $79.6 million of unrecognized stock-based compensation expense related to unvested </w:t>
      </w:r>
      <w:r>
        <w:rPr>
          <w:rFonts w:ascii="Expensify Neue;sans-serif" w:hAnsi="Expensify Neue;sans-serif"/>
          <w:b w:val="false"/>
          <w:color w:val="000000"/>
          <w:sz w:val="20"/>
        </w:rPr>
        <w:t>equity-classified</w:t>
      </w:r>
      <w:r>
        <w:rPr>
          <w:color w:val="000000"/>
          <w:shd w:fill="FFFFFF" w:val="clear"/>
        </w:rPr>
        <w:t xml:space="preserve"> </w:t>
      </w:r>
      <w:r>
        <w:rPr>
          <w:rFonts w:ascii="Expensify Neue;sans-serif" w:hAnsi="Expensify Neue;sans-serif"/>
          <w:b w:val="false"/>
          <w:color w:val="000000"/>
          <w:sz w:val="20"/>
          <w:shd w:fill="FFFFFF" w:val="clear"/>
        </w:rPr>
        <w:t>RSUs, which is expected to be recognized over the remaining weighted average life of 3.79 years.</w:t>
      </w:r>
    </w:p>
    <w:p>
      <w:pPr>
        <w:pStyle w:val="TextBody"/>
        <w:bidi w:val="0"/>
        <w:spacing w:lineRule="auto" w:line="288" w:before="0" w:after="160"/>
        <w:jc w:val="left"/>
        <w:rPr>
          <w:rFonts w:ascii="Expensify Neue;sans-serif" w:hAnsi="Expensify Neue;sans-serif"/>
          <w:b w:val="false"/>
          <w:i/>
          <w:color w:val="000000"/>
          <w:sz w:val="20"/>
        </w:rPr>
      </w:pPr>
      <w:r>
        <w:rPr>
          <w:rFonts w:ascii="Expensify Neue;sans-serif" w:hAnsi="Expensify Neue;sans-serif"/>
          <w:b w:val="false"/>
          <w:i/>
          <w:color w:val="000000"/>
          <w:sz w:val="20"/>
        </w:rPr>
        <w:t>Liability-Classified Awards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June 20, 2025, pursuant to the 2021 Incentive Plans, the Company's compensation committee approved and authorized the grant of Class A common stock RSUs to certain Service Providers, to be issued on a quarterly basis through March 2029. Issuances of the Class A common stock RSUs will occur automatically each quarter using a predetermined fixed dollar amount that gradually decreases over time. Each RSU will vest immediately on the date it is issued, and both the issuance and vesting are subject to a service condition that will ultimately be satisfied over four years. The first quarterly automatic issuance occurred on June 20, 2025 and the remaining RSUs will be subject to quarterly issuance and vesting thereon until fully issued. The number of RSUs to be automatically issued on each issuance date will be determined based on the closing price of the Company's Class A common stock on the Nasdaq Stock Market LLC on the 15th calendar day of the month during which the RSU award is issued, or the immediately preceding trading day. The awards are accounted for as liability awards and will be recognized on a straight-line basis over the life of the awards.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Company issued 382,393 Class A common stock RSUs and settled liability-classified awards with a fair value of $0.8 million during the nine months ended September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599440"/>
                <wp:effectExtent l="0" t="0" r="0" b="0"/>
                <wp:wrapNone/>
                <wp:docPr id="24" name="Frame23"/>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As of September 30, 2025, the Company had $3.2 million of unrecognized stock-based compensation expense related to unvested liability-classified RSUs, which is expected to be recognized over the remaining weighted average life of 1.31 years.</w:t>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 xml:space="preserve">Stock Options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Stock Plans and the 2021 Plan provide for the grant of incentive and nonstatutory stock options to Service Providers. Under the Stock Plans and the 2021 Plan, the exercise price of incentive stock options must be equal to at least 110% of the fair market value of the common stock on the grant date for a “ten-percent holder” or 100% of the fair market value of the common stock on the grant date for any other participant. The exercise price of nonstatutory options granted must be equal to at least 100% of the fair market value of the Company’s common stock on the date of grant. </w:t>
      </w:r>
    </w:p>
    <w:p>
      <w:pPr>
        <w:pStyle w:val="TextBody"/>
        <w:bidi w:val="0"/>
        <w:spacing w:lineRule="auto" w:line="288" w:before="0" w:after="160"/>
        <w:jc w:val="left"/>
        <w:rPr/>
      </w:pPr>
      <w:r>
        <w:rPr>
          <w:rFonts w:ascii="Expensify Neue;sans-serif" w:hAnsi="Expensify Neue;sans-serif"/>
          <w:b w:val="false"/>
          <w:color w:val="000000"/>
          <w:sz w:val="20"/>
        </w:rPr>
        <w:t>The Company has only granted options under the Stock Plans. Options typically vest over four years and are exercisable at any time after the grant date, provided that Service Providers exercising unvested options receive restricted common stock that is subject to repurchase at the original exercise price upon termination of service. The repurchase right lapses in accordance with the vesting schedule of the exercised option</w:t>
      </w:r>
      <w:r>
        <w:rPr>
          <w:rFonts w:ascii="Expensify Neue;sans-serif" w:hAnsi="Expensify Neue;sans-serif"/>
          <w:b w:val="false"/>
          <w:color w:val="000000"/>
          <w:sz w:val="20"/>
          <w:shd w:fill="FFFFFF" w:val="clear"/>
        </w:rPr>
        <w:t xml:space="preserve">. Early exercises of options prior to vesting are not deemed to be substantive exercises for accounting purposes and accordingly, amounts received for early exercises of unvested options are recorded as a liability. These repurchase terms are considered to be a forfeiture provision and do not result in liability accounting. There were no repurchases of exercised restricted common stock during the </w:t>
      </w:r>
      <w:r>
        <w:rPr>
          <w:rFonts w:ascii="Expensify Neue;sans-serif" w:hAnsi="Expensify Neue;sans-serif"/>
          <w:b w:val="false"/>
          <w:color w:val="000000"/>
          <w:sz w:val="20"/>
        </w:rPr>
        <w:t>nine months ended September 30, 2025 and an immaterial amount during the nine months ended September 30, 2024.</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 summary of the Company's stock option activity was as follows:</w:t>
      </w:r>
    </w:p>
    <w:tbl>
      <w:tblPr>
        <w:tblW w:w="10205" w:type="dxa"/>
        <w:jc w:val="left"/>
        <w:tblInd w:w="0" w:type="dxa"/>
        <w:tblLayout w:type="fixed"/>
        <w:tblCellMar>
          <w:top w:w="28" w:type="dxa"/>
          <w:left w:w="28" w:type="dxa"/>
          <w:bottom w:w="28" w:type="dxa"/>
          <w:right w:w="28" w:type="dxa"/>
        </w:tblCellMar>
      </w:tblPr>
      <w:tblGrid>
        <w:gridCol w:w="1068"/>
        <w:gridCol w:w="920"/>
        <w:gridCol w:w="924"/>
        <w:gridCol w:w="563"/>
        <w:gridCol w:w="563"/>
        <w:gridCol w:w="246"/>
        <w:gridCol w:w="109"/>
        <w:gridCol w:w="109"/>
        <w:gridCol w:w="109"/>
        <w:gridCol w:w="756"/>
        <w:gridCol w:w="1961"/>
        <w:gridCol w:w="367"/>
        <w:gridCol w:w="109"/>
        <w:gridCol w:w="109"/>
        <w:gridCol w:w="109"/>
        <w:gridCol w:w="638"/>
        <w:gridCol w:w="638"/>
        <w:gridCol w:w="907"/>
      </w:tblGrid>
      <w:tr>
        <w:trPr/>
        <w:tc>
          <w:tcPr>
            <w:tcW w:w="106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r>
      <w:tr>
        <w:trPr/>
        <w:tc>
          <w:tcPr>
            <w:tcW w:w="291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Weighted average exercise price per share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 xml:space="preserve">Weighted average </w:t>
              <w:br/>
              <w:t xml:space="preserve">remaining contractual life </w:t>
              <w:br/>
              <w:t>(in years)</w:t>
            </w:r>
          </w:p>
        </w:tc>
      </w:tr>
      <w:tr>
        <w:trPr/>
        <w:tc>
          <w:tcPr>
            <w:tcW w:w="2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GT America Exp;sans-serif" w:hAnsi="GT America Exp;sans-serif"/>
                <w:b w:val="false"/>
                <w:color w:val="000000"/>
                <w:sz w:val="20"/>
              </w:rPr>
            </w:pPr>
            <w:r>
              <w:rPr>
                <w:rFonts w:ascii="GT America Exp;sans-serif" w:hAnsi="GT America Exp;sans-serif"/>
                <w:b w:val="false"/>
                <w:color w:val="000000"/>
                <w:sz w:val="20"/>
              </w:rPr>
              <w:t>Outstanding at December 31, 2024</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3,759,580 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2.29 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4.11</w:t>
            </w:r>
          </w:p>
        </w:tc>
      </w:tr>
      <w:tr>
        <w:trPr/>
        <w:tc>
          <w:tcPr>
            <w:tcW w:w="2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 xml:space="preserve">Options exercised </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(357,044)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0.88 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Options cancelled/forfeited/expired</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(149,283)</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1.65 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GT America Exp;sans-serif" w:hAnsi="GT America Exp;sans-serif"/>
                <w:b w:val="false"/>
                <w:color w:val="000000"/>
                <w:sz w:val="20"/>
              </w:rPr>
            </w:pPr>
            <w:r>
              <w:rPr>
                <w:rFonts w:ascii="GT America Exp;sans-serif" w:hAnsi="GT America Exp;sans-serif"/>
                <w:b w:val="false"/>
                <w:color w:val="000000"/>
                <w:sz w:val="20"/>
              </w:rPr>
              <w:t>Outstanding at September 30, 2025</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3,253,253 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2.47 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3.80</w:t>
            </w:r>
          </w:p>
        </w:tc>
      </w:tr>
      <w:tr>
        <w:trPr/>
        <w:tc>
          <w:tcPr>
            <w:tcW w:w="2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GT America Exp;sans-serif" w:hAnsi="GT America Exp;sans-serif"/>
                <w:b w:val="false"/>
                <w:color w:val="000000"/>
                <w:sz w:val="20"/>
              </w:rPr>
            </w:pPr>
            <w:r>
              <w:rPr>
                <w:rFonts w:ascii="GT America Exp;sans-serif" w:hAnsi="GT America Exp;sans-serif"/>
                <w:b w:val="false"/>
                <w:color w:val="000000"/>
                <w:sz w:val="20"/>
              </w:rPr>
              <w:t>Exercisable at September 30, 2025</w:t>
            </w:r>
          </w:p>
        </w:tc>
        <w:tc>
          <w:tcPr>
            <w:tcW w:w="11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3,253,153 </w:t>
            </w:r>
          </w:p>
        </w:tc>
        <w:tc>
          <w:tcPr>
            <w:tcW w:w="24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2.47 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3.80</w:t>
            </w:r>
          </w:p>
        </w:tc>
      </w:tr>
      <w:tr>
        <w:trPr/>
        <w:tc>
          <w:tcPr>
            <w:tcW w:w="291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total pretax intrinsic value of options outstanding and exercisable at September 30, 2025 and December 31, 2024 was $2.2 million and $7.4 million, respectively. The intrinsic value is the difference between the estimated fair market value of the Company’s common stock at the date of exercise and the exercise price for in-the-money options.</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As of </w:t>
      </w:r>
      <w:r>
        <w:rPr>
          <w:rFonts w:ascii="Expensify Neue;sans-serif" w:hAnsi="Expensify Neue;sans-serif"/>
          <w:b w:val="false"/>
          <w:color w:val="000000"/>
          <w:sz w:val="20"/>
        </w:rPr>
        <w:t>September 30, 2025</w:t>
      </w:r>
      <w:r>
        <w:rPr>
          <w:rFonts w:ascii="Expensify Neue;sans-serif" w:hAnsi="Expensify Neue;sans-serif"/>
          <w:b w:val="false"/>
          <w:color w:val="000000"/>
          <w:sz w:val="20"/>
          <w:shd w:fill="FFFFFF" w:val="clear"/>
        </w:rPr>
        <w:t xml:space="preserve">, the Company had an immaterial amount of unrecognized stock-based compensation expense related to unvested stock options, which is expected to be recognized over a weighted average period of 0.08 years. </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Cash received from option exercises and purchases of shares under the Stock Plans for each of the </w:t>
      </w:r>
      <w:r>
        <w:rPr>
          <w:rFonts w:ascii="Expensify Neue;sans-serif" w:hAnsi="Expensify Neue;sans-serif"/>
          <w:b w:val="false"/>
          <w:color w:val="000000"/>
          <w:sz w:val="20"/>
        </w:rPr>
        <w:t>nine months ended September 30, 2025</w:t>
      </w:r>
      <w:r>
        <w:rPr>
          <w:color w:val="000000"/>
          <w:shd w:fill="FFFFFF" w:val="clear"/>
        </w:rPr>
        <w:t xml:space="preserve"> </w:t>
      </w:r>
      <w:r>
        <w:rPr>
          <w:rFonts w:ascii="Expensify Neue;sans-serif" w:hAnsi="Expensify Neue;sans-serif"/>
          <w:b w:val="false"/>
          <w:color w:val="000000"/>
          <w:sz w:val="20"/>
          <w:shd w:fill="FFFFFF" w:val="clear"/>
        </w:rPr>
        <w:t xml:space="preserve">and </w:t>
      </w:r>
      <w:r>
        <w:rPr>
          <w:rFonts w:ascii="Expensify Neue;sans-serif" w:hAnsi="Expensify Neue;sans-serif"/>
          <w:b w:val="false"/>
          <w:color w:val="000000"/>
          <w:sz w:val="20"/>
        </w:rPr>
        <w:t>2024</w:t>
      </w:r>
      <w:r>
        <w:rPr>
          <w:color w:val="000000"/>
          <w:shd w:fill="FFFFFF" w:val="clear"/>
        </w:rPr>
        <w:t xml:space="preserve"> </w:t>
      </w:r>
      <w:r>
        <w:rPr>
          <w:rFonts w:ascii="Expensify Neue;sans-serif" w:hAnsi="Expensify Neue;sans-serif"/>
          <w:b w:val="false"/>
          <w:color w:val="000000"/>
          <w:sz w:val="20"/>
          <w:shd w:fill="FFFFFF" w:val="clear"/>
        </w:rPr>
        <w:t xml:space="preserve">was $0.3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599440"/>
                <wp:effectExtent l="0" t="0" r="0" b="0"/>
                <wp:wrapNone/>
                <wp:docPr id="25" name="Frame24"/>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Stock-Based Compensation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summarizes the stock-based compensation expense recognized for options granted under the 2009 Stock Plan, options and RSUs granted under the 2019 Stock Plan, RSUs granted under the 2021 Plan and matching and discretionary shares issued under the Matching Plan (in thousands):</w:t>
      </w:r>
    </w:p>
    <w:tbl>
      <w:tblPr>
        <w:tblW w:w="10205" w:type="dxa"/>
        <w:jc w:val="left"/>
        <w:tblInd w:w="0" w:type="dxa"/>
        <w:tblLayout w:type="fixed"/>
        <w:tblCellMar>
          <w:top w:w="28" w:type="dxa"/>
          <w:left w:w="28" w:type="dxa"/>
          <w:bottom w:w="28" w:type="dxa"/>
          <w:right w:w="28" w:type="dxa"/>
        </w:tblCellMar>
      </w:tblPr>
      <w:tblGrid>
        <w:gridCol w:w="1601"/>
        <w:gridCol w:w="1290"/>
        <w:gridCol w:w="1116"/>
        <w:gridCol w:w="262"/>
        <w:gridCol w:w="821"/>
        <w:gridCol w:w="126"/>
        <w:gridCol w:w="126"/>
        <w:gridCol w:w="126"/>
        <w:gridCol w:w="126"/>
        <w:gridCol w:w="262"/>
        <w:gridCol w:w="821"/>
        <w:gridCol w:w="126"/>
        <w:gridCol w:w="109"/>
        <w:gridCol w:w="109"/>
        <w:gridCol w:w="109"/>
        <w:gridCol w:w="248"/>
        <w:gridCol w:w="908"/>
        <w:gridCol w:w="119"/>
        <w:gridCol w:w="119"/>
        <w:gridCol w:w="119"/>
        <w:gridCol w:w="119"/>
        <w:gridCol w:w="248"/>
        <w:gridCol w:w="908"/>
        <w:gridCol w:w="119"/>
        <w:gridCol w:w="168"/>
      </w:tblGrid>
      <w:tr>
        <w:trPr/>
        <w:tc>
          <w:tcPr>
            <w:tcW w:w="1601"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Nine Months Ended September 30,</w:t>
            </w:r>
          </w:p>
        </w:tc>
        <w:tc>
          <w:tcPr>
            <w:tcW w:w="168" w:type="dxa"/>
            <w:tcBorders/>
            <w:vAlign w:val="center"/>
          </w:tcPr>
          <w:p>
            <w:pPr>
              <w:pStyle w:val="TableContents"/>
              <w:bidi w:val="0"/>
              <w:spacing w:before="0" w:after="283"/>
              <w:jc w:val="left"/>
              <w:rPr>
                <w:sz w:val="4"/>
                <w:szCs w:val="4"/>
              </w:rPr>
            </w:pPr>
            <w:r>
              <w:rPr>
                <w:sz w:val="4"/>
                <w:szCs w:val="4"/>
              </w:rPr>
            </w:r>
          </w:p>
        </w:tc>
      </w:tr>
      <w:tr>
        <w:trPr/>
        <w:tc>
          <w:tcPr>
            <w:tcW w:w="4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168" w:type="dxa"/>
            <w:tcBorders/>
            <w:vAlign w:val="center"/>
          </w:tcPr>
          <w:p>
            <w:pPr>
              <w:pStyle w:val="TableContents"/>
              <w:bidi w:val="0"/>
              <w:spacing w:before="0" w:after="283"/>
              <w:jc w:val="left"/>
              <w:rPr>
                <w:sz w:val="4"/>
                <w:szCs w:val="4"/>
              </w:rPr>
            </w:pPr>
            <w:r>
              <w:rPr>
                <w:sz w:val="4"/>
                <w:szCs w:val="4"/>
              </w:rPr>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Matching Plan shares</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807 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898 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3,307 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3,468 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Equity-classified restricted stock units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5,848 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6,793 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17,862 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20,083 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Settlement of liability-classified restricted stock units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448 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792 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Stock options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693 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Total stock-based compensation</w:t>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7,247 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8,384 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22,939 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25,850 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Less: stock-based compensation capitalized as software development costs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(584)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(754)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(1,359)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(2,315)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0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Total stock-based compensation expense</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6,663 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7,630 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21,580 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23,535 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00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Stock-based compensation expense is allocated based on the cost center to which the award holder spent time during the reported periods. Stock-based compensation expense is included in the following components of expenses on the Condensed Consolidated Statements of Operations (in thousands):</w:t>
      </w:r>
    </w:p>
    <w:tbl>
      <w:tblPr>
        <w:tblW w:w="10205" w:type="dxa"/>
        <w:jc w:val="left"/>
        <w:tblInd w:w="0" w:type="dxa"/>
        <w:tblLayout w:type="fixed"/>
        <w:tblCellMar>
          <w:top w:w="28" w:type="dxa"/>
          <w:left w:w="28" w:type="dxa"/>
          <w:bottom w:w="28" w:type="dxa"/>
          <w:right w:w="28" w:type="dxa"/>
        </w:tblCellMar>
      </w:tblPr>
      <w:tblGrid>
        <w:gridCol w:w="1351"/>
        <w:gridCol w:w="1073"/>
        <w:gridCol w:w="1070"/>
        <w:gridCol w:w="297"/>
        <w:gridCol w:w="931"/>
        <w:gridCol w:w="143"/>
        <w:gridCol w:w="143"/>
        <w:gridCol w:w="143"/>
        <w:gridCol w:w="143"/>
        <w:gridCol w:w="297"/>
        <w:gridCol w:w="931"/>
        <w:gridCol w:w="143"/>
        <w:gridCol w:w="109"/>
        <w:gridCol w:w="109"/>
        <w:gridCol w:w="109"/>
        <w:gridCol w:w="268"/>
        <w:gridCol w:w="983"/>
        <w:gridCol w:w="129"/>
        <w:gridCol w:w="129"/>
        <w:gridCol w:w="129"/>
        <w:gridCol w:w="129"/>
        <w:gridCol w:w="268"/>
        <w:gridCol w:w="983"/>
        <w:gridCol w:w="195"/>
      </w:tblGrid>
      <w:tr>
        <w:trPr/>
        <w:tc>
          <w:tcPr>
            <w:tcW w:w="135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1"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Nine Months Ended September 30,</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Cost of revenue, net</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2,630 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2,843 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8,439 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8,661 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Research and development</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1,881 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2,530 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6,301 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8,424 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General and administrative</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1,147 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1,560 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3,897 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4,965 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Sales and marketing</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1,005 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697 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2,943 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1,485 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Total stock-based compensation expense</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6,663 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7,630 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21,580 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23,535 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NOTE 6 - INCOME TAXES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For the three and nine months ended September 30, 2025, the Company prepared its interim tax provision by applying a year-to-date effective tax rate, which the Company believes results in the best estimate of the annual effective tax rate.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 recorded a provision for income taxes of $0.2 million and $2.7 million for the three months ended September 30, 2025 and 2024, respectively, which resulted in effective tax rates of (7.1)% and 568.7%, respectively.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Company recorded a provision for income taxes of $1.5 million and $6.4 million for the nine months ended September 30, 2025 and 2024, respectively, which resulted in effective tax rates of (11.7)% and (277.2)%, respectively.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effective income tax rate differs from the statutory tax rate in 2025 and 2024 primarily due to non-deductible stock-based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599440"/>
                <wp:effectExtent l="0" t="0" r="0" b="0"/>
                <wp:wrapNone/>
                <wp:docPr id="26" name="Frame25"/>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lineRule="auto" w:line="288" w:before="0" w:after="160"/>
        <w:jc w:val="left"/>
        <w:rPr/>
      </w:pPr>
      <w:r>
        <w:rPr>
          <w:rFonts w:ascii="Expensify Neue;sans-serif" w:hAnsi="Expensify Neue;sans-serif"/>
          <w:b w:val="false"/>
          <w:color w:val="000000"/>
          <w:sz w:val="20"/>
        </w:rPr>
        <w:t xml:space="preserve">The Company follows the provisions of ASC 740-10, </w:t>
      </w:r>
      <w:r>
        <w:rPr>
          <w:rFonts w:ascii="Expensify Neue;sans-serif" w:hAnsi="Expensify Neue;sans-serif"/>
          <w:b w:val="false"/>
          <w:i/>
          <w:color w:val="000000"/>
          <w:sz w:val="20"/>
        </w:rPr>
        <w:t>Accounting for Uncertainty in Income Taxes</w:t>
      </w:r>
      <w:r>
        <w:rPr>
          <w:rFonts w:ascii="Expensify Neue;sans-serif" w:hAnsi="Expensify Neue;sans-serif"/>
          <w:b w:val="false"/>
          <w:color w:val="000000"/>
          <w:sz w:val="20"/>
        </w:rPr>
        <w:t xml:space="preserve">. ASC 740-10 prescribes a comprehensive model for the recognition, measurement, presentation and disclosure in financial statements of uncertain tax positions that have been taken or expected to be taken on a tax return. As of September 30, 2025 and December 31, 2024, the Company recorded an uncertain tax position liability of $1.4 million and $1.5 million, respectively, within Other liabilities on the Condensed Consolidated Balance Sheets. This liability includes $0.3 million and an immaterial amount of interest and penalties as of September 30, 2025 and December 31, 2024, respectively.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An examination of the Company's 2021 federal tax return by the Internal Revenue Service ("IRS") commenced in the fourth quarter of 2024. The IRS concluded this examination as of June 30, 2025. There were no adjustments proposed by the IRS as a result of the examination.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July 4, 2025, H.R.1 was enacted into law, which includes provisions modifying the corporate income tax code, including the immediate expensing of domestic research and development expenditures for tax purposes, 100% bonus depreciation for qualified assets, and an increase in the statutory tax rate on foreign earnings from 10.5% to 12.6%. The legislation has multiple effective dates, with certain provisions effective for the 2025 tax year and others being implemented through 2027. The Company has evaluated the changes enacted during the quarter and has estimated their impact, which is reflected in the accompanying condensed consolidated financial statements. The Company will continue to evaluate the full impact of these legislative changes as additional guidance becomes available.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NOTE 7 - NET LOSS PER SHARE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sets forth the computation of basic and diluted net loss per share (in thousands, except share and per share data):</w:t>
      </w:r>
    </w:p>
    <w:tbl>
      <w:tblPr>
        <w:tblW w:w="10205" w:type="dxa"/>
        <w:jc w:val="left"/>
        <w:tblInd w:w="0" w:type="dxa"/>
        <w:tblLayout w:type="fixed"/>
        <w:tblCellMar>
          <w:top w:w="28" w:type="dxa"/>
          <w:left w:w="28" w:type="dxa"/>
          <w:bottom w:w="28" w:type="dxa"/>
          <w:right w:w="28" w:type="dxa"/>
        </w:tblCellMar>
      </w:tblPr>
      <w:tblGrid>
        <w:gridCol w:w="1532"/>
        <w:gridCol w:w="1212"/>
        <w:gridCol w:w="1214"/>
        <w:gridCol w:w="297"/>
        <w:gridCol w:w="949"/>
        <w:gridCol w:w="109"/>
        <w:gridCol w:w="109"/>
        <w:gridCol w:w="109"/>
        <w:gridCol w:w="109"/>
        <w:gridCol w:w="307"/>
        <w:gridCol w:w="819"/>
        <w:gridCol w:w="109"/>
        <w:gridCol w:w="109"/>
        <w:gridCol w:w="109"/>
        <w:gridCol w:w="109"/>
        <w:gridCol w:w="307"/>
        <w:gridCol w:w="819"/>
        <w:gridCol w:w="109"/>
        <w:gridCol w:w="109"/>
        <w:gridCol w:w="109"/>
        <w:gridCol w:w="109"/>
        <w:gridCol w:w="297"/>
        <w:gridCol w:w="949"/>
        <w:gridCol w:w="195"/>
      </w:tblGrid>
      <w:tr>
        <w:trPr/>
        <w:tc>
          <w:tcPr>
            <w:tcW w:w="153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95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7"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September 30, 2025</w:t>
            </w:r>
          </w:p>
        </w:tc>
      </w:tr>
      <w:tr>
        <w:trPr/>
        <w:tc>
          <w:tcPr>
            <w:tcW w:w="3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LT10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LT50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Consolidated</w:t>
            </w:r>
          </w:p>
        </w:tc>
      </w:tr>
      <w:tr>
        <w:trPr/>
        <w:tc>
          <w:tcPr>
            <w:tcW w:w="3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Numerator</w:t>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basic and diluted</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(2,315)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Denominator</w:t>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Weighted average shares of common stock used to compute net loss per share, basic and diluted</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80,441,126 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4,209,827 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7,908,428 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92,559,381 </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per share, basic and diluted</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(0.03)</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32"/>
        <w:gridCol w:w="1212"/>
        <w:gridCol w:w="1214"/>
        <w:gridCol w:w="297"/>
        <w:gridCol w:w="949"/>
        <w:gridCol w:w="109"/>
        <w:gridCol w:w="109"/>
        <w:gridCol w:w="109"/>
        <w:gridCol w:w="109"/>
        <w:gridCol w:w="307"/>
        <w:gridCol w:w="819"/>
        <w:gridCol w:w="109"/>
        <w:gridCol w:w="109"/>
        <w:gridCol w:w="109"/>
        <w:gridCol w:w="109"/>
        <w:gridCol w:w="307"/>
        <w:gridCol w:w="819"/>
        <w:gridCol w:w="109"/>
        <w:gridCol w:w="109"/>
        <w:gridCol w:w="109"/>
        <w:gridCol w:w="109"/>
        <w:gridCol w:w="297"/>
        <w:gridCol w:w="949"/>
        <w:gridCol w:w="195"/>
      </w:tblGrid>
      <w:tr>
        <w:trPr/>
        <w:tc>
          <w:tcPr>
            <w:tcW w:w="153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95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7"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September 30, 2024</w:t>
            </w:r>
          </w:p>
        </w:tc>
      </w:tr>
      <w:tr>
        <w:trPr/>
        <w:tc>
          <w:tcPr>
            <w:tcW w:w="3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LT10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LT50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Consolidated</w:t>
            </w:r>
          </w:p>
        </w:tc>
      </w:tr>
      <w:tr>
        <w:trPr/>
        <w:tc>
          <w:tcPr>
            <w:tcW w:w="3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Numerator</w:t>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basic and diluted</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(2,198)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Denominator</w:t>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Weighted average shares of common stock used to compute net loss per share, basic and diluted</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75,912,966 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4,749,859 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7,514,914 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88,177,739 </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per share, basic and diluted</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(0.02)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599440"/>
                <wp:effectExtent l="0" t="0" r="0" b="0"/>
                <wp:wrapNone/>
                <wp:docPr id="27" name="Frame26"/>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before="0" w:after="160"/>
        <w:jc w:val="left"/>
        <w:rPr/>
      </w:pPr>
      <w:r>
        <w:rPr/>
      </w:r>
    </w:p>
    <w:p>
      <w:pPr>
        <w:pStyle w:val="TextBody"/>
        <w:bidi w:val="0"/>
        <w:spacing w:before="0" w:after="160"/>
        <w:jc w:val="left"/>
        <w:rPr/>
      </w:pPr>
      <w:r>
        <w:rPr/>
      </w:r>
    </w:p>
    <w:tbl>
      <w:tblPr>
        <w:tblW w:w="10205" w:type="dxa"/>
        <w:jc w:val="left"/>
        <w:tblInd w:w="0" w:type="dxa"/>
        <w:tblLayout w:type="fixed"/>
        <w:tblCellMar>
          <w:top w:w="28" w:type="dxa"/>
          <w:left w:w="28" w:type="dxa"/>
          <w:bottom w:w="28" w:type="dxa"/>
          <w:right w:w="28" w:type="dxa"/>
        </w:tblCellMar>
      </w:tblPr>
      <w:tblGrid>
        <w:gridCol w:w="1538"/>
        <w:gridCol w:w="1218"/>
        <w:gridCol w:w="1221"/>
        <w:gridCol w:w="263"/>
        <w:gridCol w:w="983"/>
        <w:gridCol w:w="109"/>
        <w:gridCol w:w="109"/>
        <w:gridCol w:w="109"/>
        <w:gridCol w:w="109"/>
        <w:gridCol w:w="307"/>
        <w:gridCol w:w="819"/>
        <w:gridCol w:w="109"/>
        <w:gridCol w:w="109"/>
        <w:gridCol w:w="109"/>
        <w:gridCol w:w="109"/>
        <w:gridCol w:w="268"/>
        <w:gridCol w:w="858"/>
        <w:gridCol w:w="109"/>
        <w:gridCol w:w="109"/>
        <w:gridCol w:w="109"/>
        <w:gridCol w:w="109"/>
        <w:gridCol w:w="263"/>
        <w:gridCol w:w="983"/>
        <w:gridCol w:w="176"/>
      </w:tblGrid>
      <w:tr>
        <w:trPr/>
        <w:tc>
          <w:tcPr>
            <w:tcW w:w="1538"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97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8"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Nine Months Ended September 30, 2025</w:t>
            </w:r>
          </w:p>
        </w:tc>
      </w:tr>
      <w:tr>
        <w:trPr/>
        <w:tc>
          <w:tcPr>
            <w:tcW w:w="3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LT10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LT50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Consolidated</w:t>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Numerator</w:t>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basic and diluted</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(14,272)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Denominator</w:t>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Weighted average shares of common stock used to compute net loss per share, basic and diluted</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80,093,093 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4,209,827 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7,811,752 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92,114,672 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per share, basic and diluted</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(0.15)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32"/>
        <w:gridCol w:w="1212"/>
        <w:gridCol w:w="1214"/>
        <w:gridCol w:w="297"/>
        <w:gridCol w:w="949"/>
        <w:gridCol w:w="109"/>
        <w:gridCol w:w="109"/>
        <w:gridCol w:w="109"/>
        <w:gridCol w:w="109"/>
        <w:gridCol w:w="307"/>
        <w:gridCol w:w="819"/>
        <w:gridCol w:w="109"/>
        <w:gridCol w:w="109"/>
        <w:gridCol w:w="109"/>
        <w:gridCol w:w="109"/>
        <w:gridCol w:w="307"/>
        <w:gridCol w:w="819"/>
        <w:gridCol w:w="109"/>
        <w:gridCol w:w="109"/>
        <w:gridCol w:w="109"/>
        <w:gridCol w:w="109"/>
        <w:gridCol w:w="297"/>
        <w:gridCol w:w="949"/>
        <w:gridCol w:w="195"/>
      </w:tblGrid>
      <w:tr>
        <w:trPr/>
        <w:tc>
          <w:tcPr>
            <w:tcW w:w="153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95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7"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Nine Months Ended September 30, 2024</w:t>
            </w:r>
          </w:p>
        </w:tc>
      </w:tr>
      <w:tr>
        <w:trPr/>
        <w:tc>
          <w:tcPr>
            <w:tcW w:w="3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LT10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LT50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Consolidated</w:t>
            </w:r>
          </w:p>
        </w:tc>
      </w:tr>
      <w:tr>
        <w:trPr/>
        <w:tc>
          <w:tcPr>
            <w:tcW w:w="3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Numerator</w:t>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basic and diluted</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(8,743)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Denominator</w:t>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Weighted average shares of common stock used to compute net loss per share, basic and diluted</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72,847,615 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6,378,422 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7,417,172 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86,643,209 </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per share, basic and diluted</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(0.10)</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rights, including the liquidation and dividend rights, of the holders of Class A, LT10 and LT50 common stock are identical, except with respect to voting, conversion and transfer rights. Each share of Class A common stock is entitled to one vote per share, each share of LT10 common stock is entitled to ten votes per share and each share of LT50 common stock is entitled to 50 votes per share. Each share of LT10 and LT50 common stock is convertible into one share of Class A common stock voluntarily at the option of the holder after the satisfaction of certain requirements, which includes a ten-month notice period for LT10 common stock and a 50-month notice period for LT50 common stock to convert to Class A common stock, or automatically upon certain events. The Class A common stock has no conversion rights. As the liquidation and dividend rights are identical for Class A, LT10 and LT50 common stock, the undistributed earnings are allocated on a proportional basis based on the number of weighted average shares within each class of common stock during the period and the resulting net loss per share attributable to common stockholders will be the same for the Class A, LT10 and LT50 common stock on an individual or combined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599440"/>
                <wp:effectExtent l="0" t="0" r="0" b="0"/>
                <wp:wrapNone/>
                <wp:docPr id="28" name="Frame27"/>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potentially dilutive shares were not included in the calculation of diluted shares outstanding as the effect would have been anti-dilutive:</w:t>
      </w:r>
    </w:p>
    <w:tbl>
      <w:tblPr>
        <w:tblW w:w="9246" w:type="dxa"/>
        <w:jc w:val="center"/>
        <w:tblInd w:w="0" w:type="dxa"/>
        <w:tblLayout w:type="fixed"/>
        <w:tblCellMar>
          <w:top w:w="28" w:type="dxa"/>
          <w:left w:w="28" w:type="dxa"/>
          <w:bottom w:w="28" w:type="dxa"/>
          <w:right w:w="28" w:type="dxa"/>
        </w:tblCellMar>
      </w:tblPr>
      <w:tblGrid>
        <w:gridCol w:w="1185"/>
        <w:gridCol w:w="1039"/>
        <w:gridCol w:w="1045"/>
        <w:gridCol w:w="563"/>
        <w:gridCol w:w="563"/>
        <w:gridCol w:w="266"/>
        <w:gridCol w:w="188"/>
        <w:gridCol w:w="188"/>
        <w:gridCol w:w="188"/>
        <w:gridCol w:w="203"/>
        <w:gridCol w:w="203"/>
        <w:gridCol w:w="191"/>
        <w:gridCol w:w="188"/>
        <w:gridCol w:w="188"/>
        <w:gridCol w:w="188"/>
        <w:gridCol w:w="203"/>
        <w:gridCol w:w="203"/>
        <w:gridCol w:w="191"/>
        <w:gridCol w:w="188"/>
        <w:gridCol w:w="188"/>
        <w:gridCol w:w="188"/>
        <w:gridCol w:w="563"/>
        <w:gridCol w:w="563"/>
        <w:gridCol w:w="573"/>
      </w:tblGrid>
      <w:tr>
        <w:trPr/>
        <w:tc>
          <w:tcPr>
            <w:tcW w:w="118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7"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September 30, 2025</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Class A</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LT10</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LT50</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Consolidated</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Weighted average stock options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1,375,739 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1,375,739 </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Matching Plan shares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40,586 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40,586 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1,416,325 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1,416,325 </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9246" w:type="dxa"/>
        <w:jc w:val="center"/>
        <w:tblInd w:w="0" w:type="dxa"/>
        <w:tblLayout w:type="fixed"/>
        <w:tblCellMar>
          <w:top w:w="28" w:type="dxa"/>
          <w:left w:w="28" w:type="dxa"/>
          <w:bottom w:w="28" w:type="dxa"/>
          <w:right w:w="28" w:type="dxa"/>
        </w:tblCellMar>
      </w:tblPr>
      <w:tblGrid>
        <w:gridCol w:w="1185"/>
        <w:gridCol w:w="1039"/>
        <w:gridCol w:w="1045"/>
        <w:gridCol w:w="563"/>
        <w:gridCol w:w="563"/>
        <w:gridCol w:w="266"/>
        <w:gridCol w:w="188"/>
        <w:gridCol w:w="188"/>
        <w:gridCol w:w="188"/>
        <w:gridCol w:w="203"/>
        <w:gridCol w:w="203"/>
        <w:gridCol w:w="191"/>
        <w:gridCol w:w="188"/>
        <w:gridCol w:w="188"/>
        <w:gridCol w:w="188"/>
        <w:gridCol w:w="203"/>
        <w:gridCol w:w="203"/>
        <w:gridCol w:w="191"/>
        <w:gridCol w:w="188"/>
        <w:gridCol w:w="188"/>
        <w:gridCol w:w="188"/>
        <w:gridCol w:w="563"/>
        <w:gridCol w:w="563"/>
        <w:gridCol w:w="573"/>
      </w:tblGrid>
      <w:tr>
        <w:trPr/>
        <w:tc>
          <w:tcPr>
            <w:tcW w:w="118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7"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September 30, 2024</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Class A</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LT10</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LT50</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Consolidated</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Weighted average stock options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2,354,936 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2,354,936 </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Matching Plan shares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22,135 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22,135 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2,377,071 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2,377,071 </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9201" w:type="dxa"/>
        <w:jc w:val="left"/>
        <w:tblInd w:w="0" w:type="dxa"/>
        <w:tblLayout w:type="fixed"/>
        <w:tblCellMar>
          <w:top w:w="28" w:type="dxa"/>
          <w:left w:w="28" w:type="dxa"/>
          <w:bottom w:w="28" w:type="dxa"/>
          <w:right w:w="28" w:type="dxa"/>
        </w:tblCellMar>
      </w:tblPr>
      <w:tblGrid>
        <w:gridCol w:w="1185"/>
        <w:gridCol w:w="1039"/>
        <w:gridCol w:w="1045"/>
        <w:gridCol w:w="563"/>
        <w:gridCol w:w="563"/>
        <w:gridCol w:w="266"/>
        <w:gridCol w:w="183"/>
        <w:gridCol w:w="183"/>
        <w:gridCol w:w="183"/>
        <w:gridCol w:w="203"/>
        <w:gridCol w:w="203"/>
        <w:gridCol w:w="191"/>
        <w:gridCol w:w="183"/>
        <w:gridCol w:w="183"/>
        <w:gridCol w:w="183"/>
        <w:gridCol w:w="203"/>
        <w:gridCol w:w="203"/>
        <w:gridCol w:w="191"/>
        <w:gridCol w:w="183"/>
        <w:gridCol w:w="183"/>
        <w:gridCol w:w="183"/>
        <w:gridCol w:w="563"/>
        <w:gridCol w:w="563"/>
        <w:gridCol w:w="573"/>
      </w:tblGrid>
      <w:tr>
        <w:trPr/>
        <w:tc>
          <w:tcPr>
            <w:tcW w:w="118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2"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Nine Months Ended September 30, 2025</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Class A</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LT10</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LT50</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Consolidated</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Weighted average stock options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1,716,686 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1,716,686 </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Matching Plan shares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30,105 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30,105 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1,746,791 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1,746,791 </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9201" w:type="dxa"/>
        <w:jc w:val="left"/>
        <w:tblInd w:w="0" w:type="dxa"/>
        <w:tblLayout w:type="fixed"/>
        <w:tblCellMar>
          <w:top w:w="28" w:type="dxa"/>
          <w:left w:w="28" w:type="dxa"/>
          <w:bottom w:w="28" w:type="dxa"/>
          <w:right w:w="28" w:type="dxa"/>
        </w:tblCellMar>
      </w:tblPr>
      <w:tblGrid>
        <w:gridCol w:w="1185"/>
        <w:gridCol w:w="1039"/>
        <w:gridCol w:w="1045"/>
        <w:gridCol w:w="563"/>
        <w:gridCol w:w="563"/>
        <w:gridCol w:w="266"/>
        <w:gridCol w:w="183"/>
        <w:gridCol w:w="183"/>
        <w:gridCol w:w="183"/>
        <w:gridCol w:w="203"/>
        <w:gridCol w:w="203"/>
        <w:gridCol w:w="191"/>
        <w:gridCol w:w="183"/>
        <w:gridCol w:w="183"/>
        <w:gridCol w:w="183"/>
        <w:gridCol w:w="203"/>
        <w:gridCol w:w="203"/>
        <w:gridCol w:w="191"/>
        <w:gridCol w:w="183"/>
        <w:gridCol w:w="183"/>
        <w:gridCol w:w="183"/>
        <w:gridCol w:w="563"/>
        <w:gridCol w:w="563"/>
        <w:gridCol w:w="573"/>
      </w:tblGrid>
      <w:tr>
        <w:trPr/>
        <w:tc>
          <w:tcPr>
            <w:tcW w:w="118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2"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Nine Months Ended September 30, 2024</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Class A</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LT10</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LT50</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Consolidated</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Weighted average stock options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1,715,576 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1,715,576 </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Matching Plan shares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1,715,576 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1,715,576 </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599440"/>
                <wp:effectExtent l="0" t="0" r="0" b="0"/>
                <wp:wrapNone/>
                <wp:docPr id="29" name="Frame28"/>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Expensify, Inc.</w:t>
      </w:r>
    </w:p>
    <w:p>
      <w:pPr>
        <w:pStyle w:val="TextBody"/>
        <w:bidi w:val="0"/>
        <w:spacing w:lineRule="auto" w:line="288" w:before="0" w:after="0"/>
        <w:jc w:val="center"/>
        <w:rPr>
          <w:rFonts w:ascii="Expensify Neue;sans-serif" w:hAnsi="Expensify Neue;sans-serif"/>
          <w:b/>
          <w:color w:val="000000"/>
          <w:sz w:val="24"/>
        </w:rPr>
      </w:pPr>
      <w:r>
        <w:rPr>
          <w:rFonts w:ascii="Expensify Neue;sans-serif" w:hAnsi="Expensify Neue;sans-serif"/>
          <w:b/>
          <w:color w:val="000000"/>
          <w:sz w:val="24"/>
        </w:rPr>
        <w:t>Notes to the Condensed Consolidated Financial Statements</w:t>
      </w:r>
    </w:p>
    <w:p>
      <w:pPr>
        <w:pStyle w:val="TextBody"/>
        <w:bidi w:val="0"/>
        <w:spacing w:lineRule="auto" w:line="288" w:before="0" w:after="0"/>
        <w:jc w:val="center"/>
        <w:rPr>
          <w:rFonts w:ascii="Expensify Neue;sans-serif" w:hAnsi="Expensify Neue;sans-serif"/>
          <w:b/>
          <w:color w:val="000000"/>
          <w:sz w:val="20"/>
        </w:rPr>
      </w:pPr>
      <w:r>
        <w:rPr>
          <w:rFonts w:ascii="Expensify Neue;sans-serif" w:hAnsi="Expensify Neue;sans-serif"/>
          <w:b/>
          <w:color w:val="000000"/>
          <w:sz w:val="20"/>
        </w:rPr>
        <w:t>(unaudited)</w: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NOTE 8 - EQUITY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May 10, 2022, the Executive Committee of the Board of Directors (the "Executive Committee") approved a share repurchase program with authorization to purchase up to $50.0 million of shares of Class A common stock ("2022 Share Repurchase Program"). The 2022 Share Repurchase Program authorized the Company to repurchase shares from time to time through open market purchases, in privately negotiated transactions or by other means, including the use of trading plans intended to qualify under Rule 10b5-1 of the Securities Exchange Act of 1934, as amended (the "Exchange Act"), in accordance with applicable securities laws and other restrictions. The 2022 Share Repurchase Program, which would have expired in March 2025, was replaced with the 2025 Share Repurchase Program described below.</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February 25, 2025, the Executive Committee approved a new share repurchase program with authorization to purchase up to $50.0 million of shares of Class A common stock that expires on March 31, 2028 ("2025 Share Repurchase Program"). Under the 2025 Share Repurchase Program, the Company may repurchase shares from time to time through open market purchases, in privately negotiated transactions or by other means, including through the use of trading plans intended to qualify under Rule 10b5-1 under the Exchange Act, in accordance with applicable securities laws and other restrictions. The actual timing and total amount of future repurchases are subject to business, economic and market conditions, corporate and regulatory requirements, prevailing stock prices, restrictions under the terms of the Company's current and future debt agreements and other considerations. The 2025 Share Repurchase Program does not obligate the Company to acquire any particular amount of Class A common stock, and the program may be suspended or terminated at any time by the Company at any time at its discretion without prior notice.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During the three months ended September 30, 2025, the Company repurchased 1,579,763 shares of Class A common stock under the 2025 Share Repurchase Program, at a total cost to the Company of $3.0 million. During the nine months ended September 30, 2025, the Company repurchased 2,865,099 shares of Class A common stock under the 2025 Share Repurchase Program, at a total cost to the Company of $6.1 million.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During both the three and nine months ended September 30, 2024, the Company repurchased 645,938 shares of Class A common stock under the 2022 Share Repurchase Program, at a total cost to the Company of $1.5 million.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As of September 30, 2025, the Company had $44.0 million remaining under the share repurchase authorization.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599440"/>
                <wp:effectExtent l="0" t="0" r="0" b="0"/>
                <wp:wrapNone/>
                <wp:docPr id="30" name="Frame29"/>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2. Management's Discussion and Analysis of Financial Condition and Results of Operations</w:t>
      </w:r>
    </w:p>
    <w:p>
      <w:pPr>
        <w:pStyle w:val="TextBody"/>
        <w:bidi w:val="0"/>
        <w:spacing w:lineRule="auto" w:line="288" w:before="0" w:after="160"/>
        <w:jc w:val="left"/>
        <w:rPr>
          <w:rFonts w:ascii="Expensify Neue;sans-serif" w:hAnsi="Expensify Neue;sans-serif"/>
          <w:b w:val="false"/>
          <w:i/>
          <w:color w:val="000000"/>
          <w:sz w:val="20"/>
        </w:rPr>
      </w:pPr>
      <w:r>
        <w:rPr>
          <w:rFonts w:ascii="Expensify Neue;sans-serif" w:hAnsi="Expensify Neue;sans-serif"/>
          <w:b w:val="false"/>
          <w:i/>
          <w:color w:val="000000"/>
          <w:sz w:val="20"/>
        </w:rPr>
        <w:t>The following discussion and analysis of our financial condition and results of operations should be read in conjunction with our condensed consolidated financial statements and related notes included elsewhere in this Quarterly Report on Form 10-Q and with our audited consolidated financial statements included in our Annual Report on Form 10-K for the year ended December 31, 2024 ("2024 Annual Report"). This discussion contains forward-looking statements based upon current plans, expectations and beliefs involving risks and uncertainties. Our actual results could differ materially from those anticipated in these forward-looking statements as a result of various factors, including those set forth under Part I, Item 1A. "Risk Factors" in our 2024 Annual Report and included elsewhere in this Quarterly Report on Form 10-Q. See "Special Note Regarding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OVERVIEW</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Expensify is a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15 million members to our community and processed and automated 1.8 billion expense transactions on our platform as of September 30, 2025, freeing people to spend less time managing expenses and more time doing the things they love. For the quarter ended September 30, 2025, an average of 642,000 paid members across an average of 38,800 companies and over 200 countries and territories used Expensify to make money easy. </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MACROECONOMIC TRENDS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business and the operations of our customers, the majority of which are small and medium-sized businesses, depend on the overall state of the economy, and we and they could be negatively impacted by slower economic growth and a potential for a recession. Although certain indicators have suggested that inflation has made downward progress, the economy continues to be impacted by elevated inflation rates and faces further inflation risk. Tariff and trade issues also continue to cause overall uncertainty with respect to the economy. See Part I, Item 1A. "Risk Factors" in our 2024 Annual Report and our subsequent filings for further discussion of the possible impact of such macroeconomic trends on our business. Additionally, other potential challenging macroeconomic conditions, and the resulting impact on business continuity and travel, could negatively impact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599440"/>
                <wp:effectExtent l="0" t="0" r="0" b="0"/>
                <wp:wrapNone/>
                <wp:docPr id="31" name="Frame30"/>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Components of Results of Operations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Revenue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generate revenue from subscription fees based on the usage of our cloud-based expense management software platform under arrangements paid monthly in arrears that are either (i) month-to-month and can be terminated by either party without penalty at any time or (ii) annual arrangements based on a minimum number of monthly members. Annual subscription customers who wish to terminate their contracts before the end of the term are required to pay the remaining obligation in full plus any fees or penalties set forth in the agreement. We charge our customers subscription fees for access to our platform primarily based on the number of monthly active members and level of service. The contractual price is based on either negotiated fees or rates published on our website. We generate most of our revenue from customers who have a credit card or debit card on file with us that is automatically charged each month. Virtually all of our customers have a standard terms of service contract, with the few exceptions for customers on bespoke service contracts.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contracts with our customers include two performance obligations: access to the hosted software service, inclusive of all features available within the platform, and the related customer support. We account for the platform access and the support as a combined performance obligation because they have the same pattern of transfer over the same period and are therefore delivered concurrently. We satisfy our performance obligation over time each month as we provide platform access and support services to customers and as such recognize revenue over time. We recognize revenue net of applicable taxes imposed on the related transaction.</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As of </w:t>
      </w:r>
      <w:r>
        <w:rPr>
          <w:rFonts w:ascii="Expensify Neue;sans-serif" w:hAnsi="Expensify Neue;sans-serif"/>
          <w:b w:val="false"/>
          <w:color w:val="000000"/>
          <w:sz w:val="20"/>
        </w:rPr>
        <w:t>September 30, 2025</w:t>
      </w:r>
      <w:r>
        <w:rPr>
          <w:rFonts w:ascii="Expensify Neue;sans-serif" w:hAnsi="Expensify Neue;sans-serif"/>
          <w:b w:val="false"/>
          <w:color w:val="000000"/>
          <w:sz w:val="20"/>
          <w:shd w:fill="FFFFFF" w:val="clear"/>
        </w:rPr>
        <w:t xml:space="preserve">, the Expensify Card substantially consisted of a single card program that launched in February 2024 (the "Updated Card Program"). </w:t>
      </w:r>
      <w:r>
        <w:rPr>
          <w:rFonts w:ascii="Expensify Neue;sans-serif" w:hAnsi="Expensify Neue;sans-serif"/>
          <w:b w:val="false"/>
          <w:color w:val="000000"/>
          <w:sz w:val="20"/>
        </w:rPr>
        <w:t xml:space="preserve">The Updated Card Program operates under an agreement with the issuing bank, </w:t>
      </w:r>
      <w:r>
        <w:rPr>
          <w:rFonts w:ascii="Expensify Neue;sans-serif" w:hAnsi="Expensify Neue;sans-serif"/>
          <w:b w:val="false"/>
          <w:color w:val="000000"/>
          <w:sz w:val="20"/>
          <w:shd w:fill="FFFFFF" w:val="clear"/>
        </w:rPr>
        <w:t>The Bancorp Bank, N.A. ("Bancorp"),</w:t>
      </w:r>
      <w:r>
        <w:rPr>
          <w:color w:val="000000"/>
        </w:rPr>
        <w:t xml:space="preserve"> </w:t>
      </w:r>
      <w:r>
        <w:rPr>
          <w:rFonts w:ascii="Expensify Neue;sans-serif" w:hAnsi="Expensify Neue;sans-serif"/>
          <w:b w:val="false"/>
          <w:color w:val="000000"/>
          <w:sz w:val="20"/>
        </w:rPr>
        <w:t>to issue Expensify Cards to customers and authorize and settle transactions on the Visa card network.</w:t>
      </w:r>
    </w:p>
    <w:p>
      <w:pPr>
        <w:pStyle w:val="TextBody"/>
        <w:bidi w:val="0"/>
        <w:spacing w:lineRule="auto" w:line="288" w:before="0" w:after="160"/>
        <w:jc w:val="left"/>
        <w:rPr/>
      </w:pPr>
      <w:r>
        <w:rPr>
          <w:rFonts w:ascii="Expensify Neue;sans-serif" w:hAnsi="Expensify Neue;sans-serif"/>
          <w:b w:val="false"/>
          <w:color w:val="000000"/>
          <w:sz w:val="20"/>
          <w:shd w:fill="FFFFFF" w:val="clear"/>
        </w:rPr>
        <w:t xml:space="preserve">Under the Updated Card Program, we generate revenue from the authorization and settlement of Expensify Card transactions and are contractually entitled to all interchange generated on Expensify Card transactions based on our agreement with Bancorp. We are the principal in the transaction and recognize interchange as revenue on a gross basis within Revenue on the Condensed Consolidated Statements of Operations. </w:t>
      </w:r>
      <w:r>
        <w:rPr>
          <w:rFonts w:ascii="Expensify Neue;sans-serif" w:hAnsi="Expensify Neue;sans-serif"/>
          <w:b w:val="false"/>
          <w:color w:val="000000"/>
          <w:sz w:val="20"/>
        </w:rPr>
        <w:t>Interchange revenue was $5.4 million and $3.7 million for the three months ended September 30, 2025 and 2024, respectively. Interchange revenue was $15.7 million and $4.2 million for the nine months ended September 30, 2025 and 2024, respectively.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offer a cashback rewards program to all customers on the Updated Card Program based on volume of Expensify Card transactions. Cashback rewards are earned on a monthly basis and are applied against outstanding customer receivables or are paid out the following month. We consider our cashback rewards as consideration payable to a customer, and they are recorded as contra revenue within Revenue on the Condensed Consolidated Statements of Operations. Cashback rewards applied against outstanding customer receivables are reflected as a reduction to Accounts receivable, net on the Condensed Consolidated Balance Sheets. Cashback rewards liability is recorded within Accrued expenses and other liabilities on the Condensed Consolidated Balance Sheets. The cashback rewards fluctuate over time as customers meet eligibility requirements and based on the timing of payments made to customers. Cashback rewards were $2.6 million and $2.3 million for the three months ended September 30, 2025 and 2024, respectively. Cashback rewards were $7.3 million and $6.4 million for the nine months ended September 30, 2025 and 2024,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599440"/>
                <wp:effectExtent l="0" t="0" r="0" b="0"/>
                <wp:wrapNone/>
                <wp:docPr id="32" name="Frame31"/>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Cost of Revenue, Net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Cost of revenue, net primarily consists of expenses related to hosting our service, including the costs of data center capacity, credit card processing fees, third-party software license fees, outsourcing engineering costs to maintain our platform, outsourcing costs to support customer service and outsourcing costs to support our patented scanning technology SmartScan, net of consideration from a vendor under the Updated Card Program for certain volume-based incentives from Visa and consideration from a vendor under our previous card program (the "Legacy Card Program"), which an immaterial number of cardholders continue to operate within, for monetizing Expensify Card activities. Additional costs include amortization of finance right-of-use assets, amortization expense on capitalized software development costs and personnel-related expenses, including stock-based compensation and employee costs attributable to supporting our customers and maintenance of our platform.</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Under the Updated Card Program, we receive consideration from a vendor for certain volume-based incentives from Visa, which are included as a reduction to Cost of revenue, net on the Condensed Consolidated Statements of Operations as they are earned. The amounts earned under these volume-based incentives were $0.3 million and $0.1 million for the three months ended September 30, 2025 and 2024, respectively. The amounts earned under these volume-based incentives were $1.3 million and $0.1 million for the nine months ended September 30, 2025 and 2024, respectively.</w:t>
      </w:r>
    </w:p>
    <w:p>
      <w:pPr>
        <w:pStyle w:val="TextBody"/>
        <w:bidi w:val="0"/>
        <w:spacing w:lineRule="auto" w:line="288" w:before="0" w:after="160"/>
        <w:jc w:val="left"/>
        <w:rPr/>
      </w:pPr>
      <w:r>
        <w:rPr>
          <w:rFonts w:ascii="Expensify Neue;sans-serif" w:hAnsi="Expensify Neue;sans-serif"/>
          <w:b w:val="false"/>
          <w:color w:val="000000"/>
          <w:sz w:val="20"/>
        </w:rPr>
        <w:t>The Legacy Card Program operates under an agreement with the payment processor, M</w:t>
      </w:r>
      <w:r>
        <w:rPr>
          <w:rFonts w:ascii="Expensify Neue;sans-serif" w:hAnsi="Expensify Neue;sans-serif"/>
          <w:b w:val="false"/>
          <w:color w:val="000000"/>
          <w:sz w:val="20"/>
          <w:shd w:fill="FFFFFF" w:val="clear"/>
        </w:rPr>
        <w:t xml:space="preserve">arqeta, Inc. ("Marqeta"), </w:t>
      </w:r>
      <w:r>
        <w:rPr>
          <w:rFonts w:ascii="Expensify Neue;sans-serif" w:hAnsi="Expensify Neue;sans-serif"/>
          <w:b w:val="false"/>
          <w:color w:val="000000"/>
          <w:sz w:val="20"/>
        </w:rPr>
        <w:t>and relies on Marqeta to manage the relationship with the issuing bank, Sutton Bank, and the card network, Visa, in authorizing and settling transactions. The vendor is contractually entitled to the interchange through its relationships with the card network and card issuing bank. The vendor keeps a portion of the interchange for their services, and our agreement with the vendor results in us receiving the remainder of the interchange. This consideration, net of fees paid to the vendor, is included as a reduction to Cost of revenue, net on the Condensed Consolidated Statements of Operations as it is earned. Consideration earned under the Legacy Card Program, net was immaterial for both the three and nine months ended September 30, 2025. Consideration earned under the Legacy Card Program was $0.8 million, net of $0.1 million of fees paid to the vendor, for the three months ended September 30, 2024. Consideration earned under the Legacy Card Program was $7.1 million, net of $0.8 million of fees paid to the vendor, for the nine months ended September 30, 2024.</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OPERATING EXPENSES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 xml:space="preserve">Research and Development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Research and development expenses consist primarily of personnel-related expenses, including stock-based compensation, and external contributor costs incurred related to the planning and preliminary project stage of new products or enhancing existing products or services. We capitalize certain software development costs that are attributable to developing or adding significant functionality to our internal-use software during the application development stage of the projects. All research and development expenses, excluding capitalized software development costs, are expensed as incurred.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believe delivering new functionality is critical to attract new customers and expand our relationships with existing customers. We expect to continue to make investments in and expand our product and service offerings to enhance our customers’ experience and satisfaction and to attract new customers.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General and Administrative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General and administrative expenses primarily consist of personnel-related expenses, including stock-based compensation, for any employee time allocated to administrative functions, including finance and accounting, legal and compliance, and human resources. In addition to personnel-related expenses, general and administrative expenses consist of business insurance, rent, utilities, depreciation, amortization of operating right-of-use assets, information technology and external professional services, including finance and accounting, audit, tax, legal and compliance, and human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599440"/>
                <wp:effectExtent l="0" t="0" r="0" b="0"/>
                <wp:wrapNone/>
                <wp:docPr id="33" name="Frame32"/>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Sales and Marketing</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Sales and marketing expenses primarily consist of personnel-related expenses, including stock-based compensation, advertising expenses, depreciation, outsourcing costs for sales and product demos, branding and public relations expenses, referral fees for strategic partners and other benefits that we provide to our referral and affiliate partners.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Other Income (Expenses), Net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Other income (expenses), net, consists of the results of operations of our Fifth &amp; Harvey, LLC subsidiary, which holds title to and manages operations of the operating lease for lots in Portland, Oregon that are currently used to host multiple portable food vendors open to the general public, as well as interest income, realized gains and losses on foreign currency transactions, foreign currency remeasurement, and interest paid under our credit facilities with Canadian Imperial Bank of Commerce ("CIBC"). See “Liquidity and Capital Resources—Credit Facilities.”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 xml:space="preserve">Provision for Income Taxes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Income taxes primarily consist of income taxes in the United States, United Kingdom, Australia, Netherlands and Canada, as well as states in the United States in which we do business.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July 4, 2025, H.R.1 was enacted into law, which includes provisions modifying the corporate income tax code, including the immediate expensing of domestic research and development expenditures for tax purposes, 100% bonus depreciation for qualified assets, and an increase in the statutory tax rate on foreign earnings from 10.5% to 12.6%. The legislation has multiple effective dates, with certain provisions effective for the 2025 tax year and others being implemented through 2027. We evaluated the changes enacted during the quarter and have estimated their impact, which is reflected in the accompanying condensed consolidated financial statements. We will continue to evaluate the full impact of these legislative changes as additional guidance becomes available.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599440"/>
                <wp:effectExtent l="0" t="0" r="0" b="0"/>
                <wp:wrapNone/>
                <wp:docPr id="34" name="Frame33"/>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Results of Operations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The results of operations presented below should be reviewed in conjunction with the condensed consolidated financial statements and notes included elsewhere in this Quarterly Report on Form 10-Q.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sets forth our results of operations for each of the periods presented:</w:t>
      </w:r>
    </w:p>
    <w:tbl>
      <w:tblPr>
        <w:tblW w:w="10205" w:type="dxa"/>
        <w:jc w:val="left"/>
        <w:tblInd w:w="0" w:type="dxa"/>
        <w:tblLayout w:type="fixed"/>
        <w:tblCellMar>
          <w:top w:w="28" w:type="dxa"/>
          <w:left w:w="28" w:type="dxa"/>
          <w:bottom w:w="28" w:type="dxa"/>
          <w:right w:w="28" w:type="dxa"/>
        </w:tblCellMar>
      </w:tblPr>
      <w:tblGrid>
        <w:gridCol w:w="1215"/>
        <w:gridCol w:w="895"/>
        <w:gridCol w:w="898"/>
        <w:gridCol w:w="267"/>
        <w:gridCol w:w="979"/>
        <w:gridCol w:w="297"/>
        <w:gridCol w:w="113"/>
        <w:gridCol w:w="113"/>
        <w:gridCol w:w="113"/>
        <w:gridCol w:w="267"/>
        <w:gridCol w:w="979"/>
        <w:gridCol w:w="297"/>
        <w:gridCol w:w="109"/>
        <w:gridCol w:w="109"/>
        <w:gridCol w:w="109"/>
        <w:gridCol w:w="240"/>
        <w:gridCol w:w="1006"/>
        <w:gridCol w:w="288"/>
        <w:gridCol w:w="109"/>
        <w:gridCol w:w="109"/>
        <w:gridCol w:w="109"/>
        <w:gridCol w:w="240"/>
        <w:gridCol w:w="1006"/>
        <w:gridCol w:w="338"/>
      </w:tblGrid>
      <w:tr>
        <w:trPr/>
        <w:tc>
          <w:tcPr>
            <w:tcW w:w="121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300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Nine Months Ended September 30,</w:t>
            </w:r>
          </w:p>
        </w:tc>
      </w:tr>
      <w:tr>
        <w:trPr/>
        <w:tc>
          <w:tcPr>
            <w:tcW w:w="3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r>
      <w:tr>
        <w:trPr/>
        <w:tc>
          <w:tcPr>
            <w:tcW w:w="3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 share and per share data)</w:t>
            </w:r>
          </w:p>
        </w:tc>
      </w:tr>
      <w:tr>
        <w:trPr/>
        <w:tc>
          <w:tcPr>
            <w:tcW w:w="3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Revenue</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35,065 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35,409 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106,903 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102,232 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Expensify Neue;sans-serif" w:hAnsi="Expensify Neue;sans-serif"/>
                <w:b w:val="false"/>
                <w:color w:val="000000"/>
                <w:sz w:val="20"/>
              </w:rPr>
              <w:t>Cost of revenue, net</w:t>
            </w:r>
            <w:r>
              <w:rPr>
                <w:rFonts w:ascii="Expensify Neue;sans-serif" w:hAnsi="Expensify Neue;sans-serif"/>
                <w:b w:val="false"/>
                <w:color w:val="000000"/>
                <w:sz w:val="13"/>
              </w:rPr>
              <w:t>(1)</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17,667 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17,145 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52,686 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46,091 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Gross margin</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17,398 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18,264 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54,217 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56,141 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Operating expenses:</w:t>
            </w:r>
          </w:p>
        </w:tc>
        <w:tc>
          <w:tcPr>
            <w:tcW w:w="15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Expensify Neue;sans-serif" w:hAnsi="Expensify Neue;sans-serif"/>
                <w:b w:val="false"/>
                <w:color w:val="000000"/>
                <w:sz w:val="20"/>
              </w:rPr>
              <w:t>Research and development</w:t>
            </w:r>
            <w:r>
              <w:rPr>
                <w:rFonts w:ascii="Expensify Neue;sans-serif" w:hAnsi="Expensify Neue;sans-serif"/>
                <w:b w:val="false"/>
                <w:color w:val="000000"/>
                <w:sz w:val="13"/>
              </w:rPr>
              <w:t>(1)</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4,905 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5,618 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15,421 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17,936 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Expensify Neue;sans-serif" w:hAnsi="Expensify Neue;sans-serif"/>
                <w:b w:val="false"/>
                <w:color w:val="000000"/>
                <w:sz w:val="20"/>
              </w:rPr>
              <w:t>General and administrative</w:t>
            </w:r>
            <w:r>
              <w:rPr>
                <w:rFonts w:ascii="Expensify Neue;sans-serif" w:hAnsi="Expensify Neue;sans-serif"/>
                <w:b w:val="false"/>
                <w:color w:val="000000"/>
                <w:sz w:val="13"/>
              </w:rPr>
              <w:t>(1)</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9,814 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9,084 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30,054 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29,760 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Expensify Neue;sans-serif" w:hAnsi="Expensify Neue;sans-serif"/>
                <w:b w:val="false"/>
                <w:color w:val="000000"/>
                <w:sz w:val="20"/>
              </w:rPr>
              <w:t>Sales and marketing</w:t>
            </w:r>
            <w:r>
              <w:rPr>
                <w:rFonts w:ascii="Expensify Neue;sans-serif" w:hAnsi="Expensify Neue;sans-serif"/>
                <w:b w:val="false"/>
                <w:color w:val="000000"/>
                <w:sz w:val="13"/>
              </w:rPr>
              <w:t>(1)</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4,936 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3,274 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22,824 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9,730 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Total operating expenses</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19,655 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17,976 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68,299 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57,426 </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(Loss) income from operations</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(2,257)</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288 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(14,082)</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(1,285)</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 income (expenses), net</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96 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181 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1,309 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(1,033)</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(Loss) income before income taxes</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(2,161)</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469 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(12,773)</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(2,318)</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Provision for income taxes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(154)</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(2,667)</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(1,499)</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(6,425)</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(2,315)</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(2,198)</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(14,272)</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(8,743)</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per share:</w:t>
            </w:r>
          </w:p>
        </w:tc>
        <w:tc>
          <w:tcPr>
            <w:tcW w:w="15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Basic and diluted</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(0.03)</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(0.02)</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(0.15)</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(0.10)</w:t>
            </w:r>
          </w:p>
        </w:tc>
        <w:tc>
          <w:tcPr>
            <w:tcW w:w="33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Weighted average shares of common stock used to compute net loss per share:</w:t>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Basic and diluted</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92,559,381 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88,177,739 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92,114,672 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86,643,209 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margin</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0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(1)Includes stock-based compensation expense as follows:</w:t>
      </w:r>
    </w:p>
    <w:tbl>
      <w:tblPr>
        <w:tblW w:w="10205" w:type="dxa"/>
        <w:jc w:val="left"/>
        <w:tblInd w:w="0" w:type="dxa"/>
        <w:tblLayout w:type="fixed"/>
        <w:tblCellMar>
          <w:top w:w="28" w:type="dxa"/>
          <w:left w:w="28" w:type="dxa"/>
          <w:bottom w:w="28" w:type="dxa"/>
          <w:right w:w="28" w:type="dxa"/>
        </w:tblCellMar>
      </w:tblPr>
      <w:tblGrid>
        <w:gridCol w:w="1132"/>
        <w:gridCol w:w="987"/>
        <w:gridCol w:w="991"/>
        <w:gridCol w:w="326"/>
        <w:gridCol w:w="925"/>
        <w:gridCol w:w="180"/>
        <w:gridCol w:w="180"/>
        <w:gridCol w:w="180"/>
        <w:gridCol w:w="180"/>
        <w:gridCol w:w="326"/>
        <w:gridCol w:w="925"/>
        <w:gridCol w:w="180"/>
        <w:gridCol w:w="109"/>
        <w:gridCol w:w="109"/>
        <w:gridCol w:w="109"/>
        <w:gridCol w:w="289"/>
        <w:gridCol w:w="954"/>
        <w:gridCol w:w="160"/>
        <w:gridCol w:w="160"/>
        <w:gridCol w:w="160"/>
        <w:gridCol w:w="160"/>
        <w:gridCol w:w="289"/>
        <w:gridCol w:w="954"/>
        <w:gridCol w:w="240"/>
      </w:tblGrid>
      <w:tr>
        <w:trPr/>
        <w:tc>
          <w:tcPr>
            <w:tcW w:w="113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311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September 30,</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Nine Months Ended September 30,</w:t>
            </w:r>
          </w:p>
        </w:tc>
      </w:tr>
      <w:tr>
        <w:trPr/>
        <w:tc>
          <w:tcPr>
            <w:tcW w:w="3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r>
      <w:tr>
        <w:trPr/>
        <w:tc>
          <w:tcPr>
            <w:tcW w:w="3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w:t>
            </w:r>
          </w:p>
        </w:tc>
      </w:tr>
      <w:tr>
        <w:trPr/>
        <w:tc>
          <w:tcPr>
            <w:tcW w:w="3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Cost of revenue, net</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2,630 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2,843 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8,439 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8,661 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Research and development</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1,881 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2,530 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6,301 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8,424 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General and administrative</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1,147 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1,560 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3,897 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4,965 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Sales and marketing</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1,005 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697 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2,943 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1,485 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Total stock-based compensation expense</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6,663 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7,630 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21,580 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4"/>
              </w:rPr>
            </w:pPr>
            <w:r>
              <w:rPr>
                <w:rFonts w:ascii="Expensify Neue;sans-serif" w:hAnsi="Expensify Neue;sans-serif"/>
                <w:b w:val="false"/>
                <w:color w:val="000000"/>
                <w:sz w:val="14"/>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14"/>
              </w:rPr>
            </w:pPr>
            <w:r>
              <w:rPr>
                <w:rFonts w:ascii="Expensify Neue;sans-serif" w:hAnsi="Expensify Neue;sans-serif"/>
                <w:b w:val="false"/>
                <w:color w:val="000000"/>
                <w:sz w:val="14"/>
              </w:rPr>
              <w:t>23,535 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599440"/>
                <wp:effectExtent l="0" t="0" r="0" b="0"/>
                <wp:wrapNone/>
                <wp:docPr id="35" name="Frame34"/>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29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COMPARISON OF THE THREE MONTHS ENDED SEPTEMBER 30, 2025 AND 2024</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Revenue</w:t>
      </w:r>
    </w:p>
    <w:tbl>
      <w:tblPr>
        <w:tblW w:w="6737" w:type="dxa"/>
        <w:jc w:val="left"/>
        <w:tblInd w:w="0" w:type="dxa"/>
        <w:tblLayout w:type="fixed"/>
        <w:tblCellMar>
          <w:top w:w="28" w:type="dxa"/>
          <w:left w:w="28" w:type="dxa"/>
          <w:bottom w:w="28" w:type="dxa"/>
          <w:right w:w="28" w:type="dxa"/>
        </w:tblCellMar>
      </w:tblPr>
      <w:tblGrid>
        <w:gridCol w:w="353"/>
        <w:gridCol w:w="311"/>
        <w:gridCol w:w="312"/>
        <w:gridCol w:w="294"/>
        <w:gridCol w:w="1076"/>
        <w:gridCol w:w="142"/>
        <w:gridCol w:w="142"/>
        <w:gridCol w:w="142"/>
        <w:gridCol w:w="142"/>
        <w:gridCol w:w="294"/>
        <w:gridCol w:w="1076"/>
        <w:gridCol w:w="142"/>
        <w:gridCol w:w="109"/>
        <w:gridCol w:w="109"/>
        <w:gridCol w:w="109"/>
        <w:gridCol w:w="226"/>
        <w:gridCol w:w="616"/>
        <w:gridCol w:w="109"/>
        <w:gridCol w:w="109"/>
        <w:gridCol w:w="109"/>
        <w:gridCol w:w="109"/>
        <w:gridCol w:w="187"/>
        <w:gridCol w:w="188"/>
        <w:gridCol w:w="331"/>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Revenue</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35,065 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35,409 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97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Revenue decreased by $0.3 million, or 1%, for the three months ended September 30, 2025 compared to the same period in 2024, primarily due to (i) a decrease in billable activity across our user base, and (ii) an increase in contra revenue related to cashback payments driven by the increased adoption and spend captured from members using the Expensify Card. This decrease was partially offset by an increase in interchange revenue driven primarily by a shift in cardholder spend from the Legacy Card Program to the Updated Card Program.</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Cost of Revenue, Net and Gross Margin</w:t>
      </w:r>
    </w:p>
    <w:tbl>
      <w:tblPr>
        <w:tblW w:w="7857" w:type="dxa"/>
        <w:jc w:val="center"/>
        <w:tblInd w:w="0" w:type="dxa"/>
        <w:tblLayout w:type="fixed"/>
        <w:tblCellMar>
          <w:top w:w="28" w:type="dxa"/>
          <w:left w:w="28" w:type="dxa"/>
          <w:bottom w:w="28" w:type="dxa"/>
          <w:right w:w="28" w:type="dxa"/>
        </w:tblCellMar>
      </w:tblPr>
      <w:tblGrid>
        <w:gridCol w:w="759"/>
        <w:gridCol w:w="669"/>
        <w:gridCol w:w="671"/>
        <w:gridCol w:w="259"/>
        <w:gridCol w:w="949"/>
        <w:gridCol w:w="328"/>
        <w:gridCol w:w="125"/>
        <w:gridCol w:w="125"/>
        <w:gridCol w:w="125"/>
        <w:gridCol w:w="259"/>
        <w:gridCol w:w="949"/>
        <w:gridCol w:w="328"/>
        <w:gridCol w:w="109"/>
        <w:gridCol w:w="109"/>
        <w:gridCol w:w="109"/>
        <w:gridCol w:w="226"/>
        <w:gridCol w:w="616"/>
        <w:gridCol w:w="109"/>
        <w:gridCol w:w="109"/>
        <w:gridCol w:w="109"/>
        <w:gridCol w:w="109"/>
        <w:gridCol w:w="187"/>
        <w:gridCol w:w="188"/>
        <w:gridCol w:w="331"/>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Cost of revenue, net</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17,667 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17,145 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Gross margin</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17,398 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18,264 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Gross margin %</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50 </w:t>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52 </w:t>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Cost of revenue, net increased by $0.5 million, or 3%, for the three months ended September 30, 2025 compared to the same period in 2024, primarily due to (i) a decrease in consideration earned under the Legacy Card Program driven primarily by a shift in cardholder spend from the Legacy Card Program to the Updated Card Program, (ii) an increase in payment processing fees, and (iii) an increase in amortization expense related to capitalized software. This increase was partially offset by a decrease in SmartScan costs due to increased use of AI instead of human agents.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Gross margin decreased to 50% for the three months ended September 30, 2025 compared to 52% in the same period in 2024 due to the factors described in the preceding paragraphs for Revenue and Cost of revenue,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599440"/>
                <wp:effectExtent l="0" t="0" r="0" b="0"/>
                <wp:wrapNone/>
                <wp:docPr id="36" name="Frame35"/>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OPERATING EXPENSES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Research and Development</w:t>
      </w:r>
    </w:p>
    <w:tbl>
      <w:tblPr>
        <w:tblW w:w="8669" w:type="dxa"/>
        <w:jc w:val="left"/>
        <w:tblInd w:w="0" w:type="dxa"/>
        <w:tblLayout w:type="fixed"/>
        <w:tblCellMar>
          <w:top w:w="28" w:type="dxa"/>
          <w:left w:w="28" w:type="dxa"/>
          <w:bottom w:w="28" w:type="dxa"/>
          <w:right w:w="28" w:type="dxa"/>
        </w:tblCellMar>
      </w:tblPr>
      <w:tblGrid>
        <w:gridCol w:w="1010"/>
        <w:gridCol w:w="888"/>
        <w:gridCol w:w="892"/>
        <w:gridCol w:w="323"/>
        <w:gridCol w:w="1011"/>
        <w:gridCol w:w="156"/>
        <w:gridCol w:w="156"/>
        <w:gridCol w:w="156"/>
        <w:gridCol w:w="156"/>
        <w:gridCol w:w="323"/>
        <w:gridCol w:w="1011"/>
        <w:gridCol w:w="156"/>
        <w:gridCol w:w="109"/>
        <w:gridCol w:w="109"/>
        <w:gridCol w:w="109"/>
        <w:gridCol w:w="226"/>
        <w:gridCol w:w="616"/>
        <w:gridCol w:w="109"/>
        <w:gridCol w:w="109"/>
        <w:gridCol w:w="109"/>
        <w:gridCol w:w="109"/>
        <w:gridCol w:w="247"/>
        <w:gridCol w:w="248"/>
        <w:gridCol w:w="331"/>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Research and development</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4,905 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5,618 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79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Expensify Neue;sans-serif" w:hAnsi="Expensify Neue;sans-serif"/>
          <w:b w:val="false"/>
          <w:color w:val="000000"/>
          <w:sz w:val="20"/>
        </w:rPr>
        <w:t xml:space="preserve">Research and development expenses decreased by $0.7 million, or 13%, for the three months ended September 30, 2025 compared to the same period in 2024, primarily due to a decrease in internal employee and external contributor time spent on project initiatives and new product features as a result of increased focus on sales and marketing efforts related to our title sponsorship of </w:t>
      </w:r>
      <w:r>
        <w:rPr>
          <w:rFonts w:ascii="Expensify Neue;sans-serif" w:hAnsi="Expensify Neue;sans-serif"/>
          <w:b w:val="false"/>
          <w:i/>
          <w:color w:val="000000"/>
          <w:sz w:val="20"/>
        </w:rPr>
        <w:t>F1® The Movie</w:t>
      </w:r>
      <w:r>
        <w:rPr>
          <w:rFonts w:ascii="Expensify Neue;sans-serif" w:hAnsi="Expensify Neue;sans-serif"/>
          <w:b w:val="false"/>
          <w:color w:val="000000"/>
          <w:sz w:val="20"/>
        </w:rPr>
        <w:t>, which was released in theaters in June 2025.</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General and Administrative</w:t>
      </w:r>
    </w:p>
    <w:tbl>
      <w:tblPr>
        <w:tblW w:w="8369" w:type="dxa"/>
        <w:jc w:val="center"/>
        <w:tblInd w:w="0" w:type="dxa"/>
        <w:tblLayout w:type="fixed"/>
        <w:tblCellMar>
          <w:top w:w="28" w:type="dxa"/>
          <w:left w:w="28" w:type="dxa"/>
          <w:bottom w:w="28" w:type="dxa"/>
          <w:right w:w="28" w:type="dxa"/>
        </w:tblCellMar>
      </w:tblPr>
      <w:tblGrid>
        <w:gridCol w:w="1010"/>
        <w:gridCol w:w="888"/>
        <w:gridCol w:w="891"/>
        <w:gridCol w:w="323"/>
        <w:gridCol w:w="1011"/>
        <w:gridCol w:w="156"/>
        <w:gridCol w:w="156"/>
        <w:gridCol w:w="156"/>
        <w:gridCol w:w="156"/>
        <w:gridCol w:w="323"/>
        <w:gridCol w:w="1011"/>
        <w:gridCol w:w="156"/>
        <w:gridCol w:w="109"/>
        <w:gridCol w:w="109"/>
        <w:gridCol w:w="109"/>
        <w:gridCol w:w="226"/>
        <w:gridCol w:w="526"/>
        <w:gridCol w:w="109"/>
        <w:gridCol w:w="109"/>
        <w:gridCol w:w="109"/>
        <w:gridCol w:w="109"/>
        <w:gridCol w:w="143"/>
        <w:gridCol w:w="143"/>
        <w:gridCol w:w="331"/>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General and administrative</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9,814 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9,084 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78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General and administrative expenses increased by $0.7 million, or 8%, for the three months ended September 30, 2025 compared to the same period in 2024, primarily due to (i) an increase in legal fees, and (ii) settlement losses, net of recoveries. This increase was partially offset by a decrease in business insurance.</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Sales and Marketing</w:t>
      </w:r>
    </w:p>
    <w:tbl>
      <w:tblPr>
        <w:tblW w:w="8010" w:type="dxa"/>
        <w:jc w:val="center"/>
        <w:tblInd w:w="0" w:type="dxa"/>
        <w:tblLayout w:type="fixed"/>
        <w:tblCellMar>
          <w:top w:w="28" w:type="dxa"/>
          <w:left w:w="28" w:type="dxa"/>
          <w:bottom w:w="28" w:type="dxa"/>
          <w:right w:w="28" w:type="dxa"/>
        </w:tblCellMar>
      </w:tblPr>
      <w:tblGrid>
        <w:gridCol w:w="772"/>
        <w:gridCol w:w="677"/>
        <w:gridCol w:w="681"/>
        <w:gridCol w:w="323"/>
        <w:gridCol w:w="1011"/>
        <w:gridCol w:w="156"/>
        <w:gridCol w:w="156"/>
        <w:gridCol w:w="156"/>
        <w:gridCol w:w="156"/>
        <w:gridCol w:w="323"/>
        <w:gridCol w:w="1011"/>
        <w:gridCol w:w="156"/>
        <w:gridCol w:w="109"/>
        <w:gridCol w:w="109"/>
        <w:gridCol w:w="109"/>
        <w:gridCol w:w="226"/>
        <w:gridCol w:w="706"/>
        <w:gridCol w:w="109"/>
        <w:gridCol w:w="109"/>
        <w:gridCol w:w="109"/>
        <w:gridCol w:w="109"/>
        <w:gridCol w:w="203"/>
        <w:gridCol w:w="203"/>
        <w:gridCol w:w="331"/>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Sales and marketing</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4,936 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3,274 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51 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1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Expensify Neue;sans-serif" w:hAnsi="Expensify Neue;sans-serif"/>
          <w:b w:val="false"/>
          <w:color w:val="000000"/>
          <w:sz w:val="20"/>
        </w:rPr>
        <w:t xml:space="preserve">Sales and marketing expenses increased by $1.7 million, or 51%, for the three months ended September 30, 2025 compared to the same period in 2024, primarily due to (i) an increase in time spent on sales and marketing activities, and (ii) an increase in advertising spend related to our title sponsorship of </w:t>
      </w:r>
      <w:r>
        <w:rPr>
          <w:rFonts w:ascii="Expensify Neue;sans-serif" w:hAnsi="Expensify Neue;sans-serif"/>
          <w:b w:val="false"/>
          <w:i/>
          <w:color w:val="000000"/>
          <w:sz w:val="20"/>
        </w:rPr>
        <w:t>F1® The Movie</w:t>
      </w:r>
      <w:r>
        <w:rPr>
          <w:rFonts w:ascii="Expensify Neue;sans-serif" w:hAnsi="Expensify Neue;sans-serif"/>
          <w:b w:val="false"/>
          <w:color w:val="000000"/>
          <w:sz w:val="20"/>
        </w:rPr>
        <w:t>, which was released in theaters in June 2025.</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Other income, net</w:t>
      </w:r>
    </w:p>
    <w:tbl>
      <w:tblPr>
        <w:tblW w:w="7673" w:type="dxa"/>
        <w:jc w:val="left"/>
        <w:tblInd w:w="0" w:type="dxa"/>
        <w:tblLayout w:type="fixed"/>
        <w:tblCellMar>
          <w:top w:w="28" w:type="dxa"/>
          <w:left w:w="28" w:type="dxa"/>
          <w:bottom w:w="28" w:type="dxa"/>
          <w:right w:w="28" w:type="dxa"/>
        </w:tblCellMar>
      </w:tblPr>
      <w:tblGrid>
        <w:gridCol w:w="678"/>
        <w:gridCol w:w="597"/>
        <w:gridCol w:w="599"/>
        <w:gridCol w:w="404"/>
        <w:gridCol w:w="726"/>
        <w:gridCol w:w="195"/>
        <w:gridCol w:w="195"/>
        <w:gridCol w:w="195"/>
        <w:gridCol w:w="195"/>
        <w:gridCol w:w="404"/>
        <w:gridCol w:w="941"/>
        <w:gridCol w:w="195"/>
        <w:gridCol w:w="109"/>
        <w:gridCol w:w="109"/>
        <w:gridCol w:w="109"/>
        <w:gridCol w:w="251"/>
        <w:gridCol w:w="496"/>
        <w:gridCol w:w="122"/>
        <w:gridCol w:w="109"/>
        <w:gridCol w:w="109"/>
        <w:gridCol w:w="109"/>
        <w:gridCol w:w="247"/>
        <w:gridCol w:w="248"/>
        <w:gridCol w:w="331"/>
      </w:tblGrid>
      <w:tr>
        <w:trPr/>
        <w:tc>
          <w:tcPr>
            <w:tcW w:w="67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 income, net</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(47)</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187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Other income, net changed by $0.1 million, or 47%, for the three months ended September 30, 2025 compared to the same period in 2024, primarily due to period-over-period unfavorability in net foreign currency gains/losses, partially offset by an increase in interest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599440"/>
                <wp:effectExtent l="0" t="0" r="0" b="0"/>
                <wp:wrapNone/>
                <wp:docPr id="37" name="Frame36"/>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Provision for Income Taxes</w:t>
      </w:r>
    </w:p>
    <w:tbl>
      <w:tblPr>
        <w:tblW w:w="8698" w:type="dxa"/>
        <w:jc w:val="left"/>
        <w:tblInd w:w="0" w:type="dxa"/>
        <w:tblLayout w:type="fixed"/>
        <w:tblCellMar>
          <w:top w:w="28" w:type="dxa"/>
          <w:left w:w="28" w:type="dxa"/>
          <w:bottom w:w="28" w:type="dxa"/>
          <w:right w:w="28" w:type="dxa"/>
        </w:tblCellMar>
      </w:tblPr>
      <w:tblGrid>
        <w:gridCol w:w="989"/>
        <w:gridCol w:w="869"/>
        <w:gridCol w:w="871"/>
        <w:gridCol w:w="323"/>
        <w:gridCol w:w="882"/>
        <w:gridCol w:w="156"/>
        <w:gridCol w:w="156"/>
        <w:gridCol w:w="156"/>
        <w:gridCol w:w="156"/>
        <w:gridCol w:w="323"/>
        <w:gridCol w:w="1140"/>
        <w:gridCol w:w="156"/>
        <w:gridCol w:w="109"/>
        <w:gridCol w:w="109"/>
        <w:gridCol w:w="109"/>
        <w:gridCol w:w="226"/>
        <w:gridCol w:w="706"/>
        <w:gridCol w:w="109"/>
        <w:gridCol w:w="109"/>
        <w:gridCol w:w="109"/>
        <w:gridCol w:w="109"/>
        <w:gridCol w:w="247"/>
        <w:gridCol w:w="248"/>
        <w:gridCol w:w="331"/>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Provision for income taxes</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1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(2,667)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(94)</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72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recorded a provision for income taxes of $0.2 million during the three months ended September 30, 2025 compared to a provision for income taxes of $2.7 million for the same period in 2024.</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During the three months ended September 30, 2025 and 2024, our effective income tax rate was (7.1)% and 568.7%, respectively. The effective income tax rate differs from the statutory rate in 2025 and 2024 primarily due to non-deductible stock-based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COMPARISON OF THE NINE MONTHS ENDED SEPTEMBER 30, 2025 AND 2024</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Revenue</w:t>
      </w:r>
    </w:p>
    <w:tbl>
      <w:tblPr>
        <w:tblW w:w="6630" w:type="dxa"/>
        <w:jc w:val="left"/>
        <w:tblInd w:w="0" w:type="dxa"/>
        <w:tblLayout w:type="fixed"/>
        <w:tblCellMar>
          <w:top w:w="28" w:type="dxa"/>
          <w:left w:w="28" w:type="dxa"/>
          <w:bottom w:w="28" w:type="dxa"/>
          <w:right w:w="28" w:type="dxa"/>
        </w:tblCellMar>
      </w:tblPr>
      <w:tblGrid>
        <w:gridCol w:w="353"/>
        <w:gridCol w:w="311"/>
        <w:gridCol w:w="312"/>
        <w:gridCol w:w="261"/>
        <w:gridCol w:w="1095"/>
        <w:gridCol w:w="126"/>
        <w:gridCol w:w="126"/>
        <w:gridCol w:w="126"/>
        <w:gridCol w:w="126"/>
        <w:gridCol w:w="261"/>
        <w:gridCol w:w="1095"/>
        <w:gridCol w:w="126"/>
        <w:gridCol w:w="109"/>
        <w:gridCol w:w="109"/>
        <w:gridCol w:w="109"/>
        <w:gridCol w:w="226"/>
        <w:gridCol w:w="706"/>
        <w:gridCol w:w="109"/>
        <w:gridCol w:w="109"/>
        <w:gridCol w:w="109"/>
        <w:gridCol w:w="109"/>
        <w:gridCol w:w="143"/>
        <w:gridCol w:w="143"/>
        <w:gridCol w:w="331"/>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Nine Months Ended 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Revenue</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106,903 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102,232 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97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Revenue increased by $4.7 million, or 5%, for the nine months ended September 30, 2025 compared to the same period in 2024, primarily due to an increase in interchange revenue driven primarily by a shift in cardholder spend from the Legacy Card Program to the Updated Card Program. This increase was partially offset by (i) a decrease in billable activity across our user base, including a decrease in pay-per-use billable activity which has a higher average fee per member than our annual members, and (ii) an increase in contra revenue related to cashback payments driven by the increased adoption and spend captured from members using the Expensify Card.</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Cost of Revenue, Net and Gross Margin</w:t>
      </w:r>
    </w:p>
    <w:tbl>
      <w:tblPr>
        <w:tblW w:w="7962" w:type="dxa"/>
        <w:jc w:val="center"/>
        <w:tblInd w:w="0" w:type="dxa"/>
        <w:tblLayout w:type="fixed"/>
        <w:tblCellMar>
          <w:top w:w="28" w:type="dxa"/>
          <w:left w:w="28" w:type="dxa"/>
          <w:bottom w:w="28" w:type="dxa"/>
          <w:right w:w="28" w:type="dxa"/>
        </w:tblCellMar>
      </w:tblPr>
      <w:tblGrid>
        <w:gridCol w:w="759"/>
        <w:gridCol w:w="669"/>
        <w:gridCol w:w="671"/>
        <w:gridCol w:w="251"/>
        <w:gridCol w:w="920"/>
        <w:gridCol w:w="318"/>
        <w:gridCol w:w="121"/>
        <w:gridCol w:w="121"/>
        <w:gridCol w:w="121"/>
        <w:gridCol w:w="251"/>
        <w:gridCol w:w="920"/>
        <w:gridCol w:w="318"/>
        <w:gridCol w:w="109"/>
        <w:gridCol w:w="109"/>
        <w:gridCol w:w="109"/>
        <w:gridCol w:w="226"/>
        <w:gridCol w:w="796"/>
        <w:gridCol w:w="109"/>
        <w:gridCol w:w="109"/>
        <w:gridCol w:w="109"/>
        <w:gridCol w:w="109"/>
        <w:gridCol w:w="203"/>
        <w:gridCol w:w="203"/>
        <w:gridCol w:w="331"/>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Nine Months Ended 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Cost of revenue, net</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52,686 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46,091 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Gross margin</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54,217 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56,141 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Gross margin %</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51 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55 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Cost of revenue, net increased by $6.6 million, or 14%, for the nine months ended September 30, 2025 compared to the same period in 2024, primarily due to (i) a decrease in consideration earned under the Legacy Card Program driven primarily by a shift in cardholder spend from the Legacy Card Program to the Updated Card Program, (ii) an increase in payment processing fees, and (iii) an increase in amortization expense related to capitalized software. This increase was partially offset by a decrease in SmartScan costs due to increased use of AI instead of human agents.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Gross margin decreased to 51% for the nine months ended September 30, 2025 compared to 55% in the same period in 2024 due to the factors described in the preceding paragraphs for Revenue and Cost of revenue,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599440"/>
                <wp:effectExtent l="0" t="0" r="0" b="0"/>
                <wp:wrapNone/>
                <wp:docPr id="38" name="Frame37"/>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Research and Development</w:t>
      </w:r>
    </w:p>
    <w:tbl>
      <w:tblPr>
        <w:tblW w:w="8742" w:type="dxa"/>
        <w:jc w:val="left"/>
        <w:tblInd w:w="0" w:type="dxa"/>
        <w:tblLayout w:type="fixed"/>
        <w:tblCellMar>
          <w:top w:w="28" w:type="dxa"/>
          <w:left w:w="28" w:type="dxa"/>
          <w:bottom w:w="28" w:type="dxa"/>
          <w:right w:w="28" w:type="dxa"/>
        </w:tblCellMar>
      </w:tblPr>
      <w:tblGrid>
        <w:gridCol w:w="1010"/>
        <w:gridCol w:w="888"/>
        <w:gridCol w:w="892"/>
        <w:gridCol w:w="285"/>
        <w:gridCol w:w="1043"/>
        <w:gridCol w:w="137"/>
        <w:gridCol w:w="137"/>
        <w:gridCol w:w="137"/>
        <w:gridCol w:w="137"/>
        <w:gridCol w:w="285"/>
        <w:gridCol w:w="1043"/>
        <w:gridCol w:w="137"/>
        <w:gridCol w:w="109"/>
        <w:gridCol w:w="109"/>
        <w:gridCol w:w="109"/>
        <w:gridCol w:w="226"/>
        <w:gridCol w:w="796"/>
        <w:gridCol w:w="109"/>
        <w:gridCol w:w="109"/>
        <w:gridCol w:w="109"/>
        <w:gridCol w:w="109"/>
        <w:gridCol w:w="247"/>
        <w:gridCol w:w="248"/>
        <w:gridCol w:w="331"/>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Nine Months Ended 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Research and development</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15,421 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17,936 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79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Expensify Neue;sans-serif" w:hAnsi="Expensify Neue;sans-serif"/>
          <w:b w:val="false"/>
          <w:color w:val="000000"/>
          <w:sz w:val="20"/>
        </w:rPr>
        <w:t xml:space="preserve">Research and development expenses decreased by $2.5 million, or 14%, for the nine months ended September 30, 2025 compared to the same period in 2024, primarily due to a decrease in internal employee and external contributor time spent on project initiatives and new product features as a result of increased focus on sales and marketing efforts related to our title sponsorship of </w:t>
      </w:r>
      <w:r>
        <w:rPr>
          <w:rFonts w:ascii="Expensify Neue;sans-serif" w:hAnsi="Expensify Neue;sans-serif"/>
          <w:b w:val="false"/>
          <w:i/>
          <w:color w:val="000000"/>
          <w:sz w:val="20"/>
        </w:rPr>
        <w:t>F1® The Movie</w:t>
      </w:r>
      <w:r>
        <w:rPr>
          <w:rFonts w:ascii="Expensify Neue;sans-serif" w:hAnsi="Expensify Neue;sans-serif"/>
          <w:b w:val="false"/>
          <w:color w:val="000000"/>
          <w:sz w:val="20"/>
        </w:rPr>
        <w:t>, which was released in theaters in June 2025.</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General and Administrative</w:t>
      </w:r>
    </w:p>
    <w:tbl>
      <w:tblPr>
        <w:tblW w:w="8262" w:type="dxa"/>
        <w:jc w:val="center"/>
        <w:tblInd w:w="0" w:type="dxa"/>
        <w:tblLayout w:type="fixed"/>
        <w:tblCellMar>
          <w:top w:w="28" w:type="dxa"/>
          <w:left w:w="28" w:type="dxa"/>
          <w:bottom w:w="28" w:type="dxa"/>
          <w:right w:w="28" w:type="dxa"/>
        </w:tblCellMar>
      </w:tblPr>
      <w:tblGrid>
        <w:gridCol w:w="1010"/>
        <w:gridCol w:w="888"/>
        <w:gridCol w:w="891"/>
        <w:gridCol w:w="285"/>
        <w:gridCol w:w="1043"/>
        <w:gridCol w:w="137"/>
        <w:gridCol w:w="137"/>
        <w:gridCol w:w="137"/>
        <w:gridCol w:w="137"/>
        <w:gridCol w:w="285"/>
        <w:gridCol w:w="1043"/>
        <w:gridCol w:w="137"/>
        <w:gridCol w:w="109"/>
        <w:gridCol w:w="109"/>
        <w:gridCol w:w="109"/>
        <w:gridCol w:w="226"/>
        <w:gridCol w:w="526"/>
        <w:gridCol w:w="109"/>
        <w:gridCol w:w="109"/>
        <w:gridCol w:w="109"/>
        <w:gridCol w:w="109"/>
        <w:gridCol w:w="143"/>
        <w:gridCol w:w="143"/>
        <w:gridCol w:w="331"/>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Nine Months Ended 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General and administrative</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30,054 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29,760 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78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General and administrative expenses increased by $0.3 million, or 1%, for the nine months ended September 30, 2025 compared to the same period in 2024, primarily due to (i) an increase in legal fees, and (ii) settlement losses, net of recoveries. This increase was partially offset by a decrease in business insurance.</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Sales and Marketing</w:t>
      </w:r>
    </w:p>
    <w:tbl>
      <w:tblPr>
        <w:tblW w:w="8146" w:type="dxa"/>
        <w:jc w:val="center"/>
        <w:tblInd w:w="0" w:type="dxa"/>
        <w:tblLayout w:type="fixed"/>
        <w:tblCellMar>
          <w:top w:w="28" w:type="dxa"/>
          <w:left w:w="28" w:type="dxa"/>
          <w:bottom w:w="28" w:type="dxa"/>
          <w:right w:w="28" w:type="dxa"/>
        </w:tblCellMar>
      </w:tblPr>
      <w:tblGrid>
        <w:gridCol w:w="772"/>
        <w:gridCol w:w="677"/>
        <w:gridCol w:w="681"/>
        <w:gridCol w:w="299"/>
        <w:gridCol w:w="1092"/>
        <w:gridCol w:w="144"/>
        <w:gridCol w:w="144"/>
        <w:gridCol w:w="144"/>
        <w:gridCol w:w="144"/>
        <w:gridCol w:w="299"/>
        <w:gridCol w:w="934"/>
        <w:gridCol w:w="144"/>
        <w:gridCol w:w="109"/>
        <w:gridCol w:w="109"/>
        <w:gridCol w:w="109"/>
        <w:gridCol w:w="226"/>
        <w:gridCol w:w="826"/>
        <w:gridCol w:w="109"/>
        <w:gridCol w:w="109"/>
        <w:gridCol w:w="109"/>
        <w:gridCol w:w="109"/>
        <w:gridCol w:w="263"/>
        <w:gridCol w:w="263"/>
        <w:gridCol w:w="331"/>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Nine Months Ended 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Sales and marketing</w:t>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22,824 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9,730 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135 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1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Expensify Neue;sans-serif" w:hAnsi="Expensify Neue;sans-serif"/>
          <w:b w:val="false"/>
          <w:color w:val="000000"/>
          <w:sz w:val="20"/>
        </w:rPr>
        <w:t xml:space="preserve">Sales and marketing expenses increased by $13.1 million, or 135%, for the nine months ended September 30, 2025 compared to the same period in 2024, primarily due to (i) an increase in time spent on sales and marketing activities, and (ii) an increase in advertising spend related to our title sponsorship of </w:t>
      </w:r>
      <w:r>
        <w:rPr>
          <w:rFonts w:ascii="Expensify Neue;sans-serif" w:hAnsi="Expensify Neue;sans-serif"/>
          <w:b w:val="false"/>
          <w:i/>
          <w:color w:val="000000"/>
          <w:sz w:val="20"/>
        </w:rPr>
        <w:t>F1® The Movie</w:t>
      </w:r>
      <w:r>
        <w:rPr>
          <w:rFonts w:ascii="Expensify Neue;sans-serif" w:hAnsi="Expensify Neue;sans-serif"/>
          <w:b w:val="false"/>
          <w:color w:val="000000"/>
          <w:sz w:val="20"/>
        </w:rPr>
        <w:t>, which was released in theaters in June 2025.</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Other income (expenses), net</w:t>
      </w:r>
    </w:p>
    <w:tbl>
      <w:tblPr>
        <w:tblW w:w="8995" w:type="dxa"/>
        <w:jc w:val="left"/>
        <w:tblInd w:w="0" w:type="dxa"/>
        <w:tblLayout w:type="fixed"/>
        <w:tblCellMar>
          <w:top w:w="28" w:type="dxa"/>
          <w:left w:w="28" w:type="dxa"/>
          <w:bottom w:w="28" w:type="dxa"/>
          <w:right w:w="28" w:type="dxa"/>
        </w:tblCellMar>
      </w:tblPr>
      <w:tblGrid>
        <w:gridCol w:w="1092"/>
        <w:gridCol w:w="959"/>
        <w:gridCol w:w="964"/>
        <w:gridCol w:w="302"/>
        <w:gridCol w:w="945"/>
        <w:gridCol w:w="145"/>
        <w:gridCol w:w="145"/>
        <w:gridCol w:w="145"/>
        <w:gridCol w:w="145"/>
        <w:gridCol w:w="302"/>
        <w:gridCol w:w="1065"/>
        <w:gridCol w:w="145"/>
        <w:gridCol w:w="109"/>
        <w:gridCol w:w="109"/>
        <w:gridCol w:w="109"/>
        <w:gridCol w:w="226"/>
        <w:gridCol w:w="706"/>
        <w:gridCol w:w="109"/>
        <w:gridCol w:w="109"/>
        <w:gridCol w:w="109"/>
        <w:gridCol w:w="109"/>
        <w:gridCol w:w="307"/>
        <w:gridCol w:w="308"/>
        <w:gridCol w:w="331"/>
      </w:tblGrid>
      <w:tr>
        <w:trPr/>
        <w:tc>
          <w:tcPr>
            <w:tcW w:w="109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Nine Months Ended 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 income (expenses), net</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1,309 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(1,033)</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(227)</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01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Other income (expenses), net changed by $2.3 million, or 227%, for the nine months ended September 30, 2025 compared to the same period in 2024, primarily due to (i) a period-over-period favorability in net foreign currency gains/losses, (ii) a decrease in interest expense incurred due to the repayments of the revolving line of credit and amortizing term mortgage discussed below under “Liquidity and Capital Resources—Credit Facilities”, and (iii) an increase in interest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599440"/>
                <wp:effectExtent l="0" t="0" r="0" b="0"/>
                <wp:wrapNone/>
                <wp:docPr id="39" name="Frame38"/>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Provision for Income Taxes</w:t>
      </w:r>
    </w:p>
    <w:tbl>
      <w:tblPr>
        <w:tblW w:w="8590" w:type="dxa"/>
        <w:jc w:val="left"/>
        <w:tblInd w:w="0" w:type="dxa"/>
        <w:tblLayout w:type="fixed"/>
        <w:tblCellMar>
          <w:top w:w="28" w:type="dxa"/>
          <w:left w:w="28" w:type="dxa"/>
          <w:bottom w:w="28" w:type="dxa"/>
          <w:right w:w="28" w:type="dxa"/>
        </w:tblCellMar>
      </w:tblPr>
      <w:tblGrid>
        <w:gridCol w:w="989"/>
        <w:gridCol w:w="869"/>
        <w:gridCol w:w="871"/>
        <w:gridCol w:w="292"/>
        <w:gridCol w:w="1028"/>
        <w:gridCol w:w="140"/>
        <w:gridCol w:w="140"/>
        <w:gridCol w:w="140"/>
        <w:gridCol w:w="140"/>
        <w:gridCol w:w="292"/>
        <w:gridCol w:w="1028"/>
        <w:gridCol w:w="140"/>
        <w:gridCol w:w="109"/>
        <w:gridCol w:w="109"/>
        <w:gridCol w:w="109"/>
        <w:gridCol w:w="226"/>
        <w:gridCol w:w="706"/>
        <w:gridCol w:w="109"/>
        <w:gridCol w:w="109"/>
        <w:gridCol w:w="109"/>
        <w:gridCol w:w="109"/>
        <w:gridCol w:w="247"/>
        <w:gridCol w:w="248"/>
        <w:gridCol w:w="331"/>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Nine Months Ended 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Change</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Provision for income taxes</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(1,499)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(6,425)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(77)</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72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We recorded a provision for income taxes of $1.5 million during the nine months ended September 30, 2025 compared to a provision for income taxes of $6.4 million for the same period in 2024.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effective income tax rate was (11.7)% and (277.2)% during the nine months ended September 30, 2025 and 2024, respectively. The effective income tax rate differs from the statutory rate in 2025 and 2024 primarily due to non-deductible stock-based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Liquidity and Capital Resources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Since our inception, we have financed our operations primarily through our cash flow from operations, sales of our equity securities and borrowings under our credit facilities. As of September 30, 2025, we had $61.5 million in cash and cash equivalents, with no outstanding indebtedness and a $7.5 million letter of credit outstanding.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future capital requirements will depend on many factors, including revenue growth and costs incurred to support growth in our business and our need to respond to business opportunities, challenges or unforeseen circumstances. We believe that our existing cash resources will be sufficient to finance our continued operations and growth strategy for the next 12 months and for the foreseeable future.</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CASH FLOWS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summarizes our cash flows for the periods indicated:</w:t>
      </w:r>
    </w:p>
    <w:tbl>
      <w:tblPr>
        <w:tblW w:w="10205" w:type="dxa"/>
        <w:jc w:val="left"/>
        <w:tblInd w:w="0" w:type="dxa"/>
        <w:tblLayout w:type="fixed"/>
        <w:tblCellMar>
          <w:top w:w="28" w:type="dxa"/>
          <w:left w:w="28" w:type="dxa"/>
          <w:bottom w:w="28" w:type="dxa"/>
          <w:right w:w="28" w:type="dxa"/>
        </w:tblCellMar>
      </w:tblPr>
      <w:tblGrid>
        <w:gridCol w:w="2396"/>
        <w:gridCol w:w="2078"/>
        <w:gridCol w:w="2091"/>
        <w:gridCol w:w="270"/>
        <w:gridCol w:w="988"/>
        <w:gridCol w:w="130"/>
        <w:gridCol w:w="130"/>
        <w:gridCol w:w="130"/>
        <w:gridCol w:w="130"/>
        <w:gridCol w:w="270"/>
        <w:gridCol w:w="1086"/>
        <w:gridCol w:w="130"/>
        <w:gridCol w:w="109"/>
        <w:gridCol w:w="109"/>
        <w:gridCol w:w="158"/>
      </w:tblGrid>
      <w:tr>
        <w:trPr/>
        <w:tc>
          <w:tcPr>
            <w:tcW w:w="2396"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6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Nine Months Ended September 30,</w:t>
            </w:r>
          </w:p>
        </w:tc>
        <w:tc>
          <w:tcPr>
            <w:tcW w:w="37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0"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Expensify Neue;sans-serif" w:hAnsi="Expensify Neue;sans-serif"/>
                <w:b/>
                <w:color w:val="000000"/>
                <w:sz w:val="16"/>
              </w:rPr>
            </w:pPr>
            <w:r>
              <w:rPr>
                <w:rFonts w:ascii="Expensify Neue;sans-serif" w:hAnsi="Expensify Neue;sans-serif"/>
                <w:b/>
                <w:color w:val="000000"/>
                <w:sz w:val="16"/>
              </w:rPr>
              <w:t>(in thousands)</w:t>
            </w:r>
          </w:p>
        </w:tc>
      </w:tr>
      <w:tr>
        <w:trPr/>
        <w:tc>
          <w:tcPr>
            <w:tcW w:w="6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cash provided by operating activities</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17,887 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16,475 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cash used in investing activities</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(2,757)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(6,699)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cash used in financing activities</w:t>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(1,583)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(21,180)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increase (decrease) in cash and cash equivalents and restricted cash</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13,547 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0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(11,404)</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CASH FLOWS FROM OPERATING ACTIVITIES</w:t>
      </w:r>
    </w:p>
    <w:p>
      <w:pPr>
        <w:pStyle w:val="TextBody"/>
        <w:bidi w:val="0"/>
        <w:spacing w:lineRule="auto" w:line="288" w:before="0" w:after="160"/>
        <w:jc w:val="left"/>
        <w:rPr/>
      </w:pPr>
      <w:r>
        <w:rPr>
          <w:rFonts w:ascii="Expensify Neue;sans-serif" w:hAnsi="Expensify Neue;sans-serif"/>
          <w:b w:val="false"/>
          <w:color w:val="000000"/>
          <w:sz w:val="20"/>
        </w:rPr>
        <w:t xml:space="preserve">Net cash provided by operating activities was $17.9 million for the nine months ended September 30, 2025 compared to $16.5 million for the same period in 2024, primarily due to (i) an increase in interchange revenue driven by the increased adoption and spend captured from members using the Expensify Card, and (ii) a decrease in SmartScan costs. This increase was partially offset by (i) a decrease in subscription revenue, (ii) an increase in marketing and advertising spend related to our title sponsorship of </w:t>
      </w:r>
      <w:r>
        <w:rPr>
          <w:rFonts w:ascii="Expensify Neue;sans-serif" w:hAnsi="Expensify Neue;sans-serif"/>
          <w:b w:val="false"/>
          <w:i/>
          <w:color w:val="000000"/>
          <w:sz w:val="20"/>
        </w:rPr>
        <w:t>F1® The Movie</w:t>
      </w:r>
      <w:r>
        <w:rPr>
          <w:rFonts w:ascii="Expensify Neue;sans-serif" w:hAnsi="Expensify Neue;sans-serif"/>
          <w:b w:val="false"/>
          <w:color w:val="000000"/>
          <w:sz w:val="20"/>
        </w:rPr>
        <w:t>, which was released in theaters in June 2025, and (iii) an increase in settlement losses, net of recoveries.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599440"/>
                <wp:effectExtent l="0" t="0" r="0" b="0"/>
                <wp:wrapNone/>
                <wp:docPr id="40" name="Frame39"/>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CASH FLOWS FROM INVESTING ACTIVITIES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Net cash used in investing activities was $2.8 million for the nine months ended September 30, 2025, primarily consisting of software development costs.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Net cash used in investing activities decreased for the nine months ended September 30, 2025 compared to the same period in 2024, primarily due to a decrease in employee and external contributor software development costs.</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CASH FLOWS FROM FINANCING ACTIVITIES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Net cash used in financing activities was $1.6 million for the nine months ended September 30, 2025, primarily consisting of the repurchase and retirement of common stock, partially offset by proceeds from common stock purchased under the 2021 Stock Purchase and Matching Plan (the "Matching Plan").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During the nine months ended September 30, 2024, net cash used for financing activities primarily consisted of (i) the repayment of the revolving line of credit and the amortizing term mortgage, and (ii) the repurchase and retirement of common stock. This was partially offset by proceeds from common stock purchased under the Matching Plan.</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SHARE REPURCHASE PROGRAM</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May 10, 2022, the Executive Committee of the Board of Directors (the "Executive Committee") approved a share repurchase program with authorization to purchase up to $50.0 million of shares of Class A common stock ("2022 Share Repurchase Program"). The 2022 Share Repurchase Program authorized us to repurchase shares from time to time through open market purchases, in privately negotiated transactions or by other means, including the use of trading plans intended to qualify under Rule 10b5-1 of the Securities Exchange Act of 1934, as amended (the "Exchange Act"), in accordance with applicable securities laws and other restrictions. The 2022 Share Repurchase Program, which would have expired in March 2025, was replaced with the 2025 Share Repurchase Program described below.</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February 25, 2025, the Executive Committee approved a new share repurchase program with authorization to purchase up to $50.0 million of shares of Class A common stock that expires on March 31, 2028 ("2025 Share Repurchase Program"). Under the 2025 Share Repurchase Program, we may repurchase shares from time to time through open market purchases, in privately negotiated transactions or by other means, including through the use of trading plans intended to qualify under Rule 10b5-1 under the Exchange Act, in accordance with applicable securities laws and other restrictions. The actual timing and total amount of future repurchases are subject to business, economic and market conditions, corporate and regulatory requirements, prevailing stock prices, restrictions under the terms of our current and future debt agreements and other considerations. The 2025 Share Repurchase Program does not obligate us to acquire any particular amount of Class A common stock, and the program may be suspended or terminated at any time by us at any time at our discretion without prior notice.</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As of September 30, 2025, we had $44.0 million remaining under the 2025 Share Repurchase Program, not including amounts used for net share settlement of vested equity incentive awards. See Note 8 to our condensed consolidated financial statements included elsewhere in this Quarterly Report on Form 10-Q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599440"/>
                <wp:effectExtent l="0" t="0" r="0" b="0"/>
                <wp:wrapNone/>
                <wp:docPr id="41" name="Frame40"/>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CREDIT FACILITIES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Amortizing Term Mortgage</w:t>
      </w:r>
    </w:p>
    <w:p>
      <w:pPr>
        <w:pStyle w:val="TextBody"/>
        <w:bidi w:val="0"/>
        <w:spacing w:lineRule="auto" w:line="288" w:before="0" w:after="160"/>
        <w:jc w:val="left"/>
        <w:rPr/>
      </w:pPr>
      <w:r>
        <w:rPr>
          <w:rFonts w:ascii="Expensify Neue;sans-serif" w:hAnsi="Expensify Neue;sans-serif"/>
          <w:b w:val="false"/>
          <w:color w:val="000000"/>
          <w:sz w:val="20"/>
        </w:rPr>
        <w:t xml:space="preserve">In August 2019, we entered into an $8.3 million amortizing term mortgage agreement with CIBC for our commercial building located in Portland, Oregon. The agreement required principal and interest payments due each month over a five-year period. Interest accrued at a fixed rate of 5.00% per year until August 2024, at which point the remaining outstanding principal balance on the amortizing term mortgage was due in full. The borrowings were secured by the building. On August 29, 2024, we repaid in full the then-outstanding balance of $7.6 million and an immaterial amount of accrued interest and terminated the associated mortgage agreement with CIBC and secured promissory note. </w:t>
      </w:r>
      <w:r>
        <w:rPr>
          <w:rFonts w:ascii="Expensify Neue;sans-serif" w:hAnsi="Expensify Neue;sans-serif"/>
          <w:b w:val="false"/>
          <w:color w:val="000000"/>
          <w:sz w:val="20"/>
          <w:shd w:fill="FFFFFF" w:val="clear"/>
        </w:rPr>
        <w:t xml:space="preserve">See Note 4 to our condensed consolidated financial statements included elsewhere in this Quarterly Report on Form 10-Q for further information. </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Loan and Security Agreement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In February 2024, we entered into a Second Amended and Restated Loan and Security Agreement (as amended by the amendments described below, the "2024 Amended Loan and Security Agreement") with CIBC. The 2024 Amended Loan and Security Agreement provided for a $25.0 million revolving credit facility that was set to expire in September 2025. Borrowings under the revolving line of credit accrued interest at CIBC’s reference rate plus 1.00% and were secured by substantially all of our assets.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In April 2024, we entered into an irrevocable standby letter of credit (the "Letter of Credit") issued under the 2024 Amended Loan and Security Agreement to reduce cash collateral requirements in connection with the Updated Card Program. The Letter of Credit was issued in the amount of $1.0 million for the benefit of Bancorp. The Letter of Credit was renewed on February 28, 2025 and expires on March 20, 2026. On April 16, 2025, we entered into an amendment to the irrevocable standby letter of credit to increase the Letter of Credit to $7.5 million. No amounts had been drawn on the Letter of Credit as of September 30, 2025.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May 2024, we entered into a First Amendment to the 2024 Amended Loan and Security Agreement, which amended the covenant restricting the amount of repurchases of common stock to allow for certain additional repurchase activity and provided a waiver for our non-compliance during prior periods with the previous version of such covenant.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July 10, 2024, the then-outstanding balance of $15.0 million and an immaterial amount of accrued interest on the revolving line of credit were repaid in full.</w:t>
      </w:r>
    </w:p>
    <w:p>
      <w:pPr>
        <w:pStyle w:val="TextBody"/>
        <w:bidi w:val="0"/>
        <w:spacing w:lineRule="auto" w:line="288" w:before="0" w:after="160"/>
        <w:jc w:val="left"/>
        <w:rPr>
          <w:rFonts w:ascii="Expensify Neue;sans-serif" w:hAnsi="Expensify Neue;sans-serif"/>
          <w:b w:val="false"/>
          <w:color w:val="000000"/>
          <w:sz w:val="20"/>
          <w:shd w:fill="FFFFFF" w:val="clear"/>
        </w:rPr>
      </w:pPr>
      <w:r>
        <w:rPr>
          <w:rFonts w:ascii="Expensify Neue;sans-serif" w:hAnsi="Expensify Neue;sans-serif"/>
          <w:b w:val="false"/>
          <w:color w:val="000000"/>
          <w:sz w:val="20"/>
          <w:shd w:fill="FFFFFF" w:val="clear"/>
        </w:rPr>
        <w:t>In August 2024, we entered into a Second Amendment to the 2024 Amended Loan and Security Agreement, which permitted our wholly-owned subsidiary, 401 SW 5th Ave LLC, to remain an excluded subsidiary provided that the subsidiary does not engage in any operations or activities except to maintain legal existence and ownership of the real property or any related activities thereto, does not hold assets other than real estate assets, and does not incur any indebtedness except for intercompany liabilities permitted under the agreement or grant any liens.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February 2025, we entered into a Third Amendment to the 2024 Amended Loan and Security Agreement, which amended the covenant restricting the amount of repurchases of common stock, which includes net share settlements of stock-based awards, to allow for certain additional net share settlement activity.</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July 1, 2025, we terminated the revolving credit facility under our 2024 Amended Loan and Security Agreement. At the time of such termination, we had no borrowings under the revolving line of credit, and certain terms, including collateral security, survived the termination with respect to outstanding Contingent Obligations (as defined in the 2024 Amended Loan and Security Agreement) arising from Bank Services (as defined in the 2024 Amended Loan and Security Agreement). The Letter of Credit, which had no amounts drawn, also remained outstanding. We incurred no penalties as a result of the termination of the revolving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599440"/>
                <wp:effectExtent l="0" t="0" r="0" b="0"/>
                <wp:wrapNone/>
                <wp:docPr id="42" name="Frame41"/>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0000"/>
          <w:sz w:val="20"/>
        </w:rPr>
      </w:pPr>
      <w:r>
        <w:rPr>
          <w:rFonts w:ascii="Expensify Neue;sans-serif" w:hAnsi="Expensify Neue;sans-serif"/>
          <w:b/>
          <w:color w:val="000000"/>
          <w:sz w:val="20"/>
        </w:rPr>
        <w:t>Letter of Credit Security Agreement</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October 9, 2025, we entered into a Letter of Credit Facility and Security Agreement (the “LOC Security Agreement”) with CIBC. Following the termination of the revolving credit facility under the 2024 Amended Loan and Security Agreement on July 1, 2025, certain terms of the agreement survived the termination, including collateral security, and the Letter of Credit originally issued under the 2024 Amended Loan and Security Agreement remained outstanding. The LOC Security Agreement, among other things, provides for the issuance of additional irrevocable standby letters of credit, governs the terms of the Letter of Credit, and grants to CIBC, for the ratable benefit of the lenders, a security interest in substantially all of our assets, and replaces the 2024 Amended Loan and Security Agreement with respect to the Contingent Obligations. Under the LOC Security Agreement, the Letter of Credit remained at $7.5 million with an expiration date of March 20, 2026 under the LOC Security Agreement. No amounts had been drawn on the Letter of Credit as of October 9, 2025.</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Certain Covenants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As of October 9, 2025, we are subject to customary covenants under the LOC Security Agreement which, unless waived by CIBC, restrict our and our subsidiaries’ ability to, among other things, incur certain additional indebtedness, create or incur certain liens, permit a change of control, sell or transfer assets, pay dividends or make distributions, subject to certain exceptions.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Key Business Metrics and Non-GAAP Financial Measures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supplement the reporting of our financial information determined under U.S. generally accepted accounting principles ("GAAP") with certain business metrics and non-GAAP financial measures which we regularly review to evaluate our business, measure our performance, identify trends affecting our business, formulate business plans and make strategic decisions. Accordingly, we believe that these key business metrics and non-GAAP financial measures provide useful information to investors and others in understanding and evaluating our results of operations in the same manner as our management team. These key business metrics and non-GAAP financial measures are presented for supplemental informational purposes only, should not be considered a substitute for our financial information presented in accordance with GAAP and may be different from similarly titled metrics or measures presented by other companies.</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KEY BUSINESS METRICS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Paid Members</w:t>
      </w:r>
    </w:p>
    <w:p>
      <w:pPr>
        <w:pStyle w:val="TextBody"/>
        <w:bidi w:val="0"/>
        <w:spacing w:lineRule="auto" w:line="288" w:before="0" w:after="160"/>
        <w:jc w:val="left"/>
        <w:rPr/>
      </w:pPr>
      <w:r>
        <w:rPr>
          <w:rFonts w:ascii="Expensify Neue;sans-serif" w:hAnsi="Expensify Neue;sans-serif"/>
          <w:b w:val="false"/>
          <w:color w:val="000000"/>
          <w:sz w:val="20"/>
        </w:rPr>
        <w:t xml:space="preserve">We believe that our ability to increase the number of paid members on our platform drives our success as a business. Our customers pay for subscriptions on behalf of employees and contractors who use the platform, whom we refer to as paid members. We define paid members as the average number of users (employees, contractors, volunteers, team members, etc.) who are billed on </w:t>
      </w:r>
      <w:r>
        <w:rPr>
          <w:rFonts w:ascii="Expensify Neue;sans-serif" w:hAnsi="Expensify Neue;sans-serif"/>
          <w:b w:val="false"/>
          <w:i/>
          <w:color w:val="000000"/>
          <w:sz w:val="20"/>
        </w:rPr>
        <w:t>Collect</w:t>
      </w:r>
      <w:r>
        <w:rPr>
          <w:color w:val="000000"/>
        </w:rPr>
        <w:t xml:space="preserve"> </w:t>
      </w:r>
      <w:r>
        <w:rPr>
          <w:rFonts w:ascii="Expensify Neue;sans-serif" w:hAnsi="Expensify Neue;sans-serif"/>
          <w:b w:val="false"/>
          <w:color w:val="000000"/>
          <w:sz w:val="20"/>
        </w:rPr>
        <w:t xml:space="preserve">or </w:t>
      </w:r>
      <w:r>
        <w:rPr>
          <w:rFonts w:ascii="Expensify Neue;sans-serif" w:hAnsi="Expensify Neue;sans-serif"/>
          <w:b w:val="false"/>
          <w:i/>
          <w:color w:val="000000"/>
          <w:sz w:val="20"/>
        </w:rPr>
        <w:t>Control</w:t>
      </w:r>
      <w:r>
        <w:rPr>
          <w:color w:val="000000"/>
        </w:rPr>
        <w:t xml:space="preserve"> </w:t>
      </w:r>
      <w:r>
        <w:rPr>
          <w:rFonts w:ascii="Expensify Neue;sans-serif" w:hAnsi="Expensify Neue;sans-serif"/>
          <w:b w:val="false"/>
          <w:color w:val="000000"/>
          <w:sz w:val="20"/>
        </w:rPr>
        <w:t>plans during any particular quarter. For small and medium businesses or sole proprietors with only one employee, the business owner may also be the only paid member.</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sets forth the average number of paid members for each of the periods presented (in thousands):</w:t>
      </w:r>
    </w:p>
    <w:tbl>
      <w:tblPr>
        <w:tblW w:w="3866" w:type="dxa"/>
        <w:jc w:val="left"/>
        <w:tblInd w:w="0" w:type="dxa"/>
        <w:tblLayout w:type="fixed"/>
        <w:tblCellMar>
          <w:top w:w="28" w:type="dxa"/>
          <w:left w:w="28" w:type="dxa"/>
          <w:bottom w:w="28" w:type="dxa"/>
          <w:right w:w="28" w:type="dxa"/>
        </w:tblCellMar>
      </w:tblPr>
      <w:tblGrid>
        <w:gridCol w:w="755"/>
        <w:gridCol w:w="663"/>
        <w:gridCol w:w="666"/>
        <w:gridCol w:w="109"/>
        <w:gridCol w:w="109"/>
        <w:gridCol w:w="109"/>
        <w:gridCol w:w="426"/>
        <w:gridCol w:w="426"/>
        <w:gridCol w:w="603"/>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6"/>
              </w:rPr>
            </w:pPr>
            <w:r>
              <w:rPr>
                <w:rFonts w:ascii="Expensify Neue;sans-serif" w:hAnsi="Expensify Neue;sans-serif"/>
                <w:b/>
                <w:color w:val="000000"/>
                <w:sz w:val="16"/>
              </w:rPr>
              <w:t>Three Months Ended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Paid members</w:t>
            </w:r>
          </w:p>
        </w:tc>
      </w:tr>
      <w:tr>
        <w:trPr/>
        <w:tc>
          <w:tcPr>
            <w:tcW w:w="2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642</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684</w:t>
            </w:r>
          </w:p>
        </w:tc>
      </w:tr>
      <w:tr>
        <w:trPr/>
        <w:tc>
          <w:tcPr>
            <w:tcW w:w="20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599440"/>
                <wp:effectExtent l="0" t="0" r="0" b="0"/>
                <wp:wrapNone/>
                <wp:docPr id="43" name="Frame42"/>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NON-GAAP FINANCIAL MEASURES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Limitations of Non-GAAP Financial Measures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Adjusted EBITDA and Adjusted EBITDA Margin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define adjusted EBITDA as net loss excluding provision for income taxes, other (income) expenses, net, depreciation and amortization and stock-based compensation expense. We define adjusted EBITDA margin as adjusted EBITDA divided by total revenue for the same period. We are focused on profitable growth and we consider adjusted EBITDA to be an important measure because it helps illustrate underlying trends in our business that could otherwise be masked by the effect of the income or expenses that are not indicative of the core operating performance of our business.</w:t>
      </w:r>
    </w:p>
    <w:tbl>
      <w:tblPr>
        <w:tblW w:w="9667" w:type="dxa"/>
        <w:jc w:val="left"/>
        <w:tblInd w:w="0" w:type="dxa"/>
        <w:tblLayout w:type="fixed"/>
        <w:tblCellMar>
          <w:top w:w="28" w:type="dxa"/>
          <w:left w:w="28" w:type="dxa"/>
          <w:bottom w:w="28" w:type="dxa"/>
          <w:right w:w="28" w:type="dxa"/>
        </w:tblCellMar>
      </w:tblPr>
      <w:tblGrid>
        <w:gridCol w:w="906"/>
        <w:gridCol w:w="798"/>
        <w:gridCol w:w="801"/>
        <w:gridCol w:w="282"/>
        <w:gridCol w:w="881"/>
        <w:gridCol w:w="357"/>
        <w:gridCol w:w="136"/>
        <w:gridCol w:w="136"/>
        <w:gridCol w:w="136"/>
        <w:gridCol w:w="282"/>
        <w:gridCol w:w="881"/>
        <w:gridCol w:w="357"/>
        <w:gridCol w:w="109"/>
        <w:gridCol w:w="109"/>
        <w:gridCol w:w="109"/>
        <w:gridCol w:w="251"/>
        <w:gridCol w:w="918"/>
        <w:gridCol w:w="318"/>
        <w:gridCol w:w="121"/>
        <w:gridCol w:w="121"/>
        <w:gridCol w:w="121"/>
        <w:gridCol w:w="251"/>
        <w:gridCol w:w="918"/>
        <w:gridCol w:w="368"/>
      </w:tblGrid>
      <w:tr>
        <w:trPr/>
        <w:tc>
          <w:tcPr>
            <w:tcW w:w="90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Nine Months Ended September 30,</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Adjusted EBITDA</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6,503 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9,676 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13,557 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26,982 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Adjusted EBITDA margin</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26 </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5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Non-GAAP Net Income and Non-GAAP Net Income Margin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define non-GAAP net income as net loss excluding stock-based compensation expense. We define non-GAAP net income margin as non-GAAP net income divided by total revenue for the same period. We are focused on profitable growth and we consider non-GAAP net income to be an important measure because it helps illustrate underlying trends in our business that could otherwise be masked by the effect of stock-based compensation expense, which is not considered indicative of the core operating performance of our business.</w:t>
      </w:r>
    </w:p>
    <w:tbl>
      <w:tblPr>
        <w:tblW w:w="10192" w:type="dxa"/>
        <w:jc w:val="left"/>
        <w:tblInd w:w="0" w:type="dxa"/>
        <w:tblLayout w:type="fixed"/>
        <w:tblCellMar>
          <w:top w:w="28" w:type="dxa"/>
          <w:left w:w="28" w:type="dxa"/>
          <w:bottom w:w="28" w:type="dxa"/>
          <w:right w:w="28" w:type="dxa"/>
        </w:tblCellMar>
      </w:tblPr>
      <w:tblGrid>
        <w:gridCol w:w="1098"/>
        <w:gridCol w:w="963"/>
        <w:gridCol w:w="969"/>
        <w:gridCol w:w="282"/>
        <w:gridCol w:w="881"/>
        <w:gridCol w:w="357"/>
        <w:gridCol w:w="136"/>
        <w:gridCol w:w="136"/>
        <w:gridCol w:w="136"/>
        <w:gridCol w:w="282"/>
        <w:gridCol w:w="881"/>
        <w:gridCol w:w="357"/>
        <w:gridCol w:w="109"/>
        <w:gridCol w:w="109"/>
        <w:gridCol w:w="109"/>
        <w:gridCol w:w="261"/>
        <w:gridCol w:w="817"/>
        <w:gridCol w:w="331"/>
        <w:gridCol w:w="126"/>
        <w:gridCol w:w="126"/>
        <w:gridCol w:w="126"/>
        <w:gridCol w:w="261"/>
        <w:gridCol w:w="956"/>
        <w:gridCol w:w="383"/>
      </w:tblGrid>
      <w:tr>
        <w:trPr/>
        <w:tc>
          <w:tcPr>
            <w:tcW w:w="109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Nine Months Ended September 30,</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Non-GAAP net income</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4,348 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5,432 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7,308 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14,792 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Non-GAAP net income margin</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0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599440"/>
                <wp:effectExtent l="0" t="0" r="0" b="0"/>
                <wp:wrapNone/>
                <wp:docPr id="44" name="Frame43"/>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Free Cash Flow and Free Cash Flow Margin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We define free cash flow as net cash provided by operating activities excluding changes in settlement assets and liabilities, which represent funds held for customers and customer funds in transit, respectively, reduced by the purchases of property and equipment and software development costs. We define free cash flow margin as free cash flow divided by total revenue for the same period.</w:t>
      </w:r>
    </w:p>
    <w:p>
      <w:pPr>
        <w:pStyle w:val="TextBody"/>
        <w:bidi w:val="0"/>
        <w:spacing w:lineRule="auto" w:line="288" w:before="0" w:after="160"/>
        <w:jc w:val="left"/>
        <w:rPr>
          <w:rFonts w:ascii="Expensify Neue;sans-serif" w:hAnsi="Expensify Neue;sans-serif"/>
          <w:b w:val="false"/>
          <w:i/>
          <w:color w:val="000000"/>
          <w:sz w:val="20"/>
        </w:rPr>
      </w:pPr>
      <w:r>
        <w:rPr>
          <w:rFonts w:ascii="Expensify Neue;sans-serif" w:hAnsi="Expensify Neue;sans-serif"/>
          <w:b w:val="false"/>
          <w:i/>
          <w:color w:val="000000"/>
          <w:sz w:val="20"/>
        </w:rPr>
        <w:t>Free Cash Flow and Free Cash Flow Margin</w:t>
      </w:r>
    </w:p>
    <w:tbl>
      <w:tblPr>
        <w:tblW w:w="9426" w:type="dxa"/>
        <w:jc w:val="left"/>
        <w:tblInd w:w="0" w:type="dxa"/>
        <w:tblLayout w:type="fixed"/>
        <w:tblCellMar>
          <w:top w:w="28" w:type="dxa"/>
          <w:left w:w="28" w:type="dxa"/>
          <w:bottom w:w="28" w:type="dxa"/>
          <w:right w:w="28" w:type="dxa"/>
        </w:tblCellMar>
      </w:tblPr>
      <w:tblGrid>
        <w:gridCol w:w="821"/>
        <w:gridCol w:w="718"/>
        <w:gridCol w:w="725"/>
        <w:gridCol w:w="282"/>
        <w:gridCol w:w="881"/>
        <w:gridCol w:w="357"/>
        <w:gridCol w:w="136"/>
        <w:gridCol w:w="136"/>
        <w:gridCol w:w="136"/>
        <w:gridCol w:w="282"/>
        <w:gridCol w:w="881"/>
        <w:gridCol w:w="357"/>
        <w:gridCol w:w="109"/>
        <w:gridCol w:w="109"/>
        <w:gridCol w:w="109"/>
        <w:gridCol w:w="251"/>
        <w:gridCol w:w="918"/>
        <w:gridCol w:w="318"/>
        <w:gridCol w:w="121"/>
        <w:gridCol w:w="121"/>
        <w:gridCol w:w="121"/>
        <w:gridCol w:w="251"/>
        <w:gridCol w:w="918"/>
        <w:gridCol w:w="368"/>
      </w:tblGrid>
      <w:tr>
        <w:trPr/>
        <w:tc>
          <w:tcPr>
            <w:tcW w:w="821"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Nine Months Ended September 30,</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Free cash flow</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1,228 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6,679 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16,643 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17,589 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Free cash flow margin</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17 </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22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i/>
          <w:color w:val="000000"/>
          <w:sz w:val="20"/>
        </w:rPr>
      </w:pPr>
      <w:r>
        <w:rPr>
          <w:rFonts w:ascii="Expensify Neue;sans-serif" w:hAnsi="Expensify Neue;sans-serif"/>
          <w:b/>
          <w:i/>
          <w:color w:val="000000"/>
          <w:sz w:val="20"/>
        </w:rPr>
        <w:t>Reconciliations of Non-GAAP Financial Measures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tables reconcile the most directly comparable GAAP financial measure to each of these non-GAAP financial measures.</w:t>
      </w:r>
    </w:p>
    <w:p>
      <w:pPr>
        <w:pStyle w:val="TextBody"/>
        <w:bidi w:val="0"/>
        <w:spacing w:lineRule="auto" w:line="288" w:before="0" w:after="160"/>
        <w:jc w:val="left"/>
        <w:rPr>
          <w:rFonts w:ascii="Expensify Neue;sans-serif" w:hAnsi="Expensify Neue;sans-serif"/>
          <w:b w:val="false"/>
          <w:i/>
          <w:color w:val="000000"/>
          <w:sz w:val="20"/>
        </w:rPr>
      </w:pPr>
      <w:r>
        <w:rPr>
          <w:rFonts w:ascii="Expensify Neue;sans-serif" w:hAnsi="Expensify Neue;sans-serif"/>
          <w:b w:val="false"/>
          <w:i/>
          <w:color w:val="000000"/>
          <w:sz w:val="20"/>
        </w:rPr>
        <w:t>Adjusted EBITDA and Adjusted EBITDA Margin</w:t>
      </w:r>
    </w:p>
    <w:tbl>
      <w:tblPr>
        <w:tblW w:w="10205" w:type="dxa"/>
        <w:jc w:val="left"/>
        <w:tblInd w:w="0" w:type="dxa"/>
        <w:tblLayout w:type="fixed"/>
        <w:tblCellMar>
          <w:top w:w="28" w:type="dxa"/>
          <w:left w:w="28" w:type="dxa"/>
          <w:bottom w:w="28" w:type="dxa"/>
          <w:right w:w="28" w:type="dxa"/>
        </w:tblCellMar>
      </w:tblPr>
      <w:tblGrid>
        <w:gridCol w:w="1262"/>
        <w:gridCol w:w="989"/>
        <w:gridCol w:w="980"/>
        <w:gridCol w:w="257"/>
        <w:gridCol w:w="892"/>
        <w:gridCol w:w="325"/>
        <w:gridCol w:w="123"/>
        <w:gridCol w:w="123"/>
        <w:gridCol w:w="123"/>
        <w:gridCol w:w="257"/>
        <w:gridCol w:w="892"/>
        <w:gridCol w:w="325"/>
        <w:gridCol w:w="109"/>
        <w:gridCol w:w="109"/>
        <w:gridCol w:w="109"/>
        <w:gridCol w:w="240"/>
        <w:gridCol w:w="960"/>
        <w:gridCol w:w="304"/>
        <w:gridCol w:w="115"/>
        <w:gridCol w:w="115"/>
        <w:gridCol w:w="115"/>
        <w:gridCol w:w="240"/>
        <w:gridCol w:w="879"/>
        <w:gridCol w:w="362"/>
      </w:tblGrid>
      <w:tr>
        <w:trPr/>
        <w:tc>
          <w:tcPr>
            <w:tcW w:w="126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Nine Months Ended September 30,</w:t>
            </w:r>
          </w:p>
        </w:tc>
      </w:tr>
      <w:tr>
        <w:trPr/>
        <w:tc>
          <w:tcPr>
            <w:tcW w:w="3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r>
      <w:tr>
        <w:trPr/>
        <w:tc>
          <w:tcPr>
            <w:tcW w:w="3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(2,315)</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(2,198)</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(14,272)</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(8,743)</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margin</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Add:</w:t>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Provision for income taxes</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154 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2,667 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1,499 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6,425 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Other (income) expenses, net</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(96)</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(181)</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(1,309)</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1,033 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Depreciation and amortization</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2,097 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1,758 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6,059 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4,732 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Stock-based compensation expense</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6,663 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7,630 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21,580 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23,535 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Adjusted EBITDA</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6,503 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9,676 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13,557 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26,982 </w:t>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Adjusted EBITDA margin</w:t>
            </w:r>
          </w:p>
        </w:tc>
        <w:tc>
          <w:tcPr>
            <w:tcW w:w="114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19 </w:t>
            </w:r>
          </w:p>
        </w:tc>
        <w:tc>
          <w:tcPr>
            <w:tcW w:w="3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27 </w:t>
            </w:r>
          </w:p>
        </w:tc>
        <w:tc>
          <w:tcPr>
            <w:tcW w:w="3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13 </w:t>
            </w:r>
          </w:p>
        </w:tc>
        <w:tc>
          <w:tcPr>
            <w:tcW w:w="3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26 </w:t>
            </w:r>
          </w:p>
        </w:tc>
        <w:tc>
          <w:tcPr>
            <w:tcW w:w="3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2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599440"/>
                <wp:effectExtent l="0" t="0" r="0" b="0"/>
                <wp:wrapNone/>
                <wp:docPr id="45" name="Frame44"/>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39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val="false"/>
          <w:i/>
          <w:color w:val="000000"/>
          <w:sz w:val="20"/>
        </w:rPr>
      </w:pPr>
      <w:r>
        <w:rPr>
          <w:rFonts w:ascii="Expensify Neue;sans-serif" w:hAnsi="Expensify Neue;sans-serif"/>
          <w:b w:val="false"/>
          <w:i/>
          <w:color w:val="000000"/>
          <w:sz w:val="20"/>
        </w:rPr>
        <w:t>Non-GAAP Net Income and Non-GAAP Net Income Margin</w:t>
      </w:r>
    </w:p>
    <w:tbl>
      <w:tblPr>
        <w:tblW w:w="10205" w:type="dxa"/>
        <w:jc w:val="left"/>
        <w:tblInd w:w="0" w:type="dxa"/>
        <w:tblLayout w:type="fixed"/>
        <w:tblCellMar>
          <w:top w:w="28" w:type="dxa"/>
          <w:left w:w="28" w:type="dxa"/>
          <w:bottom w:w="28" w:type="dxa"/>
          <w:right w:w="28" w:type="dxa"/>
        </w:tblCellMar>
      </w:tblPr>
      <w:tblGrid>
        <w:gridCol w:w="1182"/>
        <w:gridCol w:w="1035"/>
        <w:gridCol w:w="1015"/>
        <w:gridCol w:w="257"/>
        <w:gridCol w:w="892"/>
        <w:gridCol w:w="325"/>
        <w:gridCol w:w="123"/>
        <w:gridCol w:w="123"/>
        <w:gridCol w:w="123"/>
        <w:gridCol w:w="257"/>
        <w:gridCol w:w="892"/>
        <w:gridCol w:w="325"/>
        <w:gridCol w:w="109"/>
        <w:gridCol w:w="109"/>
        <w:gridCol w:w="109"/>
        <w:gridCol w:w="240"/>
        <w:gridCol w:w="960"/>
        <w:gridCol w:w="304"/>
        <w:gridCol w:w="115"/>
        <w:gridCol w:w="115"/>
        <w:gridCol w:w="115"/>
        <w:gridCol w:w="240"/>
        <w:gridCol w:w="879"/>
        <w:gridCol w:w="361"/>
      </w:tblGrid>
      <w:tr>
        <w:trPr/>
        <w:tc>
          <w:tcPr>
            <w:tcW w:w="1182"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23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Nine Months Ended September 30,</w:t>
            </w:r>
          </w:p>
        </w:tc>
      </w:tr>
      <w:tr>
        <w:trPr/>
        <w:tc>
          <w:tcPr>
            <w:tcW w:w="3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r>
      <w:tr>
        <w:trPr/>
        <w:tc>
          <w:tcPr>
            <w:tcW w:w="3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3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(2,315)</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(2,198)</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(14,272)</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(8,743)</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loss margin</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Add:</w:t>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Stock-based compensation expense</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6,663 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7,630 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21,580 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23,535 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Non-GAAP net income</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4,348 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5,432 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7,308 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14,792 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Non-GAAP net income margin</w:t>
            </w:r>
          </w:p>
        </w:tc>
        <w:tc>
          <w:tcPr>
            <w:tcW w:w="114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12 </w:t>
            </w:r>
          </w:p>
        </w:tc>
        <w:tc>
          <w:tcPr>
            <w:tcW w:w="3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15 </w:t>
            </w:r>
          </w:p>
        </w:tc>
        <w:tc>
          <w:tcPr>
            <w:tcW w:w="3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7 </w:t>
            </w:r>
          </w:p>
        </w:tc>
        <w:tc>
          <w:tcPr>
            <w:tcW w:w="30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14 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23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Expensify Neue;sans-serif" w:hAnsi="Expensify Neue;sans-serif"/>
          <w:b w:val="false"/>
          <w:i/>
          <w:color w:val="000000"/>
          <w:sz w:val="20"/>
        </w:rPr>
      </w:pPr>
      <w:r>
        <w:rPr>
          <w:rFonts w:ascii="Expensify Neue;sans-serif" w:hAnsi="Expensify Neue;sans-serif"/>
          <w:b w:val="false"/>
          <w:i/>
          <w:color w:val="000000"/>
          <w:sz w:val="20"/>
        </w:rPr>
        <w:t>Free Cash Flow and Free Cash Flow Margin</w:t>
      </w:r>
    </w:p>
    <w:tbl>
      <w:tblPr>
        <w:tblW w:w="10205" w:type="dxa"/>
        <w:jc w:val="left"/>
        <w:tblInd w:w="0" w:type="dxa"/>
        <w:tblLayout w:type="fixed"/>
        <w:tblCellMar>
          <w:top w:w="28" w:type="dxa"/>
          <w:left w:w="28" w:type="dxa"/>
          <w:bottom w:w="28" w:type="dxa"/>
          <w:right w:w="28" w:type="dxa"/>
        </w:tblCellMar>
      </w:tblPr>
      <w:tblGrid>
        <w:gridCol w:w="1393"/>
        <w:gridCol w:w="1068"/>
        <w:gridCol w:w="1074"/>
        <w:gridCol w:w="254"/>
        <w:gridCol w:w="796"/>
        <w:gridCol w:w="322"/>
        <w:gridCol w:w="122"/>
        <w:gridCol w:w="122"/>
        <w:gridCol w:w="122"/>
        <w:gridCol w:w="254"/>
        <w:gridCol w:w="796"/>
        <w:gridCol w:w="322"/>
        <w:gridCol w:w="109"/>
        <w:gridCol w:w="109"/>
        <w:gridCol w:w="109"/>
        <w:gridCol w:w="238"/>
        <w:gridCol w:w="873"/>
        <w:gridCol w:w="302"/>
        <w:gridCol w:w="115"/>
        <w:gridCol w:w="115"/>
        <w:gridCol w:w="115"/>
        <w:gridCol w:w="238"/>
        <w:gridCol w:w="873"/>
        <w:gridCol w:w="364"/>
      </w:tblGrid>
      <w:tr>
        <w:trPr/>
        <w:tc>
          <w:tcPr>
            <w:tcW w:w="1393"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353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Three Months Ended 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Nine Months Ended September 30,</w:t>
            </w:r>
          </w:p>
        </w:tc>
      </w:tr>
      <w:tr>
        <w:trPr/>
        <w:tc>
          <w:tcPr>
            <w:tcW w:w="3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2024</w:t>
            </w:r>
          </w:p>
        </w:tc>
      </w:tr>
      <w:tr>
        <w:trPr/>
        <w:tc>
          <w:tcPr>
            <w:tcW w:w="3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 thousands, except percentages)</w:t>
            </w:r>
          </w:p>
        </w:tc>
      </w:tr>
      <w:tr>
        <w:trPr/>
        <w:tc>
          <w:tcPr>
            <w:tcW w:w="3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Net cash provided by operating activities</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4,166 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3,687 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17,887 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16,475 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Operating cash flow margin</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(Increase) decrease in changes in assets and liabilities:</w:t>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Settlement assets,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(3,708)</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5,326 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7,906 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13,202 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Settlement liabilities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1,855 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(502)</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(6,393)</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(5,389)</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Less:</w:t>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Purchases of property and equipment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Software development costs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(1,085)</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(1,832)</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(2,740)</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(6,699)</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Free cash flow</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1,228 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6,679 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16,643 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17,589 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Free cash flow margin</w:t>
            </w:r>
          </w:p>
        </w:tc>
        <w:tc>
          <w:tcPr>
            <w:tcW w:w="105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4 </w:t>
            </w:r>
          </w:p>
        </w:tc>
        <w:tc>
          <w:tcPr>
            <w:tcW w:w="3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19 </w:t>
            </w:r>
          </w:p>
        </w:tc>
        <w:tc>
          <w:tcPr>
            <w:tcW w:w="3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16 </w:t>
            </w:r>
          </w:p>
        </w:tc>
        <w:tc>
          <w:tcPr>
            <w:tcW w:w="3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17 </w:t>
            </w:r>
          </w:p>
        </w:tc>
        <w:tc>
          <w:tcPr>
            <w:tcW w:w="3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w:t>
            </w:r>
          </w:p>
        </w:tc>
      </w:tr>
      <w:tr>
        <w:trPr/>
        <w:tc>
          <w:tcPr>
            <w:tcW w:w="35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Contractual Obligations and Commitments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As of September 30, 2025, there have been no material changes in our contractual obligations and commitments as disclosed in our 2024 Annual Report. As discussed elsewhere in this Quarterly Report on Form 10-Q, on July 1, 2025, we terminated our 2024 Amended Loan and Security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599440"/>
                <wp:effectExtent l="0" t="0" r="0" b="0"/>
                <wp:wrapNone/>
                <wp:docPr id="46" name="Frame45"/>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40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40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 xml:space="preserve">Indemnification Agreements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the ordinary course of business, we enter into agreements of varying scope and terms whereby we agree to indemnify customers, issuing banks, card networks, vendors and other parties with respect to certain matters, including, but not limited to, losses arising out of the breach of such agreements, services to be provided by us or from intellectual property infringement claims made by third parties. In addition,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Condensed Consolidated Balance Sheets, Condensed Consolidated Statements of Operations, Condensed Consolidated Statements of Changes in Stockholders’ Equity, or Condensed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Off-Balance Sheet Arrangements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During the periods presented, we did not have,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Critical Accounting Policies and Estimates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 xml:space="preserve">Our condensed consolidated financial statements included elsewhere herein have been prepared in accordance with GAAP. The preparation of our condensed consolidated financial statements requires us to make estimates and judgments that affect our reported amounts of assets, liabilities, revenues and expenses. We base our estimates on historical experience and on various other assumptions that we believe are reasonable under the circumstances. Actual results may differ from these estimates under different assumptions or conditions.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There have been no material changes to our critical accounting policies and estimates as compared to those described in Part II, Item 7. “Management’s Discussion and Analysis of Financial Condition and Results of Operations” included in our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Expensify Neue;sans-serif" w:hAnsi="Expensify Neue;sans-serif"/>
          <w:b/>
          <w:color w:val="002E22"/>
          <w:sz w:val="32"/>
        </w:rPr>
        <w:t>Recent Accounting Pronouncements</w:t>
      </w:r>
      <w:r>
        <w:rPr>
          <w:color w:val="000000"/>
        </w:rPr>
        <w:t xml:space="preserve"> </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See Note 1 to our condensed consolidated financial statements included elsewhere in this Quarterly Report on Form 10-Q for recently issued accounting pronouncements not yet adopted as of the date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3. Quantitative and Qualitative Disclosures About Market Risk</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There have been no material changes in our market risk from the disclosure included under Part II, Item 7A. “Quantitative and Qualitative Disclosures About Market Risk” in our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599440"/>
                <wp:effectExtent l="0" t="0" r="0" b="0"/>
                <wp:wrapNone/>
                <wp:docPr id="47" name="Frame46"/>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41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4. Controls and Procedures</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EVALUATION OF DISCLOSURE CONTROLS AND PROCEDURES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 Our disclosure controls and procedures are designed to provide reasonable assurance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Securities and Exchange Commission ("SEC") rules and forms. Based on such evaluation, our chief executive officer and chief financial officer have concluded that as of September 30, 2025, our disclosure controls and procedures were effective at a reasonable assurance level.</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CHANGES IN INTERNAL CONTROL OVER FINANCIAL REPORTING</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There were no changes in our internal control over financial reporting identified in connection with the evaluation required by Rules 13a-15(d) and 15d-15(d) of the Exchange Act that occurred during the period covered by this Quarterly Report on Form 10-Q that has materially affected, or is reasonably likely to materially affect, our internal control over financial reporting.</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LIMITATIONS OF EFFECTIVENESS OF CONTROLS AND PROCEDURES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designing and evaluating our disclosure controls and procedures,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599440"/>
                <wp:effectExtent l="0" t="0" r="0" b="0"/>
                <wp:wrapNone/>
                <wp:docPr id="48" name="Frame47"/>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42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42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before="0" w:after="160"/>
        <w:jc w:val="left"/>
        <w:rPr/>
      </w:pPr>
      <w:r>
        <w:rPr/>
      </w:r>
    </w:p>
    <w:p>
      <w:pPr>
        <w:pStyle w:val="TextBody"/>
        <w:bidi w:val="0"/>
        <w:spacing w:lineRule="auto" w:line="288" w:before="0" w:after="320"/>
        <w:jc w:val="left"/>
        <w:rPr>
          <w:rFonts w:ascii="Expensify New Kansas Medium;sans-serif" w:hAnsi="Expensify New Kansas Medium;sans-serif"/>
          <w:b/>
          <w:color w:val="002E22"/>
          <w:sz w:val="36"/>
        </w:rPr>
      </w:pPr>
      <w:r>
        <w:rPr>
          <w:rFonts w:ascii="Expensify New Kansas Medium;sans-serif" w:hAnsi="Expensify New Kansas Medium;sans-serif"/>
          <w:b/>
          <w:color w:val="002E22"/>
          <w:sz w:val="36"/>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1. Legal Proceedings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November 29, 2023, a putative securities class action (the “Putative Class Action”) was filed in the United States District Court for the District of Oregon captioned Wilhite v. Expensify, Inc., et al., Case No. 3:23-cv-01784-JR, naming us, two of our executive officers and two of our former directors as defendants (collectively, the “Defendants”). The lawsuit is purportedly brought on behalf of all those who purchase or acquired our stock pursuant or traceable to our initial public offering (“IPO”). The complaint alleges claims under Sections 11 and 15 of the Securities Act of 1933 based on allegedly false or misleading statements in the offering documents filed in connection with our IPO. The lawsuit seeks unspecified damages and other relief. On January 29, 2024, three shareholders moved to be appointed lead plaintiff in the Putative Class Action. The court appointed a lead plaintiff and lead counsel on March 11, 2024. Pursuant to the parties’ stipulation, the lead plaintiff’s amended complaint was filed May 10, 2024, naming six of our current board members as additional defendants (together with the Defendants, the “Amended Defendants”). Amended Defendants’ motion to dismiss the amended complaint was filed on July 9, 2024. The lead plaintiff’s opposition was filed on September 6, 2024, and the Amended Defendants’ reply was filed on October 18, 2024. On December 30, 2024, the magistrate judge issued findings and recommendation that the Amended Defendants’ motion to dismiss be granted in part and denied in part. The lead plaintiff and Amended Defendants each filed objections to the magistrate judge’s findings and recommendation on January 21, 2025, and responses to the objections on February 4, 2025. On March 24, 2025, the court adopted, with certain modifications, the magistrate judge's findings and recommendation. The defendants intend to deny the allegations of wrongdoing and vigorously defend against the claims in the Putative Class Action.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May 9, 2024, a shareholder derivative lawsuit was filed in the United States District Court for the District of Oregon captioned O’Halloran v. Barrett, et al., Case No. 3:24-cv-00775 (the “O’Halloran Action”), purportedly on our behalf, naming us as nominal defendant, and all of our current board members and executive officers and two of our former directors as defendants (collectively, the “Derivative Defendants”). On August 14, 2024, the Court stayed the O’Halloran Action pending resolution of any and all motion(s) to dismiss the Putative Class Action.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December 18, 2024, a shareholder derivative lawsuit was filed in the United States District Court for the District of Oregon captioned Da Silva v. Barrett, et al., Case No. 3:24-cv-02095 (the “Da Silva Action” and with the O’Halloran Action, the “Derivative Action”), purportedly on our behalf against the Derivative Defendants and asserting substantively the same claims as those asserted in the O’Halloran Action. On January 2, 2025, the parties to the Derivative Action filed a stipulation to consolidate the O’Halloran and Da Silva Actions and apply the stay entered in the O’Halloran Action to the Derivative Action. On February 10, 2025, the Court consolidated the O’Halloran and Da Silva Actions and applied the existing stay to the consolidated action under the caption In re Expensify, Inc. Derivative Litigation, Case No. 3:24-cv-00775-SI. On September 30, 2025, the Court granted the parties’ stipulation to continue the stay of the Derivative Action until final resolution of the Putative Class Action. The Derivative Defendants deny the allegations of wrongdoing and will continue to vigorously defend against the claims in the Derivative Action.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On July 23, 2025 a shareholder derivative lawsuit was filed in the United States District Court for the District of Oregon captioned Choi v. Barrett, et al., Case No. 3:25-cv-1300 (the “Choi Action”), purportedly on our behalf against the Derivative Defendants and asserting substantively the same claims as those asserted in the O’Halloran Action. On October 20, 2025, the Court granted the parties’ stipulation to stay the Choi Action pending final resolution of the Putative Class Action. The Derivative Defendants deny the allegations of wrongdoing and will continue to vigorously defend against the claims in the Derivative 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599440"/>
                <wp:effectExtent l="0" t="0" r="0" b="0"/>
                <wp:wrapNone/>
                <wp:docPr id="49" name="Frame48"/>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43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In addition to the matter described above, 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We have received, and may in the future continue to receive, claims from third parties asserting, among other things, infringement of their intellectual property rights. Defending such proceedings is costly and can impose a significant burden on management and employees. We may receive unfavorable preliminary or interim rulings in the course of litigation, and there can be no assurances that favorable final outcomes will be obtained. The results of any current or future litigation cannot be predicted with certainty. Regardless of the outcome, any litigation can have an adverse impact on our company as a result of defense and settlement costs, the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1A. Risk Factors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There have been no material changes to the risk factors set forth in Part I, Item IA. “Risk Factors” of our 2024 Annual Report, as supplemented by the risk factors set forth in Part II, Item 1A. “Risk Factors” of our Quarterly Report on Form 10-Q for the quarterly period ended March 31, 2025. You should carefully read and consider the risks and uncertainties, together with all of the other information included in the 2024 Annual Report and this Quarterly Report on Form 10-Q, including the section titled "Management's Discussion and Analysis of Financial Condition and Results of Operations" and our condensed consolidated financial statements and related notes, and in the other documents that we file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599440"/>
                <wp:effectExtent l="0" t="0" r="0" b="0"/>
                <wp:wrapNone/>
                <wp:docPr id="50" name="Frame49"/>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44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44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before="0" w:after="160"/>
        <w:jc w:val="left"/>
        <w:rPr/>
      </w:pPr>
      <w:r>
        <w:rPr/>
      </w: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2. Unregistered Sales of Equity Securities and Use of Proceeds</w:t>
      </w:r>
    </w:p>
    <w:p>
      <w:pPr>
        <w:pStyle w:val="TextBody"/>
        <w:bidi w:val="0"/>
        <w:spacing w:lineRule="auto" w:line="288" w:before="0" w:after="160"/>
        <w:jc w:val="left"/>
        <w:rPr>
          <w:rFonts w:ascii="Expensify Neue;sans-serif" w:hAnsi="Expensify Neue;sans-serif"/>
          <w:b/>
          <w:color w:val="03D47C"/>
          <w:sz w:val="20"/>
        </w:rPr>
      </w:pPr>
      <w:r>
        <w:rPr>
          <w:rFonts w:ascii="Expensify Neue;sans-serif" w:hAnsi="Expensify Neue;sans-serif"/>
          <w:b/>
          <w:color w:val="03D47C"/>
          <w:sz w:val="20"/>
        </w:rPr>
        <w:t>ISSUER PURCHASES OF EQUITY SECURITIES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The following table sets forth information regarding our purchases of shares of Class A common stock during the three months ended September 30, 2025.</w:t>
      </w:r>
    </w:p>
    <w:tbl>
      <w:tblPr>
        <w:tblW w:w="10205" w:type="dxa"/>
        <w:jc w:val="left"/>
        <w:tblInd w:w="0" w:type="dxa"/>
        <w:tblLayout w:type="fixed"/>
        <w:tblCellMar>
          <w:top w:w="28" w:type="dxa"/>
          <w:left w:w="28" w:type="dxa"/>
          <w:bottom w:w="28" w:type="dxa"/>
          <w:right w:w="28" w:type="dxa"/>
        </w:tblCellMar>
      </w:tblPr>
      <w:tblGrid>
        <w:gridCol w:w="937"/>
        <w:gridCol w:w="761"/>
        <w:gridCol w:w="287"/>
        <w:gridCol w:w="487"/>
        <w:gridCol w:w="487"/>
        <w:gridCol w:w="489"/>
        <w:gridCol w:w="109"/>
        <w:gridCol w:w="109"/>
        <w:gridCol w:w="109"/>
        <w:gridCol w:w="344"/>
        <w:gridCol w:w="894"/>
        <w:gridCol w:w="169"/>
        <w:gridCol w:w="109"/>
        <w:gridCol w:w="109"/>
        <w:gridCol w:w="109"/>
        <w:gridCol w:w="628"/>
        <w:gridCol w:w="628"/>
        <w:gridCol w:w="630"/>
        <w:gridCol w:w="109"/>
        <w:gridCol w:w="109"/>
        <w:gridCol w:w="109"/>
        <w:gridCol w:w="344"/>
        <w:gridCol w:w="1897"/>
        <w:gridCol w:w="242"/>
      </w:tblGrid>
      <w:tr>
        <w:trPr/>
        <w:tc>
          <w:tcPr>
            <w:tcW w:w="93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Expensify Neue;sans-serif" w:hAnsi="Expensify Neue;sans-serif"/>
                <w:b/>
                <w:color w:val="000000"/>
                <w:sz w:val="20"/>
              </w:rPr>
            </w:pPr>
            <w:r>
              <w:rPr>
                <w:rFonts w:ascii="Expensify Neue;sans-serif" w:hAnsi="Expensify Neue;sans-serif"/>
                <w:b/>
                <w:color w:val="000000"/>
                <w:sz w:val="20"/>
              </w:rPr>
              <w:t>Weighted 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20"/>
              </w:rPr>
            </w:pPr>
            <w:r>
              <w:rPr>
                <w:rFonts w:ascii="Expensify Neue;sans-serif" w:hAnsi="Expensify Neue;sans-serif"/>
                <w:b/>
                <w:color w:val="000000"/>
                <w:sz w:val="20"/>
              </w:rPr>
              <w:t>Total number of shares purchased as part of publicly announced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Expensify Neue;sans-serif" w:hAnsi="Expensify Neue;sans-serif"/>
                <w:b/>
                <w:color w:val="000000"/>
                <w:sz w:val="20"/>
              </w:rPr>
              <w:t>Maximum number (or approximate dollar value) of shares that may yet be purchased under the program</w:t>
            </w:r>
            <w:r>
              <w:rPr>
                <w:rFonts w:ascii="Expensify Neue;sans-serif" w:hAnsi="Expensify Neue;sans-serif"/>
                <w:b/>
                <w:color w:val="000000"/>
                <w:sz w:val="13"/>
              </w:rPr>
              <w:t>(1)</w:t>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July 1 - 31, 2025</w:t>
            </w:r>
          </w:p>
        </w:tc>
        <w:tc>
          <w:tcPr>
            <w:tcW w:w="14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47,000,006 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August 1 - 31, 2025</w:t>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644,739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1.84 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644,739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45,814,194 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September 1 - 30, 2025</w:t>
            </w:r>
          </w:p>
        </w:tc>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935,024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1.94 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935,024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w:t>
            </w:r>
          </w:p>
        </w:tc>
        <w:tc>
          <w:tcPr>
            <w:tcW w:w="1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44,000,006 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color w:val="000000"/>
                <w:sz w:val="20"/>
              </w:rPr>
            </w:pPr>
            <w:r>
              <w:rPr>
                <w:rFonts w:ascii="Expensify Neue;sans-serif" w:hAnsi="Expensify Neue;sans-serif"/>
                <w:b/>
                <w:color w:val="000000"/>
                <w:sz w:val="20"/>
              </w:rPr>
              <w:t>Three months ended September 30, 2025</w:t>
            </w:r>
          </w:p>
        </w:tc>
        <w:tc>
          <w:tcPr>
            <w:tcW w:w="146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1,579,763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1,579,763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360"/>
        <w:jc w:val="left"/>
        <w:rPr>
          <w:rFonts w:ascii="Expensify Neue;sans-serif" w:hAnsi="Expensify Neue;sans-serif"/>
          <w:b w:val="false"/>
          <w:color w:val="000000"/>
          <w:sz w:val="15"/>
        </w:rPr>
      </w:pPr>
      <w:r>
        <w:rPr>
          <w:rFonts w:ascii="Expensify Neue;sans-serif" w:hAnsi="Expensify Neue;sans-serif"/>
          <w:b w:val="false"/>
          <w:color w:val="000000"/>
          <w:sz w:val="15"/>
        </w:rPr>
        <w:t>(1)On February 27, 2025, we announced the approval of a share repurchase program with authorization to purchase up to $50.0 million of our Class A common stock at management’s discretion that expires on March 31, 2028, does not obligate us to repurchase any specific number of shares and may be modified, suspended or terminated at any time at our discretion. As of September 30, 2025, we had $44.0 million remaining under the share repurchase authorization.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3. Defaults Upon Senior Securities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4. Mine Safety Disclosures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Expensify Neue;sans-serif" w:hAnsi="Expensify Neue;sans-serif"/>
          <w:b/>
          <w:color w:val="002E22"/>
          <w:sz w:val="32"/>
        </w:rPr>
      </w:pPr>
      <w:r>
        <w:rPr>
          <w:rFonts w:ascii="Expensify Neue;sans-serif" w:hAnsi="Expensify Neue;sans-serif"/>
          <w:b/>
          <w:color w:val="002E22"/>
          <w:sz w:val="32"/>
        </w:rPr>
        <w:t>Item 5. Other Information</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599440"/>
                <wp:effectExtent l="0" t="0" r="0" b="0"/>
                <wp:wrapNone/>
                <wp:docPr id="51" name="Frame50"/>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45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17fddb0c6514749925147b8a9bca91a_7">
        <w:r>
          <w:rPr>
            <w:rStyle w:val="InternetLink"/>
            <w:rFonts w:ascii="Expensify Neue;sans-serif" w:hAnsi="Expensify Neue;sans-serif"/>
            <w:b w:val="false"/>
            <w:color w:val="03D47C"/>
            <w:sz w:val="20"/>
          </w:rPr>
          <w:t>Table of Contents</w:t>
        </w:r>
      </w:hyperlink>
    </w:p>
    <w:p>
      <w:pPr>
        <w:pStyle w:val="TextBody"/>
        <w:bidi w:val="0"/>
        <w:spacing w:before="0" w:after="160"/>
        <w:jc w:val="left"/>
        <w:rPr/>
      </w:pPr>
      <w:r>
        <w:rPr/>
      </w:r>
    </w:p>
    <w:p>
      <w:pPr>
        <w:pStyle w:val="TextBody"/>
        <w:bidi w:val="0"/>
        <w:spacing w:lineRule="auto" w:line="288" w:before="0" w:after="0"/>
        <w:jc w:val="left"/>
        <w:rPr>
          <w:rFonts w:ascii="Expensify Neue;sans-serif" w:hAnsi="Expensify Neue;sans-serif"/>
          <w:b/>
          <w:color w:val="002E22"/>
          <w:sz w:val="32"/>
        </w:rPr>
      </w:pPr>
      <w:r>
        <w:rPr>
          <w:rFonts w:ascii="Expensify Neue;sans-serif" w:hAnsi="Expensify Neue;sans-serif"/>
          <w:b/>
          <w:color w:val="002E22"/>
          <w:sz w:val="32"/>
        </w:rPr>
        <w:t>Item 6. Exhibits</w:t>
      </w:r>
    </w:p>
    <w:tbl>
      <w:tblPr>
        <w:tblW w:w="10205" w:type="dxa"/>
        <w:jc w:val="left"/>
        <w:tblInd w:w="0" w:type="dxa"/>
        <w:tblLayout w:type="fixed"/>
        <w:tblCellMar>
          <w:top w:w="28" w:type="dxa"/>
          <w:left w:w="28" w:type="dxa"/>
          <w:bottom w:w="28" w:type="dxa"/>
          <w:right w:w="28" w:type="dxa"/>
        </w:tblCellMar>
      </w:tblPr>
      <w:tblGrid>
        <w:gridCol w:w="310"/>
        <w:gridCol w:w="272"/>
        <w:gridCol w:w="274"/>
        <w:gridCol w:w="109"/>
        <w:gridCol w:w="109"/>
        <w:gridCol w:w="109"/>
        <w:gridCol w:w="1850"/>
        <w:gridCol w:w="1706"/>
        <w:gridCol w:w="1722"/>
        <w:gridCol w:w="109"/>
        <w:gridCol w:w="109"/>
        <w:gridCol w:w="109"/>
        <w:gridCol w:w="210"/>
        <w:gridCol w:w="210"/>
        <w:gridCol w:w="174"/>
        <w:gridCol w:w="295"/>
        <w:gridCol w:w="295"/>
        <w:gridCol w:w="200"/>
        <w:gridCol w:w="255"/>
        <w:gridCol w:w="255"/>
        <w:gridCol w:w="256"/>
        <w:gridCol w:w="390"/>
        <w:gridCol w:w="390"/>
        <w:gridCol w:w="487"/>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Incorporated by Reference</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6"/>
              </w:rPr>
            </w:pPr>
            <w:r>
              <w:rPr>
                <w:rFonts w:ascii="Expensify Neue;sans-serif" w:hAnsi="Expensify Neue;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color w:val="000000"/>
                <w:sz w:val="16"/>
              </w:rPr>
            </w:pPr>
            <w:r>
              <w:rPr>
                <w:rFonts w:ascii="Expensify Neue;sans-serif" w:hAnsi="Expensify Neue;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Form</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File No.</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Exhibit</w:t>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color w:val="000000"/>
                <w:sz w:val="16"/>
              </w:rPr>
            </w:pPr>
            <w:r>
              <w:rPr>
                <w:rFonts w:ascii="Expensify Neue;sans-serif" w:hAnsi="Expensify Neue;sans-serif"/>
                <w:b/>
                <w:color w:val="000000"/>
                <w:sz w:val="16"/>
              </w:rPr>
              <w:t>Filing Date</w:t>
            </w:r>
          </w:p>
        </w:tc>
      </w:tr>
      <w:tr>
        <w:trPr/>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18"/>
              </w:rPr>
            </w:pPr>
            <w:r>
              <w:rPr>
                <w:rFonts w:ascii="Expensify Neue;sans-serif" w:hAnsi="Expensify Neue;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Expensify Neue;sans-serif" w:hAnsi="Expensify Neue;sans-serif"/>
                  <w:b w:val="false"/>
                  <w:color w:val="0000FF"/>
                  <w:sz w:val="18"/>
                  <w:u w:val="single"/>
                </w:rPr>
                <w:t>Amended and Restated Certificate of Incorporation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10-Q</w:t>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001-41043</w:t>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3.1</w:t>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November 8, 2024</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Expensify Neue;sans-serif" w:hAnsi="Expensify Neue;sans-serif"/>
                  <w:b w:val="false"/>
                  <w:color w:val="0000FF"/>
                  <w:sz w:val="18"/>
                  <w:u w:val="single"/>
                </w:rPr>
                <w:t>Amended and Restated Bylaws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8-K</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001-41043</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3.2</w:t>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November 15, 2021</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Expensify Neue;sans-serif" w:hAnsi="Expensify Neue;sans-serif"/>
                  <w:b w:val="false"/>
                  <w:color w:val="0000FF"/>
                  <w:sz w:val="18"/>
                  <w:u w:val="single"/>
                </w:rPr>
                <w:t>Letter of Credit Security Agreement, dated as of October 9, 2025, by and among the Company, the Lenders party thereto, and the Canadian Imperial Bank of Commerce.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8-K</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001-41043</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10.1</w:t>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Expensify Neue;sans-serif" w:hAnsi="Expensify Neue;sans-serif"/>
                <w:b w:val="false"/>
                <w:color w:val="000000"/>
                <w:sz w:val="18"/>
              </w:rPr>
            </w:pPr>
            <w:r>
              <w:rPr>
                <w:rFonts w:ascii="Expensify Neue;sans-serif" w:hAnsi="Expensify Neue;sans-serif"/>
                <w:b w:val="false"/>
                <w:color w:val="000000"/>
                <w:sz w:val="18"/>
              </w:rPr>
              <w:t>October 15, 2025</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8"/>
              </w:rPr>
              <w:t>31.1</w:t>
            </w:r>
            <w:r>
              <w:rPr>
                <w:rFonts w:ascii="Expensify Neue;sans-serif" w:hAnsi="Expensify Neue;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10xqq32025.htm">
              <w:r>
                <w:rPr>
                  <w:rStyle w:val="InternetLink"/>
                  <w:rFonts w:ascii="Expensify Neue;sans-serif" w:hAnsi="Expensify Neue;sans-serif"/>
                  <w:b w:val="false"/>
                  <w:color w:val="0000FF"/>
                  <w:sz w:val="18"/>
                  <w:u w:val="single"/>
                </w:rPr>
                <w:t>Certification of the Principal Executive Officer, pursuant to Rules 13a-14(a) and 15d-14(a) under the Securities Exchange Act of 1934, as amended,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8"/>
              </w:rPr>
              <w:t>31.2</w:t>
            </w:r>
            <w:r>
              <w:rPr>
                <w:rFonts w:ascii="Expensify Neue;sans-serif" w:hAnsi="Expensify Neue;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10xqq32025.htm">
              <w:r>
                <w:rPr>
                  <w:rStyle w:val="InternetLink"/>
                  <w:rFonts w:ascii="Expensify Neue;sans-serif" w:hAnsi="Expensify Neue;sans-serif"/>
                  <w:b w:val="false"/>
                  <w:color w:val="0000FF"/>
                  <w:sz w:val="18"/>
                  <w:u w:val="single"/>
                </w:rPr>
                <w:t>Certification of the Principal Financial Officer, pursuant to Rules 13a-14(a) and 15d-14(a) under the Securities Exchange Act of 1934, as amended,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8"/>
              </w:rPr>
              <w:t>32.1</w:t>
            </w:r>
            <w:r>
              <w:rPr>
                <w:rFonts w:ascii="Expensify Neue;sans-serif" w:hAnsi="Expensify Neue;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10xqq32025.htm">
              <w:r>
                <w:rPr>
                  <w:rStyle w:val="InternetLink"/>
                  <w:rFonts w:ascii="Expensify Neue;sans-serif" w:hAnsi="Expensify Neue;sans-serif"/>
                  <w:b w:val="false"/>
                  <w:color w:val="0000FF"/>
                  <w:sz w:val="18"/>
                  <w:u w:val="single"/>
                </w:rPr>
                <w:t>Certification of the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8"/>
              </w:rPr>
              <w:t>32.2</w:t>
            </w:r>
            <w:r>
              <w:rPr>
                <w:rFonts w:ascii="Expensify Neue;sans-serif" w:hAnsi="Expensify Neue;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10xqq32025.htm">
              <w:r>
                <w:rPr>
                  <w:rStyle w:val="InternetLink"/>
                  <w:rFonts w:ascii="Expensify Neue;sans-serif" w:hAnsi="Expensify Neue;sans-serif"/>
                  <w:b w:val="false"/>
                  <w:color w:val="0000FF"/>
                  <w:sz w:val="18"/>
                  <w:u w:val="single"/>
                </w:rPr>
                <w:t>Certification of the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8"/>
              </w:rPr>
              <w:t>101.INS</w:t>
            </w:r>
            <w:r>
              <w:rPr>
                <w:rFonts w:ascii="Expensify Neue;sans-serif" w:hAnsi="Expensify Neue;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8"/>
              </w:rPr>
              <w:t>101.SCH</w:t>
            </w:r>
            <w:r>
              <w:rPr>
                <w:rFonts w:ascii="Expensify Neue;sans-serif" w:hAnsi="Expensify Neue;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8"/>
              </w:rPr>
              <w:t>101.CAL</w:t>
            </w:r>
            <w:r>
              <w:rPr>
                <w:rFonts w:ascii="Expensify Neue;sans-serif" w:hAnsi="Expensify Neue;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8"/>
              </w:rPr>
              <w:t>101.DEF</w:t>
            </w:r>
            <w:r>
              <w:rPr>
                <w:rFonts w:ascii="Expensify Neue;sans-serif" w:hAnsi="Expensify Neue;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8"/>
              </w:rPr>
              <w:t>101.PRE</w:t>
            </w:r>
            <w:r>
              <w:rPr>
                <w:rFonts w:ascii="Expensify Neue;sans-serif" w:hAnsi="Expensify Neue;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Inline XBRL Taxonomy Extension Presentation Linkable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Expensify Neue;sans-serif" w:hAnsi="Expensify Neue;sans-serif"/>
                <w:b w:val="false"/>
                <w:color w:val="000000"/>
                <w:sz w:val="18"/>
              </w:rPr>
              <w:t>104</w:t>
            </w:r>
            <w:r>
              <w:rPr>
                <w:rFonts w:ascii="Expensify Neue;sans-serif" w:hAnsi="Expensify Neue;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8"/>
              </w:rPr>
            </w:pPr>
            <w:r>
              <w:rPr>
                <w:rFonts w:ascii="Expensify Neue;sans-serif" w:hAnsi="Expensify Neue;sans-serif"/>
                <w:b w:val="false"/>
                <w:color w:val="000000"/>
                <w:sz w:val="18"/>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15"/>
              </w:rPr>
            </w:pPr>
            <w:r>
              <w:rPr>
                <w:rFonts w:ascii="Expensify Neue;sans-serif" w:hAnsi="Expensify Neue;sans-serif"/>
                <w:b w:val="false"/>
                <w:color w:val="000000"/>
                <w:sz w:val="15"/>
              </w:rPr>
              <w:t>Furnished herewith. The certifications attached as Exhibits 32.1 and 32.2 that accompany this Quarterly Report on Form 10-Q are deemed furnished and not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599440"/>
                <wp:effectExtent l="0" t="0" r="0" b="0"/>
                <wp:wrapNone/>
                <wp:docPr id="52" name="Frame51"/>
                <a:graphic xmlns:a="http://schemas.openxmlformats.org/drawingml/2006/main">
                  <a:graphicData uri="http://schemas.microsoft.com/office/word/2010/wordprocessingShape">
                    <wps:wsp>
                      <wps:cNvSpPr txBox="1"/>
                      <wps:spPr>
                        <a:xfrm>
                          <a:off x="0" y="0"/>
                          <a:ext cx="6480175" cy="59944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46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Expensify Neue;sans-serif" w:hAnsi="Expensify Neue;sans-serif"/>
                                <w:b w:val="false"/>
                                <w:color w:val="000000"/>
                                <w:sz w:val="20"/>
                              </w:rPr>
                            </w:pPr>
                            <w:r>
                              <w:rPr>
                                <w:rFonts w:ascii="Expensify Neue;sans-serif" w:hAnsi="Expensify Neue;sans-serif"/>
                                <w:b w:val="false"/>
                                <w:color w:val="000000"/>
                                <w:sz w:val="20"/>
                              </w:rPr>
                              <w:t>46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pPr>
      <w:hyperlink w:anchor="i817fddb0c6514749925147b8a9bca91a_7">
        <w:r>
          <w:rPr>
            <w:rStyle w:val="InternetLink"/>
            <w:rFonts w:ascii="Expensify Neue;sans-serif" w:hAnsi="Expensify Neue;sans-serif"/>
            <w:b w:val="false"/>
            <w:strike w:val="false"/>
            <w:dstrike w:val="false"/>
            <w:color w:val="03D47C"/>
            <w:sz w:val="20"/>
            <w:u w:val="none"/>
            <w:effect w:val="none"/>
          </w:rPr>
          <w:t>Table of Contents</w:t>
        </w:r>
      </w:hyperlink>
    </w:p>
    <w:p>
      <w:pPr>
        <w:pStyle w:val="TextBody"/>
        <w:bidi w:val="0"/>
        <w:spacing w:before="0" w:after="160"/>
        <w:jc w:val="left"/>
        <w:rPr/>
      </w:pPr>
      <w:r>
        <w:rPr/>
      </w:r>
    </w:p>
    <w:p>
      <w:pPr>
        <w:pStyle w:val="TextBody"/>
        <w:bidi w:val="0"/>
        <w:spacing w:lineRule="auto" w:line="288" w:before="0" w:after="320"/>
        <w:jc w:val="left"/>
        <w:rPr>
          <w:rFonts w:ascii="Expensify New Kansas Medium;sans-serif" w:hAnsi="Expensify New Kansas Medium;sans-serif"/>
          <w:b/>
          <w:color w:val="002E22"/>
          <w:sz w:val="36"/>
        </w:rPr>
      </w:pPr>
      <w:r>
        <w:rPr>
          <w:rFonts w:ascii="Expensify New Kansas Medium;sans-serif" w:hAnsi="Expensify New Kansas Medium;sans-serif"/>
          <w:b/>
          <w:color w:val="002E22"/>
          <w:sz w:val="36"/>
        </w:rPr>
        <w:t>Signatures</w:t>
      </w:r>
    </w:p>
    <w:p>
      <w:pPr>
        <w:pStyle w:val="TextBody"/>
        <w:bidi w:val="0"/>
        <w:spacing w:lineRule="auto" w:line="288" w:before="0" w:after="160"/>
        <w:jc w:val="left"/>
        <w:rPr>
          <w:rFonts w:ascii="Expensify Neue;sans-serif" w:hAnsi="Expensify Neue;sans-serif"/>
          <w:b w:val="false"/>
          <w:color w:val="000000"/>
          <w:sz w:val="20"/>
        </w:rPr>
      </w:pPr>
      <w:r>
        <w:rPr>
          <w:rFonts w:ascii="Expensify Neue;sans-serif" w:hAnsi="Expensify Neue;sans-serif"/>
          <w:b w:val="false"/>
          <w:color w:val="000000"/>
          <w:sz w:val="20"/>
        </w:rPr>
        <w:t>Pursuant to the requirements of the Securities Exchange Act of 1934, the registrant has duly caused this report to be signed on its behalf by the undersigned thereunto duly authorized.</w:t>
      </w:r>
    </w:p>
    <w:tbl>
      <w:tblPr>
        <w:tblW w:w="7205" w:type="dxa"/>
        <w:jc w:val="left"/>
        <w:tblInd w:w="0" w:type="dxa"/>
        <w:tblLayout w:type="fixed"/>
        <w:tblCellMar>
          <w:top w:w="28" w:type="dxa"/>
          <w:left w:w="28" w:type="dxa"/>
          <w:bottom w:w="28" w:type="dxa"/>
          <w:right w:w="28" w:type="dxa"/>
        </w:tblCellMar>
      </w:tblPr>
      <w:tblGrid>
        <w:gridCol w:w="464"/>
        <w:gridCol w:w="408"/>
        <w:gridCol w:w="408"/>
        <w:gridCol w:w="408"/>
        <w:gridCol w:w="408"/>
        <w:gridCol w:w="408"/>
        <w:gridCol w:w="307"/>
        <w:gridCol w:w="307"/>
        <w:gridCol w:w="307"/>
        <w:gridCol w:w="1100"/>
        <w:gridCol w:w="1100"/>
        <w:gridCol w:w="1580"/>
      </w:tblGrid>
      <w:tr>
        <w:trPr/>
        <w:tc>
          <w:tcPr>
            <w:tcW w:w="46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r>
      <w:tr>
        <w:trPr/>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color w:val="000000"/>
                <w:sz w:val="20"/>
              </w:rPr>
            </w:pPr>
            <w:r>
              <w:rPr>
                <w:rFonts w:ascii="Expensify Neue;sans-serif" w:hAnsi="Expensify Neue;sans-serif"/>
                <w:b/>
                <w:color w:val="000000"/>
                <w:sz w:val="20"/>
              </w:rPr>
              <w:t>EXPENSIFY, INC.</w:t>
            </w:r>
          </w:p>
        </w:tc>
      </w:tr>
      <w:tr>
        <w:trPr/>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Date: November 6, 2025</w:t>
            </w:r>
          </w:p>
        </w:tc>
        <w:tc>
          <w:tcPr>
            <w:tcW w:w="92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Expensify Neue;sans-serif" w:hAnsi="Expensify Neue;sans-serif"/>
                <w:b w:val="false"/>
                <w:color w:val="000000"/>
                <w:sz w:val="20"/>
              </w:rPr>
            </w:pPr>
            <w:r>
              <w:rPr>
                <w:rFonts w:ascii="Expensify Neue;sans-serif" w:hAnsi="Expensify Neue;sans-serif"/>
                <w:b w:val="false"/>
                <w:color w:val="000000"/>
                <w:sz w:val="20"/>
              </w:rPr>
              <w:t>By:</w:t>
            </w:r>
          </w:p>
        </w:tc>
        <w:tc>
          <w:tcPr>
            <w:tcW w:w="37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/s/ David Barrett</w:t>
            </w:r>
          </w:p>
        </w:tc>
      </w:tr>
      <w:tr>
        <w:trPr/>
        <w:tc>
          <w:tcPr>
            <w:tcW w:w="250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David Barrett</w:t>
            </w:r>
          </w:p>
        </w:tc>
      </w:tr>
      <w:tr>
        <w:trPr/>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President and Chief Executive Officer</w:t>
            </w:r>
          </w:p>
        </w:tc>
      </w:tr>
      <w:tr>
        <w:trPr/>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i/>
                <w:color w:val="000000"/>
                <w:sz w:val="20"/>
              </w:rPr>
            </w:pPr>
            <w:r>
              <w:rPr>
                <w:rFonts w:ascii="Expensify Neue;sans-serif" w:hAnsi="Expensify Neue;sans-serif"/>
                <w:b w:val="false"/>
                <w:i/>
                <w:color w:val="000000"/>
                <w:sz w:val="20"/>
              </w:rPr>
              <w:t>(Principal Executive Officer)</w:t>
            </w:r>
          </w:p>
        </w:tc>
      </w:tr>
      <w:tr>
        <w:trPr/>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Expensify Neue;sans-serif" w:hAnsi="Expensify Neue;sans-serif"/>
                <w:b w:val="false"/>
                <w:color w:val="000000"/>
                <w:sz w:val="20"/>
              </w:rPr>
            </w:pPr>
            <w:r>
              <w:rPr>
                <w:rFonts w:ascii="Expensify Neue;sans-serif" w:hAnsi="Expensify Neue;sans-serif"/>
                <w:b w:val="false"/>
                <w:color w:val="000000"/>
                <w:sz w:val="20"/>
              </w:rPr>
              <w:t>Date: November 6, 2025</w:t>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Expensify Neue;sans-serif" w:hAnsi="Expensify Neue;sans-serif"/>
                <w:b w:val="false"/>
                <w:color w:val="000000"/>
                <w:sz w:val="20"/>
              </w:rPr>
            </w:pPr>
            <w:r>
              <w:rPr>
                <w:rFonts w:ascii="Expensify Neue;sans-serif" w:hAnsi="Expensify Neue;sans-serif"/>
                <w:b w:val="false"/>
                <w:color w:val="000000"/>
                <w:sz w:val="20"/>
              </w:rPr>
              <w:t>By:</w:t>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/s/ Ryan Schaffer</w:t>
            </w:r>
          </w:p>
        </w:tc>
      </w:tr>
      <w:tr>
        <w:trPr/>
        <w:tc>
          <w:tcPr>
            <w:tcW w:w="250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Ryan Schaffer</w:t>
            </w:r>
          </w:p>
        </w:tc>
      </w:tr>
      <w:tr>
        <w:trPr/>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color w:val="000000"/>
                <w:sz w:val="20"/>
              </w:rPr>
            </w:pPr>
            <w:r>
              <w:rPr>
                <w:rFonts w:ascii="Expensify Neue;sans-serif" w:hAnsi="Expensify Neue;sans-serif"/>
                <w:b w:val="false"/>
                <w:color w:val="000000"/>
                <w:sz w:val="20"/>
              </w:rPr>
              <w:t>Chief Financial Officer</w:t>
            </w:r>
          </w:p>
        </w:tc>
      </w:tr>
      <w:tr>
        <w:trPr/>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Expensify Neue;sans-serif" w:hAnsi="Expensify Neue;sans-serif"/>
                <w:b w:val="false"/>
                <w:i/>
                <w:color w:val="000000"/>
                <w:sz w:val="20"/>
              </w:rPr>
            </w:pPr>
            <w:r>
              <w:rPr>
                <w:rFonts w:ascii="Expensify Neue;sans-serif" w:hAnsi="Expensify Neue;sans-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RULES 13a-14(a) AND 15d-14(a) UNDER THE SECURITIES EXCHANGE ACT OF 1934, AS AMENDED, AS ADOPTED PURSUANT TO SECTION 302 OF THE SARBANES-OXLEY ACT OF 2002</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 David Barrett, certify that:</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Expensify, Inc.;</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258" w:type="dxa"/>
        <w:jc w:val="left"/>
        <w:tblInd w:w="0" w:type="dxa"/>
        <w:tblLayout w:type="fixed"/>
        <w:tblCellMar>
          <w:top w:w="28" w:type="dxa"/>
          <w:left w:w="28" w:type="dxa"/>
          <w:bottom w:w="28" w:type="dxa"/>
          <w:right w:w="28" w:type="dxa"/>
        </w:tblCellMar>
      </w:tblPr>
      <w:tblGrid>
        <w:gridCol w:w="389"/>
        <w:gridCol w:w="342"/>
        <w:gridCol w:w="342"/>
        <w:gridCol w:w="342"/>
        <w:gridCol w:w="342"/>
        <w:gridCol w:w="342"/>
        <w:gridCol w:w="109"/>
        <w:gridCol w:w="109"/>
        <w:gridCol w:w="109"/>
        <w:gridCol w:w="109"/>
        <w:gridCol w:w="109"/>
        <w:gridCol w:w="109"/>
        <w:gridCol w:w="731"/>
        <w:gridCol w:w="731"/>
        <w:gridCol w:w="1043"/>
      </w:tblGrid>
      <w:tr>
        <w:trPr/>
        <w:tc>
          <w:tcPr>
            <w:tcW w:w="38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20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David Barrett</w:t>
            </w:r>
          </w:p>
        </w:tc>
      </w:tr>
      <w:tr>
        <w:trPr/>
        <w:tc>
          <w:tcPr>
            <w:tcW w:w="20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David Barrett</w:t>
            </w:r>
          </w:p>
        </w:tc>
      </w:tr>
      <w:tr>
        <w:trPr/>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099"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RULES 13a-14(a) AND 15d-14(a) UNDER THE SECURITIES EXCHANGE ACT OF 1934, AS AMENDED, AS ADOPTED PURSUANT TO SECTION 302 OF THE SARBANES-OXLEY ACT OF 2002</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Ryan Schaffer, certify that:</w:t>
      </w:r>
    </w:p>
    <w:p>
      <w:pPr>
        <w:pStyle w:val="TextBody"/>
        <w:bidi w:val="0"/>
        <w:spacing w:before="0" w:after="0"/>
        <w:jc w:val="left"/>
        <w:rPr/>
      </w:pPr>
      <w:r>
        <w:rPr/>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Expensify, Inc.;</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272" w:type="dxa"/>
        <w:jc w:val="left"/>
        <w:tblInd w:w="0" w:type="dxa"/>
        <w:tblLayout w:type="fixed"/>
        <w:tblCellMar>
          <w:top w:w="28" w:type="dxa"/>
          <w:left w:w="28" w:type="dxa"/>
          <w:bottom w:w="28" w:type="dxa"/>
          <w:right w:w="28" w:type="dxa"/>
        </w:tblCellMar>
      </w:tblPr>
      <w:tblGrid>
        <w:gridCol w:w="389"/>
        <w:gridCol w:w="342"/>
        <w:gridCol w:w="342"/>
        <w:gridCol w:w="342"/>
        <w:gridCol w:w="342"/>
        <w:gridCol w:w="342"/>
        <w:gridCol w:w="109"/>
        <w:gridCol w:w="109"/>
        <w:gridCol w:w="109"/>
        <w:gridCol w:w="109"/>
        <w:gridCol w:w="109"/>
        <w:gridCol w:w="109"/>
        <w:gridCol w:w="736"/>
        <w:gridCol w:w="736"/>
        <w:gridCol w:w="1047"/>
      </w:tblGrid>
      <w:tr>
        <w:trPr/>
        <w:tc>
          <w:tcPr>
            <w:tcW w:w="38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20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Ryan Schaffer</w:t>
            </w:r>
          </w:p>
        </w:tc>
      </w:tr>
      <w:tr>
        <w:trPr/>
        <w:tc>
          <w:tcPr>
            <w:tcW w:w="20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Ryan Schaffer</w:t>
            </w:r>
          </w:p>
        </w:tc>
      </w:tr>
      <w:tr>
        <w:trPr/>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099"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18 U.S.C. § 1350, as adopted pursuant to Section 906 of the Sarbanes-Oxley Act of 2002, the undersigned officer of Expensify, Inc. (the “Company”) hereby certifies, to such officer’s knowledge, that: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    the Quarterly Report on Form 10-Q of the Company for the quarterly period ended September 30, 2025 as filed with the Securities and Exchange Commission on the date hereof (the “Report”) fully complies with the requirements of Section 13(a) or Section 15(d), as applicable, of the Securities Exchange Act of 1934, as amended; and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(ii)    the information contained in the Report fairly presents, in all material respects, the financial condition and results of operations of the Company.</w:t>
      </w:r>
    </w:p>
    <w:p>
      <w:pPr>
        <w:pStyle w:val="TextBody"/>
        <w:bidi w:val="0"/>
        <w:spacing w:before="0" w:after="0"/>
        <w:jc w:val="left"/>
        <w:rPr/>
      </w:pPr>
      <w:r>
        <w:rPr/>
      </w:r>
    </w:p>
    <w:tbl>
      <w:tblPr>
        <w:tblW w:w="5258" w:type="dxa"/>
        <w:jc w:val="left"/>
        <w:tblInd w:w="0" w:type="dxa"/>
        <w:tblLayout w:type="fixed"/>
        <w:tblCellMar>
          <w:top w:w="28" w:type="dxa"/>
          <w:left w:w="28" w:type="dxa"/>
          <w:bottom w:w="28" w:type="dxa"/>
          <w:right w:w="28" w:type="dxa"/>
        </w:tblCellMar>
      </w:tblPr>
      <w:tblGrid>
        <w:gridCol w:w="389"/>
        <w:gridCol w:w="342"/>
        <w:gridCol w:w="342"/>
        <w:gridCol w:w="342"/>
        <w:gridCol w:w="342"/>
        <w:gridCol w:w="342"/>
        <w:gridCol w:w="109"/>
        <w:gridCol w:w="109"/>
        <w:gridCol w:w="109"/>
        <w:gridCol w:w="109"/>
        <w:gridCol w:w="109"/>
        <w:gridCol w:w="109"/>
        <w:gridCol w:w="731"/>
        <w:gridCol w:w="731"/>
        <w:gridCol w:w="1043"/>
      </w:tblGrid>
      <w:tr>
        <w:trPr/>
        <w:tc>
          <w:tcPr>
            <w:tcW w:w="38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20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David Barrett</w:t>
            </w:r>
          </w:p>
        </w:tc>
      </w:tr>
      <w:tr>
        <w:trPr/>
        <w:tc>
          <w:tcPr>
            <w:tcW w:w="20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David Barrett</w:t>
            </w:r>
          </w:p>
        </w:tc>
      </w:tr>
      <w:tr>
        <w:trPr/>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099"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18 U.S.C. § 1350, as adopted pursuant to Section 906 of the Sarbanes-Oxley Act of 2002, the undersigned officer of Expensify, Inc. (the “Company”) hereby certifies, to such officer’s knowledge, that: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    the Quarterly Report on Form 10-Q of the Company for the quarterly period ended September 30, 2025 as filed with the Securities and Exchange Commission on the date hereof (the “Report”) fully complies with the requirements of Section 13(a) or Section 15(d), as applicable, of the Securities Exchange Act of 1934, as amended; and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(ii)    the information contained in the Report fairly presents, in all material respects, the financial condition and results of operations of the Company.</w:t>
      </w:r>
    </w:p>
    <w:p>
      <w:pPr>
        <w:pStyle w:val="TextBody"/>
        <w:bidi w:val="0"/>
        <w:spacing w:before="0" w:after="0"/>
        <w:jc w:val="left"/>
        <w:rPr/>
      </w:pPr>
      <w:r>
        <w:rPr/>
      </w:r>
    </w:p>
    <w:tbl>
      <w:tblPr>
        <w:tblW w:w="5272" w:type="dxa"/>
        <w:jc w:val="left"/>
        <w:tblInd w:w="0" w:type="dxa"/>
        <w:tblLayout w:type="fixed"/>
        <w:tblCellMar>
          <w:top w:w="28" w:type="dxa"/>
          <w:left w:w="28" w:type="dxa"/>
          <w:bottom w:w="28" w:type="dxa"/>
          <w:right w:w="28" w:type="dxa"/>
        </w:tblCellMar>
      </w:tblPr>
      <w:tblGrid>
        <w:gridCol w:w="389"/>
        <w:gridCol w:w="342"/>
        <w:gridCol w:w="342"/>
        <w:gridCol w:w="342"/>
        <w:gridCol w:w="342"/>
        <w:gridCol w:w="342"/>
        <w:gridCol w:w="109"/>
        <w:gridCol w:w="109"/>
        <w:gridCol w:w="109"/>
        <w:gridCol w:w="109"/>
        <w:gridCol w:w="109"/>
        <w:gridCol w:w="109"/>
        <w:gridCol w:w="736"/>
        <w:gridCol w:w="736"/>
        <w:gridCol w:w="1047"/>
      </w:tblGrid>
      <w:tr>
        <w:trPr/>
        <w:tc>
          <w:tcPr>
            <w:tcW w:w="38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20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Ryan Schaffer</w:t>
            </w:r>
          </w:p>
        </w:tc>
      </w:tr>
      <w:tr>
        <w:trPr/>
        <w:tc>
          <w:tcPr>
            <w:tcW w:w="20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Ryan Schaffer</w:t>
            </w:r>
          </w:p>
        </w:tc>
      </w:tr>
      <w:tr>
        <w:trPr/>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099"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Expensify Neue">
    <w:altName w:val="sans-serif"/>
    <w:charset w:val="01"/>
    <w:family w:val="auto"/>
    <w:pitch w:val="default"/>
  </w:font>
  <w:font w:name="Times New Roman">
    <w:altName w:val="serif"/>
    <w:charset w:val="01"/>
    <w:family w:val="auto"/>
    <w:pitch w:val="default"/>
  </w:font>
  <w:font w:name="Wingdings">
    <w:altName w:val="sans-serif"/>
    <w:charset w:val="02"/>
    <w:family w:val="auto"/>
    <w:pitch w:val="default"/>
  </w:font>
  <w:font w:name="Expensify New Kansas Medium">
    <w:altName w:val="sans-serif"/>
    <w:charset w:val="01"/>
    <w:family w:val="auto"/>
    <w:pitch w:val="default"/>
  </w:font>
  <w:font w:name="GT America Exp">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Archives/edgar/data/1476840/000147684024000215/exhibit31-10xqq32024.htm" TargetMode="External"/><Relationship Id="rId4" Type="http://schemas.openxmlformats.org/officeDocument/2006/relationships/hyperlink" Target="https://www.sec.gov/Archives/edgar/data/0001476840/000162828021023404/exhibit32-8xkclosing.htm" TargetMode="External"/><Relationship Id="rId5" Type="http://schemas.openxmlformats.org/officeDocument/2006/relationships/hyperlink" Target="https://www.sec.gov/ix?doc=/Archives/edgar/data/0001476840/000147684025000131/exfy-20251009.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20485</Words>
  <Characters>113546</Characters>
  <CharactersWithSpaces>132500</CharactersWithSpaces>
  <Paragraphs>2670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