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Barrett David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Expensify,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04/12/2023</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04/12/2023</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30,000</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8.17</w:t>
            </w:r>
            <w:r>
              <w:rPr>
                <w:rFonts w:ascii="Times New Roman" w:cs="Times New Roman" w:eastAsia="Times New Roman" w:hAnsi="Times New Roman"/>
                <w:sz w:val="22"/>
                <w:szCs w:val="22"/>
                <w:color w:val="008000"/>
                <w:vertAlign w:val="superscript"/>
              </w:rPr>
              <w:t>(2)</w:t>
            </w: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3,382,676</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75,988</w:t>
            </w:r>
          </w:p>
        </w:tc>
        <w:tc>
          <w:tcPr>
            <w:tcW w:w="920" w:type="dxa"/>
            <w:vAlign w:val="bottom"/>
            <w:tcBorders>
              <w:top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Rule 10b5-1 trading plan adopted by the reporting person on June 10, 2022.</w:t>
      </w:r>
    </w:p>
    <w:p>
      <w:pPr>
        <w:spacing w:after="0" w:line="5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$7.86 to $8.68,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footnote (2) to this Form 4.</w:t>
      </w:r>
    </w:p>
    <w:p>
      <w:pPr>
        <w:spacing w:after="0" w:line="20"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Barrett Trust LLC, a manager-managed limited liability company. The investment and voting decisions of Barrett Trust LLC are made by its manager, the Reporting Person, and its controlling member is the Barrett Family Trust, for which the Reporting Person serves as trustee.</w:t>
      </w:r>
    </w:p>
    <w:p>
      <w:pPr>
        <w:sectPr>
          <w:pgSz w:w="11900" w:h="16838" w:orient="portrait"/>
          <w:cols w:equalWidth="0" w:num="1">
            <w:col w:w="11080"/>
          </w:cols>
          <w:pgMar w:left="460" w:top="219" w:right="359" w:bottom="1440" w:gutter="0" w:footer="0" w:header="0"/>
          <w:type w:val="continuous"/>
        </w:sectPr>
      </w:pP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04/14/2023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2682"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2023-04-14T16:19:30Z</dcterms:created>
  <dcterms:modified xsi:type="dcterms:W3CDTF">2023-04-14T16:19:30Z</dcterms:modified>
</cp:coreProperties>
</file>