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jc w:val="center"/>
        <w:ind w:right="-59"/>
        <w:spacing w:after="0"/>
        <w:tabs>
          <w:tab w:leader="none" w:pos="26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Expensify,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Common Stock, $0.0001 par value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30219Q106</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26, 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13d-l(b)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13d-l(c)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13d-l(d)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30219Q106</w:t>
      </w:r>
    </w:p>
    <w:p>
      <w:pPr>
        <w:spacing w:after="0" w:line="270" w:lineRule="exact"/>
        <w:rPr>
          <w:sz w:val="20"/>
          <w:szCs w:val="20"/>
          <w:color w:val="auto"/>
        </w:rPr>
      </w:pPr>
    </w:p>
    <w:p>
      <w:pPr>
        <w:ind w:left="664" w:right="8280" w:hanging="417"/>
        <w:spacing w:after="0" w:line="430" w:lineRule="auto"/>
        <w:tabs>
          <w:tab w:leader="none" w:pos="66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Steven J. McLaughlin</w:t>
      </w:r>
    </w:p>
    <w:p>
      <w:pPr>
        <w:spacing w:after="0" w:line="1" w:lineRule="exact"/>
        <w:rPr>
          <w:rFonts w:ascii="Times New Roman" w:cs="Times New Roman" w:eastAsia="Times New Roman" w:hAnsi="Times New Roman"/>
          <w:sz w:val="17"/>
          <w:szCs w:val="17"/>
          <w:color w:val="auto"/>
        </w:rPr>
      </w:pPr>
    </w:p>
    <w:p>
      <w:pPr>
        <w:ind w:left="664" w:hanging="417"/>
        <w:spacing w:after="0"/>
        <w:tabs>
          <w:tab w:leader="none" w:pos="6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508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083175"/>
                    </a:xfrm>
                    <a:prstGeom prst="rect">
                      <a:avLst/>
                    </a:prstGeom>
                    <a:noFill/>
                  </pic:spPr>
                </pic:pic>
              </a:graphicData>
            </a:graphic>
          </wp:anchor>
        </w:drawing>
      </w:r>
    </w:p>
    <w:p>
      <w:pPr>
        <w:spacing w:after="0" w:line="203"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664" w:right="7620" w:hanging="417"/>
        <w:spacing w:after="0" w:line="406" w:lineRule="auto"/>
        <w:tabs>
          <w:tab w:leader="none" w:pos="6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Florida, United States</w:t>
      </w:r>
    </w:p>
    <w:p>
      <w:pPr>
        <w:spacing w:after="0" w:line="1" w:lineRule="exact"/>
        <w:rPr>
          <w:rFonts w:ascii="Times New Roman" w:cs="Times New Roman" w:eastAsia="Times New Roman" w:hAnsi="Times New Roman"/>
          <w:sz w:val="18"/>
          <w:szCs w:val="18"/>
          <w:color w:val="auto"/>
        </w:rPr>
      </w:pPr>
    </w:p>
    <w:p>
      <w:pPr>
        <w:ind w:left="1624" w:hanging="423"/>
        <w:spacing w:after="0"/>
        <w:tabs>
          <w:tab w:leader="none" w:pos="162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Pr>
          <w:p>
            <w:pPr>
              <w:spacing w:after="0"/>
              <w:rPr>
                <w:sz w:val="19"/>
                <w:szCs w:val="19"/>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3,541,541</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0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4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00" w:type="dxa"/>
            <w:vAlign w:val="bottom"/>
            <w:vMerge w:val="continue"/>
          </w:tcPr>
          <w:p>
            <w:pPr>
              <w:spacing w:after="0"/>
              <w:rPr>
                <w:sz w:val="18"/>
                <w:szCs w:val="18"/>
                <w:color w:val="auto"/>
              </w:rPr>
            </w:pPr>
          </w:p>
        </w:tc>
        <w:tc>
          <w:tcPr>
            <w:tcW w:w="9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by</w:t>
            </w:r>
          </w:p>
        </w:tc>
        <w:tc>
          <w:tcPr>
            <w:tcW w:w="400" w:type="dxa"/>
            <w:vAlign w:val="bottom"/>
          </w:tcPr>
          <w:p>
            <w:pPr>
              <w:spacing w:after="0"/>
              <w:rPr>
                <w:sz w:val="18"/>
                <w:szCs w:val="18"/>
                <w:color w:val="auto"/>
              </w:rPr>
            </w:pPr>
          </w:p>
        </w:tc>
        <w:tc>
          <w:tcPr>
            <w:tcW w:w="94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880" w:type="dxa"/>
            <w:vAlign w:val="bottom"/>
            <w:vMerge w:val="continue"/>
          </w:tcPr>
          <w:p>
            <w:pPr>
              <w:spacing w:after="0"/>
              <w:rPr>
                <w:sz w:val="6"/>
                <w:szCs w:val="6"/>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94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0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8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00" w:type="dxa"/>
            <w:vAlign w:val="bottom"/>
          </w:tcPr>
          <w:p>
            <w:pPr>
              <w:spacing w:after="0"/>
              <w:rPr>
                <w:sz w:val="18"/>
                <w:szCs w:val="18"/>
                <w:color w:val="auto"/>
              </w:rPr>
            </w:pPr>
          </w:p>
        </w:tc>
        <w:tc>
          <w:tcPr>
            <w:tcW w:w="94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3,541,541</w:t>
            </w:r>
          </w:p>
        </w:tc>
        <w:tc>
          <w:tcPr>
            <w:tcW w:w="0" w:type="dxa"/>
            <w:vAlign w:val="bottom"/>
          </w:tcPr>
          <w:p>
            <w:pPr>
              <w:spacing w:after="0"/>
              <w:rPr>
                <w:sz w:val="1"/>
                <w:szCs w:val="1"/>
                <w:color w:val="auto"/>
              </w:rPr>
            </w:pPr>
          </w:p>
        </w:tc>
      </w:tr>
      <w:tr>
        <w:trPr>
          <w:trHeight w:val="180"/>
        </w:trPr>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w:t>
            </w:r>
          </w:p>
        </w:tc>
        <w:tc>
          <w:tcPr>
            <w:tcW w:w="400" w:type="dxa"/>
            <w:vAlign w:val="bottom"/>
            <w:tcBorders>
              <w:bottom w:val="single" w:sz="8" w:color="auto"/>
            </w:tcBorders>
          </w:tcPr>
          <w:p>
            <w:pPr>
              <w:spacing w:after="0"/>
              <w:rPr>
                <w:sz w:val="15"/>
                <w:szCs w:val="15"/>
                <w:color w:val="auto"/>
              </w:rPr>
            </w:pPr>
          </w:p>
        </w:tc>
        <w:tc>
          <w:tcPr>
            <w:tcW w:w="9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62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4" w:right="5460" w:hanging="417"/>
        <w:spacing w:after="0" w:line="406" w:lineRule="auto"/>
        <w:tabs>
          <w:tab w:leader="none" w:pos="65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3,541,541</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79"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16"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26"/>
          <w:szCs w:val="26"/>
          <w:b w:val="1"/>
          <w:bCs w:val="1"/>
          <w:color w:val="auto"/>
          <w:vertAlign w:val="superscript"/>
        </w:rPr>
        <w:t>(1)</w:t>
      </w:r>
    </w:p>
    <w:p>
      <w:pPr>
        <w:ind w:left="644" w:hanging="487"/>
        <w:spacing w:after="0"/>
        <w:tabs>
          <w:tab w:leader="none" w:pos="6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25"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68,252,500 shares of the Issuer’s Class A Common Stock outstanding as of August 8, 2022, as reported on Issuer’s Form 10-Q filed on August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77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Page 2 of 4</w:t>
      </w:r>
    </w:p>
    <w:p>
      <w:pPr>
        <w:sectPr>
          <w:pgSz w:w="11900" w:h="16838" w:orient="portrait"/>
          <w:cols w:equalWidth="0" w:num="1">
            <w:col w:w="10904"/>
          </w:cols>
          <w:pgMar w:left="436" w:top="266"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30219Q106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135" w:lineRule="exact"/>
        <w:rPr>
          <w:sz w:val="20"/>
          <w:szCs w:val="20"/>
          <w:color w:val="auto"/>
        </w:rPr>
      </w:pPr>
    </w:p>
    <w:p>
      <w:pPr>
        <w:ind w:left="960" w:hanging="532"/>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11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Expensify, Inc.</w:t>
      </w:r>
    </w:p>
    <w:p>
      <w:pPr>
        <w:spacing w:after="0" w:line="134"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113" w:lineRule="exact"/>
        <w:rPr>
          <w:rFonts w:ascii="Times New Roman" w:cs="Times New Roman" w:eastAsia="Times New Roman" w:hAnsi="Times New Roman"/>
          <w:sz w:val="18"/>
          <w:szCs w:val="18"/>
          <w:color w:val="auto"/>
        </w:rPr>
      </w:pPr>
    </w:p>
    <w:p>
      <w:pPr>
        <w:jc w:val="both"/>
        <w:ind w:left="980" w:right="81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401 SW 5th Avenue Portland, OR 97204</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35"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Name of Person Filing:</w:t>
      </w:r>
    </w:p>
    <w:p>
      <w:pPr>
        <w:spacing w:after="0" w:line="1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Steven J. McLaughlin</w:t>
      </w:r>
    </w:p>
    <w:p>
      <w:pPr>
        <w:spacing w:after="0" w:line="135"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Address of Principal Business Office or, if none, Residence:</w:t>
      </w:r>
    </w:p>
    <w:p>
      <w:pPr>
        <w:spacing w:after="0" w:line="1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1521 Alton Road, #345</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Miami Beach, FL 33139</w:t>
      </w:r>
    </w:p>
    <w:p>
      <w:pPr>
        <w:spacing w:after="0" w:line="112"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8"/>
          <w:szCs w:val="18"/>
          <w:color w:val="auto"/>
        </w:rPr>
        <w:t>Citizenship:</w:t>
      </w:r>
    </w:p>
    <w:p>
      <w:pPr>
        <w:spacing w:after="0" w:line="1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35"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8"/>
          <w:szCs w:val="18"/>
          <w:color w:val="auto"/>
        </w:rPr>
        <w:t>Title of Class of Securities:</w:t>
      </w:r>
    </w:p>
    <w:p>
      <w:pPr>
        <w:spacing w:after="0" w:line="1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Class A Common Stock, $0.0001 par value per share</w:t>
      </w:r>
    </w:p>
    <w:p>
      <w:pPr>
        <w:spacing w:after="0" w:line="131"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8"/>
          <w:szCs w:val="18"/>
          <w:color w:val="auto"/>
        </w:rPr>
        <w:t xml:space="preserve">CUSIP Number: </w:t>
      </w:r>
      <w:r>
        <w:rPr>
          <w:rFonts w:ascii="Times New Roman" w:cs="Times New Roman" w:eastAsia="Times New Roman" w:hAnsi="Times New Roman"/>
          <w:sz w:val="18"/>
          <w:szCs w:val="18"/>
          <w:b w:val="1"/>
          <w:bCs w:val="1"/>
          <w:color w:val="auto"/>
        </w:rPr>
        <w:t>30219Q106</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§§240.13d-l(b) or 240.13d-2(b) or (c), check whether the person filing is a:</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Not applicable.</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27" w:lineRule="exact"/>
        <w:rPr>
          <w:sz w:val="20"/>
          <w:szCs w:val="20"/>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 beneficially owned: </w:t>
      </w:r>
      <w:r>
        <w:rPr>
          <w:rFonts w:ascii="Times New Roman" w:cs="Times New Roman" w:eastAsia="Times New Roman" w:hAnsi="Times New Roman"/>
          <w:sz w:val="18"/>
          <w:szCs w:val="18"/>
          <w:b w:val="1"/>
          <w:bCs w:val="1"/>
          <w:color w:val="auto"/>
        </w:rPr>
        <w:t>3,541,541</w:t>
      </w:r>
    </w:p>
    <w:p>
      <w:pPr>
        <w:spacing w:after="0" w:line="130" w:lineRule="exact"/>
        <w:rPr>
          <w:rFonts w:ascii="Times New Roman" w:cs="Times New Roman" w:eastAsia="Times New Roman" w:hAnsi="Times New Roman"/>
          <w:sz w:val="18"/>
          <w:szCs w:val="18"/>
          <w:color w:val="auto"/>
        </w:rPr>
      </w:pPr>
    </w:p>
    <w:p>
      <w:pPr>
        <w:ind w:left="960" w:hanging="532"/>
        <w:spacing w:after="0" w:line="28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w:t>
      </w:r>
      <w:r>
        <w:rPr>
          <w:rFonts w:ascii="Times New Roman" w:cs="Times New Roman" w:eastAsia="Times New Roman" w:hAnsi="Times New Roman"/>
          <w:sz w:val="18"/>
          <w:szCs w:val="18"/>
          <w:b w:val="1"/>
          <w:bCs w:val="1"/>
          <w:color w:val="auto"/>
        </w:rPr>
        <w:t>5.19% based on 68,252,500 shares of Class A Common Stock outstanding as reported by the Issuer on its 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10-Q filed on August 12, 2022.</w:t>
      </w:r>
    </w:p>
    <w:p>
      <w:pPr>
        <w:spacing w:after="0" w:line="64"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27"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   Sole power to vote or to direct the vote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3,541,541</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(ii)   Shared power to vote or to direct the vote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3,541,541</w:t>
            </w:r>
          </w:p>
        </w:tc>
      </w:t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Page 3 of 4</w:t>
      </w:r>
    </w:p>
    <w:p>
      <w:pPr>
        <w:sectPr>
          <w:pgSz w:w="11900" w:h="16838" w:orient="portrait"/>
          <w:cols w:equalWidth="0" w:num="1">
            <w:col w:w="10680"/>
          </w:cols>
          <w:pgMar w:left="440" w:top="266" w:right="7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30219Q106</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Not applicable.</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Not applicable.</w:t>
      </w:r>
    </w:p>
    <w:p>
      <w:pPr>
        <w:spacing w:after="0" w:line="374" w:lineRule="exact"/>
        <w:rPr>
          <w:sz w:val="20"/>
          <w:szCs w:val="20"/>
          <w:color w:val="auto"/>
        </w:rPr>
      </w:pPr>
    </w:p>
    <w:p>
      <w:pPr>
        <w:ind w:left="1080" w:right="580" w:hanging="109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Not applicable.</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Identification and Classification of Members of the Group.</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Not applicable.</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Notice of Dissolution of Group.</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Not applicable.</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225" w:lineRule="exact"/>
        <w:rPr>
          <w:sz w:val="20"/>
          <w:szCs w:val="20"/>
          <w:color w:val="auto"/>
        </w:rPr>
      </w:pPr>
    </w:p>
    <w:p>
      <w:pPr>
        <w:jc w:val="both"/>
        <w:ind w:left="440" w:right="20"/>
        <w:spacing w:after="0" w:line="268" w:lineRule="auto"/>
        <w:rPr>
          <w:sz w:val="20"/>
          <w:szCs w:val="20"/>
          <w:color w:val="auto"/>
        </w:rPr>
      </w:pPr>
      <w:r>
        <w:rPr>
          <w:rFonts w:ascii="Times New Roman" w:cs="Times New Roman" w:eastAsia="Times New Roman" w:hAnsi="Times New Roman"/>
          <w:sz w:val="18"/>
          <w:szCs w:val="18"/>
          <w:b w:val="1"/>
          <w:bCs w:val="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jc w:val="both"/>
        <w:ind w:left="440" w:firstLine="423"/>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December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Steven J.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Steven J. McLaughlin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4</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3"/>
    </w:lvl>
    <w:lvl w:ilvl="1">
      <w:lvlJc w:val="left"/>
      <w:lvlText w:val="%2."/>
      <w:numFmt w:val="decimal"/>
      <w:start w:val="5"/>
    </w:lvl>
  </w:abstractNum>
  <w:abstractNum w:abstractNumId="5">
    <w:nsid w:val="79E2A9E3"/>
    <w:multiLevelType w:val="hybridMultilevel"/>
    <w:lvl w:ilvl="0">
      <w:lvlJc w:val="left"/>
      <w:lvlText w:val="%1"/>
      <w:numFmt w:val="decimal"/>
      <w:start w:val="1"/>
    </w:lvl>
    <w:lvl w:ilvl="1">
      <w:lvlJc w:val="left"/>
      <w:lvlText w:val="%2."/>
      <w:numFmt w:val="decimal"/>
      <w:start w:val="9"/>
    </w:lvl>
  </w:abstractNum>
  <w:abstractNum w:abstractNumId="6">
    <w:nsid w:val="7545E146"/>
    <w:multiLevelType w:val="hybridMultilevel"/>
    <w:lvl w:ilvl="0">
      <w:lvlJc w:val="left"/>
      <w:lvlText w:val="(%1)"/>
      <w:numFmt w:val="decimal"/>
      <w:start w:val="1"/>
    </w:lvl>
    <w:lvl w:ilvl="1">
      <w:lvlJc w:val="left"/>
      <w:lvlText w:val="%2"/>
      <w:numFmt w:val="decimal"/>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2022-12-07T16:25:38Z</dcterms:created>
  <dcterms:modified xsi:type="dcterms:W3CDTF">2022-12-07T16:25:38Z</dcterms:modified>
</cp:coreProperties>
</file>