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11,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Expensify, Inc.</w:t>
      </w:r>
    </w:p>
    <w:p>
      <w:pPr>
        <w:spacing w:after="0" w:line="52" w:lineRule="exact"/>
        <w:rPr>
          <w:sz w:val="24"/>
          <w:szCs w:val="24"/>
          <w:color w:val="auto"/>
        </w:rPr>
      </w:pPr>
    </w:p>
    <w:tbl>
      <w:tblPr>
        <w:tblLayout w:type="fixed"/>
        <w:tblInd w:w="114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1700" w:type="dxa"/>
            <w:vAlign w:val="bottom"/>
          </w:tcPr>
          <w:p>
            <w:pPr>
              <w:spacing w:after="0"/>
              <w:rPr>
                <w:sz w:val="17"/>
                <w:szCs w:val="17"/>
                <w:color w:val="auto"/>
              </w:rPr>
            </w:pPr>
          </w:p>
        </w:tc>
      </w:tr>
      <w:tr>
        <w:trPr>
          <w:trHeight w:val="219"/>
        </w:trPr>
        <w:tc>
          <w:tcPr>
            <w:tcW w:w="2080" w:type="dxa"/>
            <w:vAlign w:val="bottom"/>
          </w:tcPr>
          <w:p>
            <w:pPr>
              <w:jc w:val="center"/>
              <w:ind w:right="532"/>
              <w:spacing w:after="0"/>
              <w:rPr>
                <w:sz w:val="20"/>
                <w:szCs w:val="20"/>
                <w:color w:val="auto"/>
              </w:rPr>
            </w:pPr>
            <w:r>
              <w:rPr>
                <w:rFonts w:ascii="Arial" w:cs="Arial" w:eastAsia="Arial" w:hAnsi="Arial"/>
                <w:sz w:val="16"/>
                <w:szCs w:val="16"/>
                <w:b w:val="1"/>
                <w:bCs w:val="1"/>
                <w:color w:val="auto"/>
                <w:w w:val="91"/>
              </w:rPr>
              <w:t>Delaware</w:t>
            </w:r>
          </w:p>
        </w:tc>
        <w:tc>
          <w:tcPr>
            <w:tcW w:w="4920" w:type="dxa"/>
            <w:vAlign w:val="bottom"/>
          </w:tcPr>
          <w:p>
            <w:pPr>
              <w:jc w:val="center"/>
              <w:ind w:right="48"/>
              <w:spacing w:after="0"/>
              <w:rPr>
                <w:sz w:val="20"/>
                <w:szCs w:val="20"/>
                <w:color w:val="auto"/>
              </w:rPr>
            </w:pPr>
            <w:r>
              <w:rPr>
                <w:rFonts w:ascii="Arial" w:cs="Arial" w:eastAsia="Arial" w:hAnsi="Arial"/>
                <w:sz w:val="16"/>
                <w:szCs w:val="16"/>
                <w:b w:val="1"/>
                <w:bCs w:val="1"/>
                <w:color w:val="auto"/>
                <w:w w:val="88"/>
              </w:rPr>
              <w:t>001-41043</w:t>
            </w:r>
          </w:p>
        </w:tc>
        <w:tc>
          <w:tcPr>
            <w:tcW w:w="1700" w:type="dxa"/>
            <w:vAlign w:val="bottom"/>
          </w:tcPr>
          <w:p>
            <w:pPr>
              <w:jc w:val="center"/>
              <w:ind w:left="672"/>
              <w:spacing w:after="0"/>
              <w:rPr>
                <w:sz w:val="20"/>
                <w:szCs w:val="20"/>
                <w:color w:val="auto"/>
              </w:rPr>
            </w:pPr>
            <w:r>
              <w:rPr>
                <w:rFonts w:ascii="Arial" w:cs="Arial" w:eastAsia="Arial" w:hAnsi="Arial"/>
                <w:sz w:val="16"/>
                <w:szCs w:val="16"/>
                <w:b w:val="1"/>
                <w:bCs w:val="1"/>
                <w:color w:val="auto"/>
                <w:w w:val="88"/>
              </w:rPr>
              <w:t>27-0239450</w:t>
            </w:r>
          </w:p>
        </w:tc>
      </w:tr>
      <w:tr>
        <w:trPr>
          <w:trHeight w:val="159"/>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7"/>
              </w:rPr>
              <w:t>(State or Other Jurisdiction</w:t>
            </w:r>
          </w:p>
        </w:tc>
        <w:tc>
          <w:tcPr>
            <w:tcW w:w="4920" w:type="dxa"/>
            <w:vAlign w:val="bottom"/>
          </w:tcPr>
          <w:p>
            <w:pPr>
              <w:jc w:val="center"/>
              <w:ind w:right="68"/>
              <w:spacing w:after="0"/>
              <w:rPr>
                <w:sz w:val="20"/>
                <w:szCs w:val="20"/>
                <w:color w:val="auto"/>
              </w:rPr>
            </w:pPr>
            <w:r>
              <w:rPr>
                <w:rFonts w:ascii="Arial" w:cs="Arial" w:eastAsia="Arial" w:hAnsi="Arial"/>
                <w:sz w:val="13"/>
                <w:szCs w:val="13"/>
                <w:b w:val="1"/>
                <w:bCs w:val="1"/>
                <w:color w:val="auto"/>
                <w:w w:val="84"/>
              </w:rPr>
              <w:t>(Commission</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8"/>
              </w:rPr>
              <w:t>of Incorporation)</w:t>
            </w: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File Number)</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89"/>
              </w:rPr>
              <w:t>Identification No.)</w:t>
            </w:r>
          </w:p>
        </w:tc>
      </w:tr>
      <w:tr>
        <w:trPr>
          <w:trHeight w:val="383"/>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7"/>
              </w:rPr>
              <w:t>401 SW 5</w:t>
            </w:r>
            <w:r>
              <w:rPr>
                <w:rFonts w:ascii="Arial" w:cs="Arial" w:eastAsia="Arial" w:hAnsi="Arial"/>
                <w:sz w:val="20"/>
                <w:szCs w:val="20"/>
                <w:b w:val="1"/>
                <w:bCs w:val="1"/>
                <w:color w:val="auto"/>
                <w:w w:val="87"/>
                <w:vertAlign w:val="superscript"/>
              </w:rPr>
              <w:t>th</w:t>
            </w:r>
            <w:r>
              <w:rPr>
                <w:rFonts w:ascii="Arial" w:cs="Arial" w:eastAsia="Arial" w:hAnsi="Arial"/>
                <w:sz w:val="16"/>
                <w:szCs w:val="16"/>
                <w:b w:val="1"/>
                <w:bCs w:val="1"/>
                <w:color w:val="auto"/>
                <w:w w:val="87"/>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90"/>
              </w:rPr>
              <w:t>Portland, Oregon 97204</w:t>
            </w:r>
          </w:p>
        </w:tc>
        <w:tc>
          <w:tcPr>
            <w:tcW w:w="1700" w:type="dxa"/>
            <w:vAlign w:val="bottom"/>
          </w:tcPr>
          <w:p>
            <w:pPr>
              <w:spacing w:after="0"/>
              <w:rPr>
                <w:sz w:val="16"/>
                <w:szCs w:val="16"/>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7"/>
              </w:rPr>
              <w:t>(Address of Principal Executive Offices) (Zip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(971) 365-3939</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Not applicable</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00" w:type="dxa"/>
            <w:vAlign w:val="bottom"/>
          </w:tcPr>
          <w:p>
            <w:pPr>
              <w:spacing w:after="0"/>
              <w:rPr>
                <w:sz w:val="14"/>
                <w:szCs w:val="14"/>
                <w:color w:val="auto"/>
              </w:rPr>
            </w:pPr>
          </w:p>
        </w:tc>
      </w:tr>
    </w:tbl>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64"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Trading</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6"/>
        </w:trPr>
        <w:tc>
          <w:tcPr>
            <w:tcW w:w="3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Title of each class</w:t>
            </w: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Symbol(s)</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3"/>
        </w:trPr>
        <w:tc>
          <w:tcPr>
            <w:tcW w:w="3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3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EXFY</w:t>
            </w: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r>
    </w:tbl>
    <w:p>
      <w:pPr>
        <w:spacing w:after="0" w:line="83"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818515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45" w:right="319" w:bottom="1440" w:gutter="0" w:footer="0" w:header="0"/>
        </w:sectPr>
      </w:pPr>
    </w:p>
    <w:bookmarkStart w:id="1" w:name="page2"/>
    <w:bookmarkEnd w:id="1"/>
    <w:p>
      <w:pPr>
        <w:spacing w:after="0" w:line="10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28" w:lineRule="exact"/>
        <w:rPr>
          <w:sz w:val="20"/>
          <w:szCs w:val="20"/>
          <w:color w:val="auto"/>
        </w:rPr>
      </w:pPr>
    </w:p>
    <w:p>
      <w:pPr>
        <w:jc w:val="both"/>
        <w:ind w:left="5" w:right="100"/>
        <w:spacing w:after="0" w:line="252" w:lineRule="auto"/>
        <w:rPr>
          <w:sz w:val="20"/>
          <w:szCs w:val="20"/>
          <w:color w:val="auto"/>
        </w:rPr>
      </w:pPr>
      <w:r>
        <w:rPr>
          <w:rFonts w:ascii="Arial" w:cs="Arial" w:eastAsia="Arial" w:hAnsi="Arial"/>
          <w:sz w:val="16"/>
          <w:szCs w:val="16"/>
          <w:color w:val="auto"/>
        </w:rPr>
        <w:t>On August 11, 2022, Expensify, Inc. (“Expensify” or the “Company”) issued a press release announcing its financial results for the quarter ended June 30, 2022. A copy of this press release is furnished as Exhibit 99.1 to this current report on Form 8-K and is incorporated herein by reference.</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7.01 Regulation FD Disclosure.</w:t>
      </w:r>
    </w:p>
    <w:p>
      <w:pPr>
        <w:spacing w:after="0" w:line="128" w:lineRule="exact"/>
        <w:rPr>
          <w:sz w:val="20"/>
          <w:szCs w:val="20"/>
          <w:color w:val="auto"/>
        </w:rPr>
      </w:pPr>
    </w:p>
    <w:p>
      <w:pPr>
        <w:jc w:val="both"/>
        <w:ind w:left="5" w:right="120"/>
        <w:spacing w:after="0" w:line="241" w:lineRule="auto"/>
        <w:rPr>
          <w:sz w:val="20"/>
          <w:szCs w:val="20"/>
          <w:color w:val="auto"/>
        </w:rPr>
      </w:pPr>
      <w:r>
        <w:rPr>
          <w:rFonts w:ascii="Arial" w:cs="Arial" w:eastAsia="Arial" w:hAnsi="Arial"/>
          <w:sz w:val="16"/>
          <w:szCs w:val="16"/>
          <w:color w:val="auto"/>
        </w:rPr>
        <w:t>On August 11, 2022,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 w:lineRule="exact"/>
        <w:rPr>
          <w:sz w:val="20"/>
          <w:szCs w:val="20"/>
          <w:color w:val="auto"/>
        </w:rPr>
      </w:pPr>
    </w:p>
    <w:p>
      <w:pPr>
        <w:ind w:left="5" w:right="80"/>
        <w:spacing w:after="0" w:line="277" w:lineRule="auto"/>
        <w:rPr>
          <w:sz w:val="20"/>
          <w:szCs w:val="20"/>
          <w:color w:val="auto"/>
        </w:rPr>
      </w:pPr>
      <w:r>
        <w:rPr>
          <w:rFonts w:ascii="Arial" w:cs="Arial" w:eastAsia="Arial" w:hAnsi="Arial"/>
          <w:sz w:val="14"/>
          <w:szCs w:val="14"/>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66" w:lineRule="exact"/>
        <w:rPr>
          <w:sz w:val="20"/>
          <w:szCs w:val="20"/>
          <w:color w:val="auto"/>
        </w:rPr>
      </w:pPr>
    </w:p>
    <w:p>
      <w:pPr>
        <w:jc w:val="both"/>
        <w:ind w:left="5"/>
        <w:spacing w:after="0" w:line="302" w:lineRule="auto"/>
        <w:rPr>
          <w:sz w:val="20"/>
          <w:szCs w:val="20"/>
          <w:color w:val="auto"/>
        </w:rPr>
      </w:pPr>
      <w:r>
        <w:rPr>
          <w:rFonts w:ascii="Arial" w:cs="Arial" w:eastAsia="Arial" w:hAnsi="Arial"/>
          <w:sz w:val="14"/>
          <w:szCs w:val="14"/>
          <w:color w:val="auto"/>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8" w:lineRule="exact"/>
        <w:rPr>
          <w:sz w:val="20"/>
          <w:szCs w:val="20"/>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63" w:lineRule="exact"/>
        <w:rPr>
          <w:sz w:val="20"/>
          <w:szCs w:val="20"/>
          <w:color w:val="auto"/>
        </w:rPr>
      </w:pPr>
    </w:p>
    <w:p>
      <w:pPr>
        <w:ind w:left="105"/>
        <w:spacing w:after="0"/>
        <w:tabs>
          <w:tab w:leader="none" w:pos="925"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94"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u w:val="single" w:color="auto"/>
          <w:color w:val="0000FF"/>
        </w:rPr>
        <w:t>Press Release issued by Expensify, Inc., dated August 11, 2022.</w:t>
      </w:r>
    </w:p>
    <w:p>
      <w:pPr>
        <w:spacing w:after="0" w:line="88"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u w:val="single" w:color="auto"/>
          <w:color w:val="0000FF"/>
        </w:rPr>
        <w:t>Investor Presentation, dated August, 11, 2022.</w:t>
      </w:r>
    </w:p>
    <w:p>
      <w:pPr>
        <w:spacing w:after="0" w:line="88" w:lineRule="exact"/>
        <w:rPr>
          <w:sz w:val="20"/>
          <w:szCs w:val="20"/>
          <w:color w:val="auto"/>
        </w:rPr>
      </w:pPr>
    </w:p>
    <w:p>
      <w:pPr>
        <w:ind w:left="305"/>
        <w:spacing w:after="0"/>
        <w:tabs>
          <w:tab w:leader="none" w:pos="925"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839470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5"/>
          </w:cols>
          <w:pgMar w:left="315" w:top="1440" w:right="41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19050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2022</w:t>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EXPENSIFY ANNOUNCES Q2 2022 RESULTS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The company experienced its strongest quarter for paid member growth to date, generated year-over-year interchange growth from the Expensify Card of 142% and saw positive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operating cash flow of $27.2 million for the quarter.</w:t>
      </w:r>
    </w:p>
    <w:p>
      <w:pPr>
        <w:spacing w:after="0" w:line="230" w:lineRule="exact"/>
        <w:rPr>
          <w:sz w:val="20"/>
          <w:szCs w:val="20"/>
          <w:color w:val="auto"/>
        </w:rPr>
      </w:pPr>
    </w:p>
    <w:p>
      <w:pPr>
        <w:ind w:right="460"/>
        <w:spacing w:after="0" w:line="318" w:lineRule="auto"/>
        <w:rPr>
          <w:sz w:val="20"/>
          <w:szCs w:val="20"/>
          <w:color w:val="auto"/>
        </w:rPr>
      </w:pPr>
      <w:r>
        <w:rPr>
          <w:rFonts w:ascii="Arial" w:cs="Arial" w:eastAsia="Arial" w:hAnsi="Arial"/>
          <w:sz w:val="15"/>
          <w:szCs w:val="15"/>
          <w:color w:val="auto"/>
        </w:rPr>
        <w:t>PORTLAND, Ore.--(BUSINESS WIRE)--August 11, 2022-- Expensify, Inc. (Nasdaq: EXFY), a payments superapp that helps individuals and businesses around the world simplify the way they manage money across expenses, corporate cards and bills, today announced results for its quarter ended June 30, 2022.</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paid member count has fully rebounded and currently exceeds pre-pandemic levels, so there’s a lot to be excited about,” said David Barrett, Expensify’s founder and CEO. “We’re also doubling down on accounting partnerships – one of our most successful sales channels – by introducing dedicated partner managers and bringing back our invite-only accounting retreat, ExpensiCon, next May 2023. Not only has every ExpensiCon paid for itself many times over from the resulting subscription increases, it’s also a big cultural moment for the accounting industry and supercharges the activity we see in that channel.”</w:t>
      </w:r>
    </w:p>
    <w:p>
      <w:pPr>
        <w:spacing w:after="0" w:line="196"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“We delivered great results this quarter anchored by an increase in subscription revenue and Expensify Card interchange.” says Ryan Schaffer, Expensify’s CFO. “The strength the business is experiencing right now can also be seen in our positive operating cash flow of $27.2 million. We’re excited by the momentum we’re seeing in the business despite the challenging climate as we continue to offer and improve upon the most effective solution to serve all small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Second Quarter 2022 Highlights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w:t>
      </w:r>
    </w:p>
    <w:p>
      <w:pPr>
        <w:spacing w:after="0" w:line="20" w:lineRule="exact"/>
        <w:rPr>
          <w:sz w:val="20"/>
          <w:szCs w:val="20"/>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was $43.2 million, an increase of 22% compared to the same period last year.</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Interchange derived from the Expensify Card saw sequential quarterly growth of 40%, resulting in a 142% increase compared to the same period last year.</w:t>
      </w:r>
    </w:p>
    <w:p>
      <w:pPr>
        <w:spacing w:after="0" w:line="146" w:lineRule="exact"/>
        <w:rPr>
          <w:rFonts w:ascii="Arial" w:cs="Arial" w:eastAsia="Arial" w:hAnsi="Arial"/>
          <w:sz w:val="15"/>
          <w:szCs w:val="15"/>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Positive operating cash flows of $27.2 million.</w:t>
      </w:r>
    </w:p>
    <w:p>
      <w:pPr>
        <w:spacing w:after="0" w:line="135" w:lineRule="exact"/>
        <w:rPr>
          <w:rFonts w:ascii="Arial" w:cs="Arial" w:eastAsia="Arial" w:hAnsi="Arial"/>
          <w:sz w:val="16"/>
          <w:szCs w:val="16"/>
          <w:color w:val="auto"/>
        </w:rPr>
      </w:pPr>
    </w:p>
    <w:p>
      <w:pPr>
        <w:ind w:left="560" w:right="220" w:hanging="282"/>
        <w:spacing w:after="0" w:line="283"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income was $(8.0) million, compared to $6.6 million for the same period last year. This loss was primarily driven by stock-based compensation expenses of $14.0 million.</w:t>
      </w:r>
    </w:p>
    <w:p>
      <w:pPr>
        <w:spacing w:after="0" w:line="86" w:lineRule="exact"/>
        <w:rPr>
          <w:rFonts w:ascii="Arial" w:cs="Arial" w:eastAsia="Arial" w:hAnsi="Arial"/>
          <w:sz w:val="16"/>
          <w:szCs w:val="16"/>
          <w:color w:val="auto"/>
        </w:rPr>
      </w:pPr>
    </w:p>
    <w:p>
      <w:pPr>
        <w:ind w:left="1120" w:hanging="274"/>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6"/>
          <w:szCs w:val="16"/>
          <w:color w:val="auto"/>
        </w:rPr>
        <w:t>Non-GAAP net income was $6.1 million.</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was $11.7 million, with an Adjusted EBITDA margin of 27%.</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w:t>
      </w:r>
    </w:p>
    <w:p>
      <w:pPr>
        <w:spacing w:after="0" w:line="135" w:lineRule="exact"/>
        <w:rPr>
          <w:sz w:val="20"/>
          <w:szCs w:val="20"/>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Paid members </w:t>
      </w:r>
      <w:r>
        <w:rPr>
          <w:rFonts w:ascii="Arial" w:cs="Arial" w:eastAsia="Arial" w:hAnsi="Arial"/>
          <w:sz w:val="16"/>
          <w:szCs w:val="16"/>
          <w:color w:val="auto"/>
        </w:rPr>
        <w:t>- a strong Q2 propelled quarterly paid members for the quarter to 754,000 compared to 706,000 in Q1.</w:t>
      </w:r>
    </w:p>
    <w:p>
      <w:pPr>
        <w:spacing w:after="0" w:line="147" w:lineRule="exact"/>
        <w:rPr>
          <w:rFonts w:ascii="Arial" w:cs="Arial" w:eastAsia="Arial" w:hAnsi="Arial"/>
          <w:sz w:val="16"/>
          <w:szCs w:val="16"/>
          <w:color w:val="auto"/>
        </w:rPr>
      </w:pPr>
    </w:p>
    <w:p>
      <w:pPr>
        <w:ind w:left="560" w:right="60" w:hanging="282"/>
        <w:spacing w:after="0" w:line="273"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ExpensiCon </w:t>
      </w:r>
      <w:r>
        <w:rPr>
          <w:rFonts w:ascii="Arial" w:cs="Arial" w:eastAsia="Arial" w:hAnsi="Arial"/>
          <w:sz w:val="16"/>
          <w:szCs w:val="16"/>
          <w:color w:val="auto"/>
        </w:rPr>
        <w:t>- the third-ever, invite-only accounting retreat is returning May 2023, this time bringing industry thought-leaders to the legendary Borgo Egnazia in Puglia,</w:t>
      </w:r>
      <w:r>
        <w:rPr>
          <w:rFonts w:ascii="Arial" w:cs="Arial" w:eastAsia="Arial" w:hAnsi="Arial"/>
          <w:sz w:val="16"/>
          <w:szCs w:val="16"/>
          <w:b w:val="1"/>
          <w:bCs w:val="1"/>
          <w:color w:val="auto"/>
        </w:rPr>
        <w:t xml:space="preserve"> </w:t>
      </w:r>
      <w:r>
        <w:rPr>
          <w:rFonts w:ascii="Arial" w:cs="Arial" w:eastAsia="Arial" w:hAnsi="Arial"/>
          <w:sz w:val="16"/>
          <w:szCs w:val="16"/>
          <w:color w:val="auto"/>
        </w:rPr>
        <w:t>Italy.</w:t>
      </w:r>
    </w:p>
    <w:p>
      <w:pPr>
        <w:spacing w:after="0" w:line="101" w:lineRule="exact"/>
        <w:rPr>
          <w:rFonts w:ascii="Arial" w:cs="Arial" w:eastAsia="Arial" w:hAnsi="Arial"/>
          <w:sz w:val="16"/>
          <w:szCs w:val="16"/>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Awards</w:t>
      </w:r>
    </w:p>
    <w:p>
      <w:pPr>
        <w:spacing w:after="0" w:line="139" w:lineRule="exact"/>
        <w:rPr>
          <w:rFonts w:ascii="Arial" w:cs="Arial" w:eastAsia="Arial" w:hAnsi="Arial"/>
          <w:sz w:val="16"/>
          <w:szCs w:val="16"/>
          <w:color w:val="auto"/>
        </w:rPr>
      </w:pPr>
    </w:p>
    <w:p>
      <w:pPr>
        <w:ind w:left="1120" w:hanging="274"/>
        <w:spacing w:after="0"/>
        <w:tabs>
          <w:tab w:leader="none" w:pos="11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Expensify’s employee-controlled compensation program earned two finalist spots as part of Fast Company’s World Changing Ideas Awards.</w:t>
      </w:r>
    </w:p>
    <w:p>
      <w:pPr>
        <w:spacing w:after="0" w:line="135" w:lineRule="exact"/>
        <w:rPr>
          <w:rFonts w:ascii="Arial" w:cs="Arial" w:eastAsia="Arial" w:hAnsi="Arial"/>
          <w:sz w:val="16"/>
          <w:szCs w:val="16"/>
          <w:color w:val="auto"/>
        </w:rPr>
      </w:pPr>
    </w:p>
    <w:p>
      <w:pPr>
        <w:ind w:left="1140" w:right="540" w:hanging="294"/>
        <w:spacing w:after="0" w:line="283" w:lineRule="auto"/>
        <w:tabs>
          <w:tab w:leader="none" w:pos="1137" w:val="left"/>
        </w:tabs>
        <w:numPr>
          <w:ilvl w:val="1"/>
          <w:numId w:val="4"/>
        </w:numPr>
        <w:rPr>
          <w:rFonts w:ascii="Arial" w:cs="Arial" w:eastAsia="Arial" w:hAnsi="Arial"/>
          <w:sz w:val="16"/>
          <w:szCs w:val="16"/>
          <w:color w:val="auto"/>
        </w:rPr>
      </w:pPr>
      <w:r>
        <w:rPr>
          <w:rFonts w:ascii="Arial" w:cs="Arial" w:eastAsia="Arial" w:hAnsi="Arial"/>
          <w:sz w:val="16"/>
          <w:szCs w:val="16"/>
          <w:color w:val="auto"/>
        </w:rPr>
        <w:t>Expensify also won multiple workplace awards for 2022, with Fortune designating the company one of the best small workplaces and the San Francisco Chronicle ranking it one of the top workplaces in the Bay Area.</w:t>
      </w:r>
    </w:p>
    <w:p>
      <w:pPr>
        <w:sectPr>
          <w:pgSz w:w="11900" w:h="16838" w:orient="portrait"/>
          <w:cols w:equalWidth="0" w:num="1">
            <w:col w:w="11260"/>
          </w:cols>
          <w:pgMar w:left="320" w:top="123"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Outlook</w:t>
      </w:r>
    </w:p>
    <w:p>
      <w:pPr>
        <w:spacing w:after="0" w:line="128"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reaffirm our long term guidance provided in connection with our fourth quarter 2021 results of 25-35% revenue growth over a multi-year period.</w:t>
      </w:r>
    </w:p>
    <w:p>
      <w:pPr>
        <w:spacing w:after="0" w:line="218"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Expensify is also providing an estimate on what stock based compensation is expected to look like for the rest of the fiscal year. Driven primarily by the pre-IPO grant of RSUs issued to all employees (which vest over 8 years – 1/8 after one year and quarterly thereafter), stock based compensation is estimated as seen below: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66675</wp:posOffset>
            </wp:positionV>
            <wp:extent cx="39427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27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36195</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Q3 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Q4 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Q1 2023</w:t>
            </w:r>
          </w:p>
        </w:tc>
        <w:tc>
          <w:tcPr>
            <w:tcW w:w="680" w:type="dxa"/>
            <w:vAlign w:val="bottom"/>
            <w:tcBorders>
              <w:bottom w:val="single" w:sz="8" w:color="auto"/>
            </w:tcBorders>
          </w:tcPr>
          <w:p>
            <w:pPr>
              <w:spacing w:after="0"/>
              <w:rPr>
                <w:sz w:val="20"/>
                <w:szCs w:val="20"/>
                <w:color w:val="auto"/>
              </w:rPr>
            </w:pPr>
          </w:p>
        </w:tc>
      </w:tr>
      <w:tr>
        <w:trPr>
          <w:trHeight w:val="252"/>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20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Arial" w:cs="Arial" w:eastAsia="Arial" w:hAnsi="Arial"/>
                <w:sz w:val="17"/>
                <w:szCs w:val="17"/>
                <w:b w:val="1"/>
                <w:bCs w:val="1"/>
                <w:color w:val="auto"/>
              </w:rPr>
              <w:t>Low</w:t>
            </w:r>
          </w:p>
        </w:tc>
        <w:tc>
          <w:tcPr>
            <w:tcW w:w="26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22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680" w:type="dxa"/>
            <w:vAlign w:val="bottom"/>
          </w:tcPr>
          <w:p>
            <w:pPr>
              <w:jc w:val="right"/>
              <w:ind w:right="213"/>
              <w:spacing w:after="0"/>
              <w:rPr>
                <w:sz w:val="20"/>
                <w:szCs w:val="20"/>
                <w:color w:val="auto"/>
              </w:rPr>
            </w:pPr>
            <w:r>
              <w:rPr>
                <w:rFonts w:ascii="Arial" w:cs="Arial" w:eastAsia="Arial" w:hAnsi="Arial"/>
                <w:sz w:val="17"/>
                <w:szCs w:val="17"/>
                <w:b w:val="1"/>
                <w:bCs w:val="1"/>
                <w:color w:val="auto"/>
                <w:w w:val="95"/>
              </w:rPr>
              <w:t>High</w:t>
            </w:r>
          </w:p>
        </w:tc>
      </w:tr>
      <w:tr>
        <w:trPr>
          <w:trHeight w:val="26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 net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51"/>
        </w:trPr>
        <w:tc>
          <w:tcPr>
            <w:tcW w:w="50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52"/>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8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Availability of Information on Expensify’s Website</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39"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we provide certain non-GAAP financial measures, including adjusted EBITDA and non-GAAP net income.</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w:t>
      </w:r>
    </w:p>
    <w:p>
      <w:pPr>
        <w:sectPr>
          <w:pgSz w:w="11900" w:h="16838" w:orient="portrait"/>
          <w:cols w:equalWidth="0" w:num="1">
            <w:col w:w="11260"/>
          </w:cols>
          <w:pgMar w:left="320" w:top="123"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color w:val="auto"/>
        </w:rPr>
        <w:t>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51" w:lineRule="exact"/>
        <w:rPr>
          <w:sz w:val="20"/>
          <w:szCs w:val="20"/>
          <w:color w:val="auto"/>
        </w:rPr>
      </w:pPr>
    </w:p>
    <w:p>
      <w:pPr>
        <w:ind w:right="600"/>
        <w:spacing w:after="0" w:line="288"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We define adjusted EBITDA as net income from operations excluding provision for income taxes, interest and other expenses, net,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and stock 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We define adjusted EBITDA margin as adjusted EBITDA divided by total revenue for the same period.</w:t>
      </w:r>
    </w:p>
    <w:p>
      <w:pPr>
        <w:spacing w:after="0" w:line="218"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b w:val="1"/>
          <w:bCs w:val="1"/>
          <w:color w:val="auto"/>
        </w:rPr>
        <w:t xml:space="preserve">Non-GAAP net income. </w:t>
      </w:r>
      <w:r>
        <w:rPr>
          <w:rFonts w:ascii="Arial" w:cs="Arial" w:eastAsia="Arial" w:hAnsi="Arial"/>
          <w:sz w:val="15"/>
          <w:szCs w:val="15"/>
          <w:color w:val="auto"/>
        </w:rPr>
        <w:t>We define non-GAAP net income as net income from operations in accordance with US GAAP excluding stock-based compensation and IPO-related</w:t>
      </w:r>
      <w:r>
        <w:rPr>
          <w:rFonts w:ascii="Arial" w:cs="Arial" w:eastAsia="Arial" w:hAnsi="Arial"/>
          <w:sz w:val="15"/>
          <w:szCs w:val="15"/>
          <w:b w:val="1"/>
          <w:bCs w:val="1"/>
          <w:color w:val="auto"/>
        </w:rPr>
        <w:t xml:space="preserve"> </w:t>
      </w:r>
      <w:r>
        <w:rPr>
          <w:rFonts w:ascii="Arial" w:cs="Arial" w:eastAsia="Arial" w:hAnsi="Arial"/>
          <w:sz w:val="15"/>
          <w:szCs w:val="15"/>
          <w:color w:val="auto"/>
        </w:rPr>
        <w:t>bonus costs. Prior to the four quarter of 2021,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 IPO-related bonus costs impacted the second, third and fourth fiscal quarters of 2021 but did not impact the first or second quarters of 2022 and are not expected to impact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net income margin. </w:t>
      </w:r>
      <w:r>
        <w:rPr>
          <w:rFonts w:ascii="Arial" w:cs="Arial" w:eastAsia="Arial" w:hAnsi="Arial"/>
          <w:sz w:val="16"/>
          <w:szCs w:val="16"/>
          <w:color w:val="auto"/>
        </w:rPr>
        <w:t>We define non-GAAP net income as non-GAAP net income divided by total revenue for the same period.</w:t>
      </w:r>
    </w:p>
    <w:p>
      <w:pPr>
        <w:spacing w:after="0" w:line="23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w:t>
      </w:r>
    </w:p>
    <w:p>
      <w:pPr>
        <w:sectPr>
          <w:pgSz w:w="11900" w:h="16838" w:orient="portrait"/>
          <w:cols w:equalWidth="0" w:num="1">
            <w:col w:w="11260"/>
          </w:cols>
          <w:pgMar w:left="320" w:top="123"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Expensify</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Nick Tooker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investors@expensify.com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James Dean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press@expensify.com</w:t>
      </w:r>
    </w:p>
    <w:p>
      <w:pPr>
        <w:sectPr>
          <w:pgSz w:w="11900" w:h="16838" w:orient="portrait"/>
          <w:cols w:equalWidth="0" w:num="1">
            <w:col w:w="11260"/>
          </w:cols>
          <w:pgMar w:left="320" w:top="123" w:right="319" w:bottom="1440" w:gutter="0" w:footer="0" w:header="0"/>
        </w:sectPr>
      </w:pPr>
    </w:p>
    <w:bookmarkStart w:id="7" w:name="page8"/>
    <w:bookmarkEnd w:id="7"/>
    <w:p>
      <w:pPr>
        <w:jc w:val="center"/>
        <w:ind w:right="66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 w:lineRule="exact"/>
        <w:rPr>
          <w:sz w:val="20"/>
          <w:szCs w:val="20"/>
          <w:color w:val="auto"/>
        </w:rPr>
      </w:pPr>
    </w:p>
    <w:p>
      <w:pPr>
        <w:ind w:left="3240"/>
        <w:spacing w:after="0"/>
        <w:rPr>
          <w:sz w:val="20"/>
          <w:szCs w:val="20"/>
          <w:color w:val="auto"/>
        </w:rPr>
      </w:pPr>
      <w:r>
        <w:rPr>
          <w:rFonts w:ascii="Arial" w:cs="Arial" w:eastAsia="Arial" w:hAnsi="Arial"/>
          <w:sz w:val="12"/>
          <w:szCs w:val="12"/>
          <w:color w:val="auto"/>
        </w:rPr>
        <w:t>(unaudited, in thousands, except share and per share data)</w:t>
      </w:r>
    </w:p>
    <w:p>
      <w:pPr>
        <w:sectPr>
          <w:pgSz w:w="11900" w:h="16838" w:orient="portrait"/>
          <w:cols w:equalWidth="0" w:num="1">
            <w:col w:w="10780"/>
          </w:cols>
          <w:pgMar w:left="880" w:top="3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37465</wp:posOffset>
            </wp:positionV>
            <wp:extent cx="998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66" w:lineRule="exact"/>
        <w:rPr>
          <w:sz w:val="20"/>
          <w:szCs w:val="20"/>
          <w:color w:val="auto"/>
        </w:rPr>
      </w:pPr>
    </w:p>
    <w:p>
      <w:pPr>
        <w:jc w:val="center"/>
        <w:ind w:left="8360"/>
        <w:spacing w:after="0"/>
        <w:rPr>
          <w:sz w:val="20"/>
          <w:szCs w:val="20"/>
          <w:color w:val="auto"/>
        </w:rPr>
      </w:pP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As of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52070</wp:posOffset>
            </wp:positionV>
            <wp:extent cx="6934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 cy="762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2021</w:t>
      </w:r>
    </w:p>
    <w:p>
      <w:pPr>
        <w:spacing w:after="0" w:line="16" w:lineRule="exact"/>
        <w:rPr>
          <w:sz w:val="20"/>
          <w:szCs w:val="20"/>
          <w:color w:val="auto"/>
        </w:rPr>
      </w:pPr>
    </w:p>
    <w:p>
      <w:pPr>
        <w:sectPr>
          <w:pgSz w:w="11900" w:h="16838" w:orient="portrait"/>
          <w:cols w:equalWidth="0" w:num="2">
            <w:col w:w="9240" w:space="720"/>
            <w:col w:w="820"/>
          </w:cols>
          <w:pgMar w:left="880" w:top="33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105,537</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Arial" w:cs="Arial" w:eastAsia="Arial" w:hAnsi="Arial"/>
                <w:sz w:val="13"/>
                <w:szCs w:val="13"/>
                <w:color w:val="auto"/>
                <w:w w:val="82"/>
              </w:rPr>
              <w:t>$</w:t>
            </w: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Accounts receivable, net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16,270</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Settlement assets</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43,780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Prepaid expenses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5,430</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Related party loan receivable</w:t>
            </w:r>
          </w:p>
        </w:tc>
        <w:tc>
          <w:tcPr>
            <w:tcW w:w="6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20,434</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assets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191,451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Capitalized software, net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6,006</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Property and equipment, net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15,174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right-of-use assets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Deferred tax assets, net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8020" w:type="dxa"/>
            <w:vAlign w:val="bottom"/>
          </w:tcPr>
          <w:p>
            <w:pPr>
              <w:ind w:left="680"/>
              <w:spacing w:after="0"/>
              <w:rPr>
                <w:sz w:val="20"/>
                <w:szCs w:val="20"/>
                <w:color w:val="auto"/>
              </w:rPr>
            </w:pPr>
            <w:r>
              <w:rPr>
                <w:rFonts w:ascii="Arial" w:cs="Arial" w:eastAsia="Arial" w:hAnsi="Arial"/>
                <w:sz w:val="13"/>
                <w:szCs w:val="13"/>
                <w:color w:val="auto"/>
              </w:rPr>
              <w:t>Total assets</w:t>
            </w:r>
          </w:p>
        </w:tc>
        <w:tc>
          <w:tcPr>
            <w:tcW w:w="6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215,372</w:t>
            </w:r>
          </w:p>
        </w:tc>
        <w:tc>
          <w:tcPr>
            <w:tcW w:w="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5"/>
        </w:trPr>
        <w:tc>
          <w:tcPr>
            <w:tcW w:w="802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Liabilities and stockholders' equity</w:t>
            </w:r>
          </w:p>
        </w:tc>
        <w:tc>
          <w:tcPr>
            <w:tcW w:w="6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2,169</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Arial" w:cs="Arial" w:eastAsia="Arial" w:hAnsi="Arial"/>
                <w:sz w:val="13"/>
                <w:szCs w:val="13"/>
                <w:color w:val="auto"/>
                <w:w w:val="82"/>
              </w:rPr>
              <w:t>$</w:t>
            </w: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8,967</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Borrowings under line of credit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Current portion of long-term debt, net of original issuance discount and debt issuance costs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Lease liabilities, current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Settlement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41,590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liabilities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69,782</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liabilities, non-current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Other liabilities</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Long-term debt, net of original issuance discount and debt issuance costs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51,710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liabilities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122,681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4)</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Common stock, par value $0.0001; 1,000,000,000 shares of Class A common stock authorized as of June 30, 2022 and December 31, 2021; 68,209,726 and</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67,844,060 shares of Class A common stock issued and outstanding as of June 30, 2022 and December 31, 2021, respectively; 24,999,330 and 25,000,000</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shares of LT10 common stock authorized as of June 30, 2022 and December 31, 2021, respectively; 7,337,960 and 7,332,640 shares of LT10 common stock</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issued and outstanding as of June 30, 2022 and December 31, 2021, respectively; 24,999,170 and 25,000,000 shares of LT50 common stock authorized as of</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June 30, 2022 and December 31, 2021, respectively; 6,225,330 and 6,224,160 shares of LT50 common stock issued and outstanding as of June 30, 2022 and</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December 31, 2021, respectively; preferred stock, par value $0.0001; 10,000,000 shares of preferred stock authorized as of June 30, 2022 and December 31,</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no shares of preferred stock outstanding as of June 30, 2022 and December 31, 2021</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173,961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(81,276)</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60"/>
              <w:spacing w:after="0"/>
              <w:rPr>
                <w:sz w:val="20"/>
                <w:szCs w:val="20"/>
                <w:color w:val="auto"/>
              </w:rPr>
            </w:pPr>
            <w:r>
              <w:rPr>
                <w:rFonts w:ascii="Arial" w:cs="Arial" w:eastAsia="Arial" w:hAnsi="Arial"/>
                <w:sz w:val="13"/>
                <w:szCs w:val="13"/>
                <w:color w:val="auto"/>
              </w:rPr>
              <w:t>Total stockholders' equity</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92,691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Total liabilities and stockholders' equity</w:t>
            </w:r>
          </w:p>
        </w:tc>
        <w:tc>
          <w:tcPr>
            <w:tcW w:w="6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215,372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80"/>
          </w:cols>
          <w:pgMar w:left="880" w:top="339" w:right="239" w:bottom="1440" w:gutter="0" w:footer="0" w:header="0"/>
          <w:type w:val="continuous"/>
        </w:sectPr>
      </w:pPr>
    </w:p>
    <w:bookmarkStart w:id="8" w:name="page9"/>
    <w:bookmarkEnd w:id="8"/>
    <w:p>
      <w:pPr>
        <w:jc w:val="center"/>
        <w:ind w:right="-177"/>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177"/>
        <w:spacing w:after="0"/>
        <w:rPr>
          <w:sz w:val="20"/>
          <w:szCs w:val="20"/>
          <w:color w:val="auto"/>
        </w:rPr>
      </w:pPr>
      <w:r>
        <w:rPr>
          <w:rFonts w:ascii="Arial" w:cs="Arial" w:eastAsia="Arial" w:hAnsi="Arial"/>
          <w:sz w:val="19"/>
          <w:szCs w:val="19"/>
          <w:b w:val="1"/>
          <w:bCs w:val="1"/>
          <w:color w:val="auto"/>
        </w:rPr>
        <w:t>Condensed Consolidated Statements of Operations</w:t>
      </w:r>
    </w:p>
    <w:p>
      <w:pPr>
        <w:spacing w:after="0" w:line="18" w:lineRule="exact"/>
        <w:rPr>
          <w:sz w:val="20"/>
          <w:szCs w:val="20"/>
          <w:color w:val="auto"/>
        </w:rPr>
      </w:pPr>
    </w:p>
    <w:p>
      <w:pPr>
        <w:jc w:val="center"/>
        <w:ind w:right="-177"/>
        <w:spacing w:after="0"/>
        <w:rPr>
          <w:sz w:val="20"/>
          <w:szCs w:val="20"/>
          <w:color w:val="auto"/>
        </w:rPr>
      </w:pPr>
      <w:r>
        <w:rPr>
          <w:rFonts w:ascii="Arial" w:cs="Arial" w:eastAsia="Arial" w:hAnsi="Arial"/>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185420</wp:posOffset>
            </wp:positionV>
            <wp:extent cx="61956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15240"/>
                    </a:xfrm>
                    <a:prstGeom prst="rect">
                      <a:avLst/>
                    </a:prstGeom>
                    <a:noFill/>
                  </pic:spPr>
                </pic:pic>
              </a:graphicData>
            </a:graphic>
          </wp:anchor>
        </w:drawing>
      </w:r>
    </w:p>
    <w:p>
      <w:pPr>
        <w:spacing w:after="0" w:line="303" w:lineRule="exact"/>
        <w:rPr>
          <w:sz w:val="20"/>
          <w:szCs w:val="20"/>
          <w:color w:val="auto"/>
        </w:rPr>
      </w:pPr>
    </w:p>
    <w:tbl>
      <w:tblPr>
        <w:tblLayout w:type="fixed"/>
        <w:tblInd w:w="198"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7"/>
                <w:szCs w:val="17"/>
                <w:color w:val="auto"/>
              </w:rPr>
            </w:pPr>
          </w:p>
        </w:tc>
        <w:tc>
          <w:tcPr>
            <w:tcW w:w="250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 share data)</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43,162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net</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15,876</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27,370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53,522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48"/>
        </w:trPr>
        <w:tc>
          <w:tcPr>
            <w:tcW w:w="4060" w:type="dxa"/>
            <w:vAlign w:val="bottom"/>
          </w:tcPr>
          <w:p>
            <w:pPr>
              <w:ind w:left="20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19,871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Net (loss) income attributable to Class A, LT10 and LT50</w:t>
            </w:r>
          </w:p>
        </w:tc>
        <w:tc>
          <w:tcPr>
            <w:tcW w:w="24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(7,994)</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1,925</w:t>
            </w:r>
          </w:p>
        </w:tc>
        <w:tc>
          <w:tcPr>
            <w:tcW w:w="8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common stockholders</w:t>
            </w: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3"/>
              </w:rPr>
              <w:t>Net (loss) income per share attributable to Class A, LT10 and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LT50 common stockholders: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88"/>
              </w:rPr>
              <w:t>Weighted-average shares of common stock used to compute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Arial" w:cs="Arial" w:eastAsia="Arial" w:hAnsi="Arial"/>
                <w:sz w:val="16"/>
                <w:szCs w:val="16"/>
                <w:color w:val="auto"/>
                <w:w w:val="96"/>
              </w:rPr>
              <w:t>(loss) income per share attributable to Class A, LT10 and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60" w:type="dxa"/>
            <w:vAlign w:val="bottom"/>
          </w:tcPr>
          <w:p>
            <w:pPr>
              <w:ind w:left="140"/>
              <w:spacing w:after="0"/>
              <w:rPr>
                <w:sz w:val="20"/>
                <w:szCs w:val="20"/>
                <w:color w:val="auto"/>
              </w:rPr>
            </w:pPr>
            <w:r>
              <w:rPr>
                <w:rFonts w:ascii="Arial" w:cs="Arial" w:eastAsia="Arial" w:hAnsi="Arial"/>
                <w:sz w:val="16"/>
                <w:szCs w:val="16"/>
                <w:color w:val="auto"/>
              </w:rPr>
              <w:t>LT50 common stockholders: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80,473,097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29,836,295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80,311,053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80,473,097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41,341,330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80,311,053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r>
        <w:trPr>
          <w:trHeight w:val="64"/>
        </w:trPr>
        <w:tc>
          <w:tcPr>
            <w:tcW w:w="40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558" w:hanging="558"/>
        <w:spacing w:after="0"/>
        <w:tabs>
          <w:tab w:leader="none" w:pos="558"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20320</wp:posOffset>
            </wp:positionV>
            <wp:extent cx="567753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7535" cy="15240"/>
                    </a:xfrm>
                    <a:prstGeom prst="rect">
                      <a:avLst/>
                    </a:prstGeom>
                    <a:noFill/>
                  </pic:spPr>
                </pic:pic>
              </a:graphicData>
            </a:graphic>
          </wp:anchor>
        </w:drawing>
      </w:r>
    </w:p>
    <w:p>
      <w:pPr>
        <w:spacing w:after="0" w:line="51" w:lineRule="exact"/>
        <w:rPr>
          <w:sz w:val="20"/>
          <w:szCs w:val="20"/>
          <w:color w:val="auto"/>
        </w:rPr>
      </w:pPr>
    </w:p>
    <w:tbl>
      <w:tblPr>
        <w:tblLayout w:type="fixed"/>
        <w:tblInd w:w="738"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2180" w:type="dxa"/>
            <w:vAlign w:val="bottom"/>
            <w:gridSpan w:val="4"/>
          </w:tcPr>
          <w:p>
            <w:pPr>
              <w:jc w:val="right"/>
              <w:ind w:right="62"/>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504"/>
              <w:spacing w:after="0"/>
              <w:rPr>
                <w:sz w:val="20"/>
                <w:szCs w:val="20"/>
                <w:color w:val="auto"/>
              </w:rPr>
            </w:pPr>
            <w:r>
              <w:rPr>
                <w:rFonts w:ascii="Arial" w:cs="Arial" w:eastAsia="Arial" w:hAnsi="Arial"/>
                <w:sz w:val="13"/>
                <w:szCs w:val="13"/>
                <w:b w:val="1"/>
                <w:bCs w:val="1"/>
                <w:color w:val="auto"/>
              </w:rPr>
              <w:t>Six months ended June 30,</w:t>
            </w:r>
          </w:p>
        </w:tc>
      </w:tr>
      <w:tr>
        <w:trPr>
          <w:trHeight w:val="21"/>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800" w:type="dxa"/>
            <w:vAlign w:val="bottom"/>
          </w:tcPr>
          <w:p>
            <w:pPr>
              <w:jc w:val="right"/>
              <w:ind w:right="4"/>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4"/>
              <w:spacing w:after="0"/>
              <w:rPr>
                <w:sz w:val="20"/>
                <w:szCs w:val="20"/>
                <w:color w:val="auto"/>
              </w:rPr>
            </w:pPr>
            <w:r>
              <w:rPr>
                <w:rFonts w:ascii="Arial" w:cs="Arial" w:eastAsia="Arial" w:hAnsi="Arial"/>
                <w:sz w:val="13"/>
                <w:szCs w:val="13"/>
                <w:b w:val="1"/>
                <w:bCs w:val="1"/>
                <w:color w:val="auto"/>
              </w:rPr>
              <w:t>2021</w:t>
            </w:r>
          </w:p>
        </w:tc>
      </w:tr>
      <w:tr>
        <w:trPr>
          <w:trHeight w:val="21"/>
        </w:trPr>
        <w:tc>
          <w:tcPr>
            <w:tcW w:w="3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revenue, net</w:t>
            </w:r>
          </w:p>
        </w:tc>
        <w:tc>
          <w:tcPr>
            <w:tcW w:w="800" w:type="dxa"/>
            <w:vAlign w:val="bottom"/>
            <w:tcBorders>
              <w:bottom w:val="single" w:sz="8" w:color="CCEEFF"/>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4,704</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425</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1,877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4,298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328</w:t>
            </w:r>
          </w:p>
        </w:tc>
      </w:tr>
      <w:tr>
        <w:trPr>
          <w:trHeight w:val="37"/>
        </w:trPr>
        <w:tc>
          <w:tcPr>
            <w:tcW w:w="3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5,463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10,439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708</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2,004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137</w:t>
            </w:r>
          </w:p>
        </w:tc>
      </w:tr>
      <w:tr>
        <w:trPr>
          <w:trHeight w:val="37"/>
        </w:trPr>
        <w:tc>
          <w:tcPr>
            <w:tcW w:w="37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80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14,048</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888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1,598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938"/>
          </w:cols>
          <w:pgMar w:left="882" w:top="339" w:right="10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60" w:type="dxa"/>
            <w:vAlign w:val="bottom"/>
            <w:gridSpan w:val="3"/>
          </w:tcPr>
          <w:p>
            <w:pPr>
              <w:jc w:val="right"/>
              <w:ind w:right="265"/>
              <w:spacing w:after="0"/>
              <w:rPr>
                <w:sz w:val="20"/>
                <w:szCs w:val="20"/>
                <w:color w:val="auto"/>
              </w:rPr>
            </w:pPr>
            <w:r>
              <w:rPr>
                <w:rFonts w:ascii="Arial" w:cs="Arial" w:eastAsia="Arial" w:hAnsi="Arial"/>
                <w:sz w:val="11"/>
                <w:szCs w:val="11"/>
                <w:b w:val="1"/>
                <w:bCs w:val="1"/>
                <w:color w:val="auto"/>
              </w:rPr>
              <w:t>Six months ended June 30,</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860" w:type="dxa"/>
            <w:vAlign w:val="bottom"/>
          </w:tcPr>
          <w:p>
            <w:pPr>
              <w:jc w:val="right"/>
              <w:ind w:right="345"/>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tcPr>
          <w:p>
            <w:pPr>
              <w:jc w:val="right"/>
              <w:ind w:right="1305"/>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9"/>
        </w:trPr>
        <w:tc>
          <w:tcPr>
            <w:tcW w:w="552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(15,370)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14,674</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2,735</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2,294</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Reduction of operating lease right-of-use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358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impairment, receivables and sale or disposal of equipment</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475</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28,428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Amortization of original issuance discount and debt issuance costs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Deferred tax assets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Changes in assets and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receivable, net</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(906)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(3,513)</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assets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(8,999)</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(2,996)</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2,006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(1,542)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Related party loan receivable</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1,193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(1,583)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(1,335)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expenses and other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(1,366)</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6,768</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(404)</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(406)</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19,910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7,101</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liabilities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963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472</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27,158</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24,213</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1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Purchases of property and equipment</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(1,940)</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Software development costs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(1,353)</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by investing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(3,293)</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1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Principal payments of finance leases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Principal payments of term loan</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Repurchases of early exercised stock options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Proceeds from common stock purchased under Matching Plan</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1,188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Payments of deferred offering costs</w:t>
            </w:r>
          </w:p>
        </w:tc>
        <w:tc>
          <w:tcPr>
            <w:tcW w:w="18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Proceeds from issuance of common stock on exercise of stock options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971</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(used) by financing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996</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(3,988)</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rPr>
                <w:sz w:val="20"/>
                <w:szCs w:val="20"/>
                <w:color w:val="auto"/>
              </w:rPr>
            </w:pPr>
            <w:r>
              <w:rPr>
                <w:rFonts w:ascii="Arial" w:cs="Arial" w:eastAsia="Arial" w:hAnsi="Arial"/>
                <w:sz w:val="11"/>
                <w:szCs w:val="11"/>
                <w:color w:val="auto"/>
              </w:rPr>
              <w:t>Net increase in cash and cash equivalents and restricted cash</w:t>
            </w:r>
          </w:p>
        </w:tc>
        <w:tc>
          <w:tcPr>
            <w:tcW w:w="18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27,419</w:t>
            </w: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16,932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8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125,315</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46,878</w:t>
            </w:r>
          </w:p>
        </w:tc>
        <w:tc>
          <w:tcPr>
            <w:tcW w:w="0" w:type="dxa"/>
            <w:vAlign w:val="bottom"/>
          </w:tcPr>
          <w:p>
            <w:pPr>
              <w:spacing w:after="0"/>
              <w:rPr>
                <w:sz w:val="1"/>
                <w:szCs w:val="1"/>
                <w:color w:val="auto"/>
              </w:rPr>
            </w:pPr>
          </w:p>
        </w:tc>
      </w:tr>
      <w:tr>
        <w:trPr>
          <w:trHeight w:val="173"/>
        </w:trPr>
        <w:tc>
          <w:tcPr>
            <w:tcW w:w="5520" w:type="dxa"/>
            <w:vAlign w:val="bottom"/>
          </w:tcPr>
          <w:p>
            <w:pPr>
              <w:ind w:left="20"/>
              <w:spacing w:after="0"/>
              <w:rPr>
                <w:sz w:val="20"/>
                <w:szCs w:val="20"/>
                <w:color w:val="auto"/>
              </w:rPr>
            </w:pPr>
            <w:r>
              <w:rPr>
                <w:rFonts w:ascii="Arial" w:cs="Arial" w:eastAsia="Arial" w:hAnsi="Arial"/>
                <w:sz w:val="11"/>
                <w:szCs w:val="11"/>
                <w:color w:val="auto"/>
              </w:rPr>
              <w:t>Cash and cash equivalents and restricted cash, end of period</w:t>
            </w:r>
          </w:p>
        </w:tc>
        <w:tc>
          <w:tcPr>
            <w:tcW w:w="1860" w:type="dxa"/>
            <w:vAlign w:val="bottom"/>
            <w:tcBorders>
              <w:top w:val="single" w:sz="8" w:color="auto"/>
              <w:bottom w:val="single" w:sz="8" w:color="auto"/>
            </w:tcBorders>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152,734</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63,810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52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Supplemental disclosure of cash flow information:</w:t>
            </w:r>
          </w:p>
        </w:tc>
        <w:tc>
          <w:tcPr>
            <w:tcW w:w="18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Cash paid for interest</w:t>
            </w:r>
          </w:p>
        </w:tc>
        <w:tc>
          <w:tcPr>
            <w:tcW w:w="1860" w:type="dxa"/>
            <w:vAlign w:val="bottom"/>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1,750</w:t>
            </w:r>
          </w:p>
        </w:tc>
        <w:tc>
          <w:tcPr>
            <w:tcW w:w="80" w:type="dxa"/>
            <w:vAlign w:val="bottom"/>
          </w:tcPr>
          <w:p>
            <w:pPr>
              <w:spacing w:after="0"/>
              <w:rPr>
                <w:sz w:val="13"/>
                <w:szCs w:val="13"/>
                <w:color w:val="auto"/>
              </w:rPr>
            </w:pPr>
          </w:p>
        </w:tc>
        <w:tc>
          <w:tcPr>
            <w:tcW w:w="1040" w:type="dxa"/>
            <w:vAlign w:val="bottom"/>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1,445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paid for income taxes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606</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5,122</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Noncash investing and financing items: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Accrued deferred offering costs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821</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Reconciliation of cash, cash equivalents and restricted cash to the condensed consolidated balance sheets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105,537</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45,429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other current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16,077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3,652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Restricted cash included in other assets</w:t>
            </w:r>
          </w:p>
        </w:tc>
        <w:tc>
          <w:tcPr>
            <w:tcW w:w="18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settlement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31,120</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14,680</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1860" w:type="dxa"/>
            <w:vAlign w:val="bottom"/>
            <w:tcBorders>
              <w:bottom w:val="single" w:sz="8" w:color="auto"/>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152,734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63,810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0"/>
              </w:rPr>
              <w:t>Expensify, Inc.</w:t>
            </w: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1"/>
              </w:rPr>
              <w:t>Reconciliation of GAAP to Non-GAAP Financial Measures</w:t>
            </w: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0"/>
        </w:trPr>
        <w:tc>
          <w:tcPr>
            <w:tcW w:w="8020" w:type="dxa"/>
            <w:vAlign w:val="bottom"/>
          </w:tcPr>
          <w:p>
            <w:pPr>
              <w:jc w:val="center"/>
              <w:ind w:left="3134"/>
              <w:spacing w:after="0"/>
              <w:rPr>
                <w:sz w:val="20"/>
                <w:szCs w:val="20"/>
                <w:color w:val="auto"/>
              </w:rPr>
            </w:pPr>
            <w:r>
              <w:rPr>
                <w:rFonts w:ascii="Arial" w:cs="Arial" w:eastAsia="Arial" w:hAnsi="Arial"/>
                <w:sz w:val="16"/>
                <w:szCs w:val="16"/>
                <w:color w:val="auto"/>
                <w:w w:val="87"/>
              </w:rPr>
              <w:t>(unaudited, in thousands, except percentages)</w:t>
            </w:r>
          </w:p>
        </w:tc>
        <w:tc>
          <w:tcPr>
            <w:tcW w:w="4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49"/>
        </w:trPr>
        <w:tc>
          <w:tcPr>
            <w:tcW w:w="8020" w:type="dxa"/>
            <w:vAlign w:val="bottom"/>
          </w:tcPr>
          <w:p>
            <w:pPr>
              <w:spacing w:after="0"/>
              <w:rPr>
                <w:sz w:val="20"/>
                <w:szCs w:val="20"/>
                <w:color w:val="auto"/>
              </w:rPr>
            </w:pPr>
            <w:r>
              <w:rPr>
                <w:rFonts w:ascii="Arial" w:cs="Arial" w:eastAsia="Arial" w:hAnsi="Arial"/>
                <w:sz w:val="16"/>
                <w:szCs w:val="16"/>
                <w:i w:val="1"/>
                <w:iCs w:val="1"/>
                <w:color w:val="auto"/>
              </w:rPr>
              <w:t>Adjusted EBITDA and Adjusted EBITDA Margin</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
        </w:trPr>
        <w:tc>
          <w:tcPr>
            <w:tcW w:w="8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180"/>
        </w:trPr>
        <w:tc>
          <w:tcPr>
            <w:tcW w:w="8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June 30,</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(7,994)</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46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2,065</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expenses, net</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1,955</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1,582</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4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14,048</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Adjusted EBITDA</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11,656</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46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46"/>
        </w:trPr>
        <w:tc>
          <w:tcPr>
            <w:tcW w:w="8020" w:type="dxa"/>
            <w:vAlign w:val="bottom"/>
          </w:tcPr>
          <w:p>
            <w:pPr>
              <w:spacing w:after="0"/>
              <w:rPr>
                <w:sz w:val="20"/>
                <w:szCs w:val="20"/>
                <w:color w:val="auto"/>
              </w:rPr>
            </w:pPr>
            <w:r>
              <w:rPr>
                <w:rFonts w:ascii="Arial" w:cs="Arial" w:eastAsia="Arial" w:hAnsi="Arial"/>
                <w:sz w:val="16"/>
                <w:szCs w:val="16"/>
                <w:i w:val="1"/>
                <w:iCs w:val="1"/>
                <w:color w:val="auto"/>
              </w:rPr>
              <w:t>Non-GAAP Net Income and Non-GAAP Net Income Margin</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9"/>
        </w:trPr>
        <w:tc>
          <w:tcPr>
            <w:tcW w:w="8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80"/>
        </w:trPr>
        <w:tc>
          <w:tcPr>
            <w:tcW w:w="8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June 30,</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(7,994)</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46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14,048</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4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net income</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6,054</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 margin</w:t>
            </w:r>
          </w:p>
        </w:tc>
        <w:tc>
          <w:tcPr>
            <w:tcW w:w="46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441325</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6"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140"/>
          </w:cols>
          <w:pgMar w:left="1440" w:top="126"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40"/>
          </w:cols>
          <w:pgMar w:left="1440" w:top="126"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40"/>
          </w:cols>
          <w:pgMar w:left="1440" w:top="126"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40"/>
          </w:cols>
          <w:pgMar w:left="1440" w:top="126"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40"/>
          </w:cols>
          <w:pgMar w:left="1440" w:top="126"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40"/>
          </w:cols>
          <w:pgMar w:left="1440" w:top="126"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40"/>
          </w:cols>
          <w:pgMar w:left="1440" w:top="126"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140"/>
          </w:cols>
          <w:pgMar w:left="1440" w:top="126"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40"/>
          </w:cols>
          <w:pgMar w:left="1440" w:top="126"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40"/>
          </w:cols>
          <w:pgMar w:left="1440" w:top="126"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140"/>
          </w:cols>
          <w:pgMar w:left="1440" w:top="126"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140"/>
          </w:cols>
          <w:pgMar w:left="1440" w:top="126"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140"/>
          </w:cols>
          <w:pgMar w:left="1440" w:top="126"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40"/>
          </w:cols>
          <w:pgMar w:left="1440" w:top="126"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40"/>
          </w:cols>
          <w:pgMar w:left="1440" w:top="126"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140"/>
          </w:cols>
          <w:pgMar w:left="1440" w:top="126"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140"/>
          </w:cols>
          <w:pgMar w:left="1440" w:top="126"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140"/>
          </w:cols>
          <w:pgMar w:left="1440" w:top="126"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40"/>
          </w:cols>
          <w:pgMar w:left="1440" w:top="126"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140"/>
          </w:cols>
          <w:pgMar w:left="1440" w:top="126"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40"/>
          </w:cols>
          <w:pgMar w:left="1440" w:top="126"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140"/>
          </w:cols>
          <w:pgMar w:left="1440" w:top="126"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140"/>
          </w:cols>
          <w:pgMar w:left="1440" w:top="126"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40"/>
          </w:cols>
          <w:pgMar w:left="1440" w:top="126"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140"/>
          </w:cols>
          <w:pgMar w:left="1440" w:top="126"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140"/>
          </w:cols>
          <w:pgMar w:left="1440" w:top="126"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140"/>
          </w:cols>
          <w:pgMar w:left="1440" w:top="126"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0140"/>
          </w:cols>
          <w:pgMar w:left="1440" w:top="126"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30</w:t>
      </w:r>
    </w:p>
    <w:sectPr>
      <w:pgSz w:w="11900" w:h="16838" w:orient="portrait"/>
      <w:cols w:equalWidth="0" w:num="1">
        <w:col w:w="10140"/>
      </w:cols>
      <w:pgMar w:left="144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2022-08-11T16:10:04Z</dcterms:created>
  <dcterms:modified xsi:type="dcterms:W3CDTF">2022-08-11T16:10:04Z</dcterms:modified>
</cp:coreProperties>
</file>